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Own, Non-Tax Revenue, and Interest Payments in India</w:t>
      </w:r>
    </w:p>
    <w:p>
      <w:r>
        <w:t>Source/Owner: Unknown</w:t>
      </w:r>
    </w:p>
    <w:p>
      <w:r>
        <w:t>URL: https://www.arcgis.com/home/item.html?id=9d7b299ef5b949a982a3603df6b2982e</w:t>
        <w:br/>
      </w:r>
    </w:p>
    <w:p>
      <w:r>
        <w:t>On the receipts side, states’ own tax revenues remained resilient, reflecting sustained buoyancy in major tax streams such as State GST, sales tax/VAT, excise on state goods, and stamp and registration duties. Most large states recorded steady growth in own tax revenue, underscoring the recovery in economic activity and improved tax compliance. This robustness in tax receipts has played a key role in strengthening states’ revenue positions in the latest period.In contrast, own non‑tax revenues, exhibited comparatively moderate growth. While collections from interest receipts, fees, royalties, and dividends provided support, non‑tax revenues in several states fell short of their potential, reflecting variability in returns from public sector enterprises and user‑charge‑based services. Nevertheless, higher interest receipts and selected non‑tax streams helped partially offset these shortfalls in a number of states.On the expenditure side, interest payments continue to constitute a significant and relatively rigid component of state finances. Large borrowing states account for a substantial share of total interest payments, reflecting the accumulated debt stock and the impact of higher interest rates. Despite this, the improvement in own tax revenue has helped many states manage debt‑servicing pressures without a disproportionate deterioration in fiscal balances.Overall, the latest data suggest that states’ revenue profiles are being increasingly supported by own tax mobilisation, while non‑tax revenues remain supplementary and uneven across states. At the same time, interest payments underline the importance of prudent debt management, especially as states balance the need for capital spending with fiscal sustainability.This layer contains several useful attributes :Own Tax Revenue in 2004-24 Budget Estimates (in Crore)Own Non-Tax Revenue in 2004-24 Budget Estimates (in Crore)Interest Payments in 2004-24 Budget Estimates (in Crore) Source- https://rbidocs.rbi.org.in/rdocs/Publications/PDFs/0HANDBOOK111225883086B042ED449F9C3DDACAB54415D8.PDFTable 168: State-wise Own Tax RevenueTable 169: State-wise Own Non-Tax RevenueTable 170: State-wise Interest PaymentsThis web layer is offered by Esri India, for ArcGIS Online subscribers. If you have any questions or comments, please let us know via content@esri.in.</w:t>
        <w:br/>
        <w:br/>
        <w:t>On the receipts side, states’ own tax revenues remained resilient, reflecting sustained buoyancy in major tax streams such as State GST, sales tax/VAT, excise on state goods, and stamp and registration duties. Most large states recorded steady growth in own tax revenue, underscoring the recovery in economic activity and improved tax compliance. This robustness in tax receipts has played a key role in strengthening states’ revenue positions in the latest period.</w:t>
        <w:br/>
        <w:t>In contrast, own non‑tax revenues, exhibited comparatively moderate growth. While collections from interest receipts, fees, royalties, and dividends provided support, non‑tax revenues in several states fell short of their potential, reflecting variability in returns from public sector enterprises and user‑charge‑based services. Nevertheless, higher interest receipts and selected non‑tax streams helped partially offset these shortfalls in a number of states.</w:t>
        <w:br/>
        <w:t>On the expenditure side, interest payments continue to constitute a significant and relatively rigid component of state finances. Large borrowing states account for a substantial share of total interest payments, reflecting the accumulated debt stock and the impact of higher interest rates. Despite this, the improvement in own tax revenue has helped many states manage debt‑servicing pressures without a disproportionate deterioration in fiscal balances.</w:t>
        <w:br/>
        <w:t>Overall, the latest data suggest that states’ revenue profiles are being increasingly supported by own tax mobilisation, while non‑tax revenues remain supplementary and uneven across states. At the same time, interest payments underline the importance of prudent debt management, especially as states balance the need for capital spending with fiscal sustainability.</w:t>
        <w:br/>
        <w:br/>
        <w:t xml:space="preserve"> </w:t>
        <w:br/>
        <w:br/>
        <w:t>This layer contains several useful attributes :</w:t>
        <w:br/>
        <w:t>Own Tax Revenue in 2004-24 Budget Estimates (in Crore)</w:t>
        <w:br/>
        <w:t>Own Non-Tax Revenue in 2004-24 Budget Estimates (in Crore)</w:t>
        <w:br/>
        <w:t>Interest Payments in 2004-24 Budget Estimates (in Crore)</w:t>
        <w:br/>
        <w:t xml:space="preserve"> </w:t>
        <w:br/>
        <w:t>Source- https://rbidocs.rbi.org.in/rdocs/Publications/PDFs/0HANDBOOK111225883086B042ED449F9C3DDACAB54415D8.PDF</w:t>
        <w:br/>
        <w:br/>
        <w:t>Table 168: State-wise Own Tax Revenue</w:t>
        <w:br/>
        <w:t>Table 169: State-wise Own Non-Tax Revenue</w:t>
        <w:br/>
        <w:t>Table 170: State-wise Interest Payments</w:t>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