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Ownership of Deposits in Metropolitan Centres in India</w:t>
      </w:r>
    </w:p>
    <w:p>
      <w:r>
        <w:t>Source/Owner: Unknown</w:t>
      </w:r>
    </w:p>
    <w:p>
      <w:r>
        <w:t>URL: https://www.arcgis.com/home/item.html?id=6bb9310cd7804faf95e69176f07ce418</w:t>
        <w:br/>
      </w:r>
    </w:p>
    <w:p>
      <w:r>
        <w:t>This map presents a district‑wise (metropolitan centre–wise) distribution of bank deposits classified by ownership in India, sourced from the Annual Basic Statistical Returns (BSR‑2) of Scheduled Commercial Banks, March 2025, published by the Reserve Bank of India (RBI) under Section 1: Ownership of Deposits (Table No. 1.4). The data captures the composition of deposits held in metropolitan centres, disaggregated by major institutional and sectoral holders, namely the Government Sector, Non‑Financial Corporations, Financial Corporations (Banks and Other Financial Corporations), Household Sector, and Rest of the World. For each metropolitan centre, the dataset reports both the absolute value of deposits (₹ crore) and their percentage share in total deposits, reflecting variations in depositor structure, financial depth, and economic concentration across urban regions. The information supports spatial analysis of urban banking behaviour, institutional deposit concentration, and sectoral dominance in metropolitan deposit mobilisation.Source:https://data.rbi.org.in/#/dbie/homeAnnual Basic Statistical Returns 2 of Scheduled Commercial Banks in India - March 2025    Section 1: Ownership of DepositsTable No. 1.4 : Ownership of Deposits in Metropolitan Centres</w:t>
        <w:br/>
        <w:br/>
        <w:t>This map presents a district‑wise (metropolitan centre–wise) distribution of bank deposits classified by ownership in India, sourced from the Annual Basic Statistical Returns (BSR‑2) of Scheduled Commercial Banks, March 2025, published by the Reserve Bank of India (RBI) under Section 1: Ownership of Deposits (Table No. 1.4). The data captures the composition of deposits held in metropolitan centres, disaggregated by major institutional and sectoral holders, namely the Government Sector, Non‑Financial Corporations, Financial Corporations (Banks and Other Financial Corporations), Household Sector, and Rest of the World. For each metropolitan centre, the dataset reports both the absolute value of deposits (₹ crore) and their percentage share in total deposits, reflecting variations in depositor structure, financial depth, and economic concentration across urban regions. The information supports spatial analysis of urban banking behaviour, institutional deposit concentration, and sectoral dominance in metropolitan deposit mobilisation.</w:t>
        <w:br/>
        <w:br/>
        <w:t>Source:https://data.rbi.org.in/#/dbie/home</w:t>
        <w:br/>
        <w:t xml:space="preserve">Annual Basic Statistical Returns 2 of Scheduled Commercial Banks in India - March 2025    </w:t>
        <w:br/>
        <w:t>Section 1: Ownership of Deposits</w:t>
        <w:br/>
        <w:t>Table No. 1.4 : Ownership of Deposits in Metropolitan Centres</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