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Pregnant Women and Children Who are Anaemic</w:t>
      </w:r>
    </w:p>
    <w:p>
      <w:r>
        <w:t>Source/Owner: Unknown</w:t>
      </w:r>
    </w:p>
    <w:p>
      <w:r>
        <w:t>URL: https://www.arcgis.com/home/item.html?id=f90c55468c194e3fa09cd30fcd6ec6ed</w:t>
        <w:br/>
      </w:r>
    </w:p>
    <w:p>
      <w:r>
        <w:t>This map illustrates the geographic spread and intensity of anaemia among children aged 6–59 months and pregnant women aged 15–49 years, drawing on state‑level estimates consolidated in the Handbook of Statistics on Indian States, 2024–25. Anaemia—primarily driven by iron deficiency, inadequate dietary intake, parasitic infections, and broader socio‑economic factors—remains one of India’s most persistent public health challenges.By visualising both indicators, the map highlights the coexistence of nutritional vulnerability across generations: high childhood anaemia often overlaps with elevated anaemia levels among pregnant women, reflecting interlinked determinants such as maternal nutrition, household food security, and access to health services. The spatial patterns reveal significant inter‑state variation, with some regions showing consistently higher burdens, while others demonstrate relatively stronger performance in maternal and child nutrition outcomes.This demographic and health landscape underscores the need for targeted interventions—ranging from iron‑folic acid supplementation and dietary diversification to improved antenatal care and public health outreach. The maps thus provide a concise yet powerful visual lens into the nutritional status of India’s population, helping identify priority states for policy attention and programmatic action. This layer contains several useful attributes :Percentage of Children NFHS 3 (2005-06)Percentage of Children NFHS 4 (2015-16)Percentage of Children NFHS 5 (2019-21)Percentage of Pregnant Women NFHS 2 (1998-99)Percentage of Pregnant Women NFHS 3 (2005-06)Percentage of Pregnant Women NFHS 4 (2015-16)Percentage of Pregnant Women NFHS 5 (2019-21)Source- https://rbidocs.rbi.org.in/rdocs/Publications/PDFs/0HANDBOOK111225883086B042ED449F9C3DDACAB54415D8.PDFTable 14: State-wise Children Aged 6-59 Months who are AnaemicTable 15: State-wise Pregnant Women Aged 15-49 Years who are Anaemic             This web layer is offered by Esri India, for ArcGIS Online subscribers. If you have any questions or comments, please let us know via content@esri.in.</w:t>
        <w:br/>
        <w:br/>
        <w:t>This map illustrates the geographic spread and intensity of anaemia among children aged 6–59 months and pregnant women aged 15–49 years, drawing on state‑level estimates consolidated in the Handbook of Statistics on Indian States, 2024–25. Anaemia—primarily driven by iron deficiency, inadequate dietary intake, parasitic infections, and broader socio‑economic factors—remains one of India’s most persistent public health challenges.</w:t>
        <w:br/>
        <w:t>By visualising both indicators, the map highlights the coexistence of nutritional vulnerability across generations: high childhood anaemia often overlaps with elevated anaemia levels among pregnant women, reflecting interlinked determinants such as maternal nutrition, household food security, and access to health services. The spatial patterns reveal significant inter‑state variation, with some regions showing consistently higher burdens, while others demonstrate relatively stronger performance in maternal and child nutrition outcomes.</w:t>
        <w:br/>
        <w:t>This demographic and health landscape underscores the need for targeted interventions—ranging from iron‑folic acid supplementation and dietary diversification to improved antenatal care and public health outreach. The maps thus provide a concise yet powerful visual lens into the nutritional status of India’s population, helping identify priority states for policy attention and programmatic action.</w:t>
        <w:br/>
        <w:t xml:space="preserve"> </w:t>
        <w:br/>
        <w:br/>
        <w:t>This layer contains several useful attributes :</w:t>
        <w:br/>
        <w:br/>
        <w:t>Percentage of Children NFHS 3 (2005-06)</w:t>
        <w:br/>
        <w:t>Percentage of Children NFHS 4 (2015-16)</w:t>
        <w:br/>
        <w:t>Percentage of Children NFHS 5 (2019-21)</w:t>
        <w:br/>
        <w:t>Percentage of Pregnant Women NFHS 2 (1998-99)</w:t>
        <w:br/>
        <w:t>Percentage of Pregnant Women NFHS 3 (2005-06)</w:t>
        <w:br/>
        <w:t>Percentage of Pregnant Women NFHS 4 (2015-16)</w:t>
        <w:br/>
        <w:t>Percentage of Pregnant Women NFHS 5 (2019-21)</w:t>
        <w:br/>
        <w:t>Source- https://rbidocs.rbi.org.in/rdocs/Publications/PDFs/0HANDBOOK111225883086B042ED449F9C3DDACAB54415D8.PDF</w:t>
        <w:br/>
        <w:t>Table 14: State-wise Children Aged 6-59 Months who are Anaemic</w:t>
        <w:br/>
        <w:t xml:space="preserve">Table 15: State-wise Pregnant Women Aged 15-49 Years who are Anaemic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