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10 India Index Indicator REDUCED INEQUALITIES (2019-20)</w:t>
      </w:r>
    </w:p>
    <w:p>
      <w:r>
        <w:t>Source/Owner: Unknown</w:t>
      </w:r>
    </w:p>
    <w:p>
      <w:r>
        <w:t>URL: https://www.arcgis.com/home/item.html?id=d9d0f06b9d59415daadd46ffb4499432</w:t>
        <w:br/>
      </w:r>
    </w:p>
    <w:p>
      <w:r>
        <w:t>Goal 10: Reduce inequality within and among countries On average – and taking into account population size – income inequality increased by 11% in developing countries between 1990 and 2010.A significant majority of households in developing countries – more than 75% – are living today in societies where income is more unequally distributed than it was in the 1990s.Children in the poorest 20% of the population are still up to three times more likely to die before their fifth birthday than children in the richest quintiles.Social protection has been significantly extended globally, yet persons with disabilities are up to five times more likely than average to incur catastrophic health expenditures.Despite overall declines in maternal mortality in the majority of developing countries, women in rural areas are still up to three times more likely to die while giving birth than women living in urban centres.The Gini Coefficient of income inequality for India has risen from 33.4% in 2004 to 33.6% in 2011.Data source: https://sdgindiaindex.niti.gov.in/#/download This web layer is offered by Esri India, for ArcGIS Online subscribers, If you have any questions or comments, please let us know via content@esri.in.</w:t>
        <w:br/>
        <w:br/>
        <w:t>Goal 10: Reduce inequality within and among countries</w:t>
        <w:br/>
        <w:t xml:space="preserve"> </w:t>
        <w:br/>
        <w:br/>
        <w:t>On average – and taking into account population size – income inequality increased by 11% in developing countries between 1990 and 2010.</w:t>
        <w:br/>
        <w:br/>
        <w:t>A significant majority of households in developing countries – more than 75% – are living today in societies where income is more unequally distributed than it was in the 1990s.</w:t>
        <w:br/>
        <w:br/>
        <w:t>Children in the poorest 20% of the population are still up to three times more likely to die before their fifth birthday than children in the richest quintiles.</w:t>
        <w:br/>
        <w:br/>
        <w:t>Social protection has been significantly extended globally, yet persons with disabilities are up to five times more likely than average to incur catastrophic health expenditures.</w:t>
        <w:br/>
        <w:br/>
        <w:t>Despite overall declines in maternal mortality in the majority of developing countries, women in rural areas are still up to three times more likely to die while giving birth than women living in urban centres.</w:t>
        <w:br/>
        <w:br/>
        <w:t>The Gini Coefficient of income inequality for India has risen from 33.4% in 2004 to 33.6% in 2011.</w:t>
        <w:br/>
        <w:br/>
        <w:t>Data source: https://sdgindiaindex.niti.gov.in/#/download</w:t>
        <w:br/>
        <w:t xml:space="preserve"> </w:t>
        <w:br/>
        <w:t xml:space="preserve"> </w:t>
        <w:br/>
        <w:t>This web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