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10 - REDUCED INEQUALITIES</w:t>
      </w:r>
    </w:p>
    <w:p>
      <w:r>
        <w:t>Source/Owner: Unknown</w:t>
      </w:r>
    </w:p>
    <w:p>
      <w:r>
        <w:t>URL: https://www.arcgis.com/home/item.html?id=e9bac83ac6b94d0db07b576266574c73</w:t>
        <w:br/>
      </w:r>
    </w:p>
    <w:p>
      <w:r>
        <w:t>Goal 10: Reduce inequality within and among countries0.20 GINI COEFFICIENT45.61% SEATS of Panchayati Raj Institutions HELD BY WOMEN28.57% Representation of SC/ST Persons in STATE LEGISLATIVE ASSEMBLIES50.40% ratio of FEMALE-TO-MALE workers working as PROFESSIONAL and TECHNICAL WORKERSGoal 10 Index Score SDG Index Score for Goal 10 ranges between 43 and 87 for States and between 49 and 80 for UTs. Goa and Puducherry are the top performers among the States and the UTs, respectively. Twenty-one States and six UTs bagged a position in the category of Front Runners (score range between 65 and 100, excluding 100). However, two States and one UT fell behind in the Aspirants category (with Index scores less than 50).Source:https://www.niti.gov.in/sites/default/files/2024-07/SDA_INDIA.pdf, PDF Pg No 168.This map layer is offered by Esri India, for ArcGIS Online subscribers, If you have any questions or comments, please let us know via content@esri.in.</w:t>
        <w:br/>
        <w:br/>
        <w:t>Goal 10: Reduce inequality within and among countries</w:t>
        <w:br/>
        <w:t>0.20 GINI COEFFICIENT</w:t>
        <w:br/>
        <w:t>45.61% SEATS of Panchayati Raj Institutions HELD BY WOMEN</w:t>
        <w:br/>
        <w:t>28.57% Representation of SC/ST Persons in STATE LEGISLATIVE ASSEMBLIES</w:t>
        <w:br/>
        <w:t>50.40% ratio of FEMALE-TO-MALE workers working as PROFESSIONAL and TECHNICAL WORKERS</w:t>
        <w:br/>
        <w:br/>
        <w:br/>
        <w:t xml:space="preserve">Goal 10 Index Score </w:t>
        <w:br/>
        <w:t>SDG Index Score for Goal 10 ranges between 43 and 87 for States and between 49 and 80 for UTs. Goa and Puducherry are the top performers among the States and the UTs, respectively. Twenty-one States and six UTs bagged a position in the category of Front Runners (score range between 65 and 100, excluding 100). However, two States and one UT fell behind in the Aspirants category (with Index scores less than 50).</w:t>
        <w:br/>
        <w:br/>
        <w:br/>
        <w:t>Source:https://www.niti.gov.in/sites/default/files/2024-07/SDA_INDIA.pdf, PDF Pg No 168.</w:t>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