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2023-24: Goal 11 - SUSTAINABLE CITIES AND COMMUNITIES</w:t>
      </w:r>
    </w:p>
    <w:p>
      <w:r>
        <w:t>Source/Owner: Unknown</w:t>
      </w:r>
    </w:p>
    <w:p>
      <w:r>
        <w:t>URL: https://www.arcgis.com/home/item.html?id=4be8d662a6a84a77865bca51e681e42c</w:t>
        <w:br/>
      </w:r>
    </w:p>
    <w:p>
      <w:r>
        <w:t>Goal 11: Make cities and human settlements inclusive, safe, resilient, and sustainable99.10% of urban households LIVE IN PUCCA AND SEMI-PUCCA HOUSES78.46% of the MUNICIPAL SOLID WASTE generated gets PROCESSED90% wards have 100% SOURCE SEGREGATION 95.29% INDIVIDUAL HOUSEHOLD TOILETS CONSTRUCTED against target SBM(U)13 persons were killed in ROAD ACCIDENTS in urban areas for every 1,00,000 population50.67% INSTALLED SEWAGE TREATMENT CAPACITY as a proportion of sewage generated in urban areas97% wards have 100% DOOR-TO-DOOR WASTE COLLECTIONGoal 11 Index Score SDG Index Score for Goal 11 ranges between 38 and 98 for States and between 33 and 100 for UTs. Maharashtra and Chandigarh are the top performers among the States and the UTs, respectively. Twenty-two States and five UTs bagged a position in the category of Front Runners (score range between 65 and 100, excluding 100). Three States and one UT fell behind in the Aspirants category (with Index score less than 50).Source: https://www.niti.gov.in/sites/default/files/2024-07/SDA_INDIA.pdf, PDF Pg No 176This map layer is offered by Esri India, for ArcGIS Online subscribers, If you have any questions or comments, please let us know via content@esri.in.</w:t>
        <w:br/>
        <w:br/>
        <w:t>Goal 11: Make cities and human settlements inclusive, safe, resilient, and sustainable</w:t>
        <w:br/>
        <w:t>99.10% of urban households LIVE IN PUCCA AND SEMI-PUCCA HOUSES</w:t>
        <w:br/>
        <w:t>78.46% of the MUNICIPAL SOLID WASTE generated gets PROCESSED</w:t>
        <w:br/>
        <w:t xml:space="preserve">90% wards have 100% SOURCE SEGREGATION </w:t>
        <w:br/>
        <w:t>95.29% INDIVIDUAL HOUSEHOLD TOILETS CONSTRUCTED against target SBM(U)</w:t>
        <w:br/>
        <w:t>13 persons were killed in ROAD ACCIDENTS in urban areas for every 1,00,000 population</w:t>
        <w:br/>
        <w:t>50.67% INSTALLED SEWAGE TREATMENT CAPACITY as a proportion of sewage generated in urban areas</w:t>
        <w:br/>
        <w:t>97% wards have 100% DOOR-TO-DOOR WASTE COLLECTION</w:t>
        <w:br/>
        <w:t xml:space="preserve">Goal 11 Index Score </w:t>
        <w:br/>
        <w:t>SDG Index Score for Goal 11 ranges between 38 and 98 for States and between 33 and 100 for UTs. Maharashtra and Chandigarh are the top performers among the States and the UTs, respectively. Twenty-two States and five UTs bagged a position in the category of Front Runners (score range between 65 and 100, excluding 100). Three States and one UT fell behind in the Aspirants category (with Index score less than 50).</w:t>
        <w:br/>
        <w:br/>
        <w:br/>
        <w:t>Source: https://www.niti.gov.in/sites/default/files/2024-07/SDA_INDIA.pdf, PDF Pg No 176</w:t>
        <w:br/>
        <w:br/>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