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5 GENDER EQUALITY</w:t>
      </w:r>
    </w:p>
    <w:p>
      <w:r>
        <w:t>Source/Owner: Unknown</w:t>
      </w:r>
    </w:p>
    <w:p>
      <w:r>
        <w:t>URL: https://www.arcgis.com/home/item.html?id=28a367f3e31d4eabbb1a203816228c10</w:t>
        <w:br/>
      </w:r>
    </w:p>
    <w:p>
      <w:r>
        <w:t>Goal 5: Achieve gender equality and empower all women and girls</w:t>
        <w:br/>
        <w:t>929 SEX RATIO AT BIRTH (females per 1,000 males)</w:t>
        <w:br/>
        <w:t>0.76 Ratio of FEMALE TO MALE EARNINGS (regular waged salaried employees)</w:t>
        <w:br/>
        <w:t>0.48 Ratio of FEMALE TO MALE LABOUR FORCE PARTICIPATION (Rate as against 1)</w:t>
        <w:br/>
        <w:t>74.10% of married women have their demand for FAMILY PLANNING met by any modern method</w:t>
        <w:br/>
        <w:t>210 among every 1,000 persons in MANAGERIAL POSITIONS are women</w:t>
        <w:br/>
        <w:t>53.90% of women own a MOBILE PHONE THEY THEMSELVES USE (aged 15–59 years)</w:t>
        <w:br/>
        <w:t>13.69% OPERATIONAL LANDHOLDERS are female</w:t>
        <w:br/>
        <w:t>88.70% of married women participate in THREE HOUSEHOLD DECISIONS</w:t>
        <w:br/>
        <w:t xml:space="preserve">Goal 5 Index Score </w:t>
        <w:br/>
        <w:t xml:space="preserve"> SDG Index Score for Goal 5 ranges between 39 and 74 for States and between 41 and 65 for UTs. Nagaland and Lakshadweep are the top performers among the States and the UTs, respectively. Four States and one UT bagged a position in the category of Front Runners (score range between 65 and 100, excluding 100). Twelve States and two UTs fell behind in the Aspirants category (with Index scores less than 50).</w:t>
        <w:br/>
        <w:br/>
        <w:br/>
        <w:t>Source: https://www.niti.gov.in/sites/default/files/2024-07/SDA_INDIA.pdf, PDF Pg No 128</w:t>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