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color w:val="176B5B"/>
          <w:sz w:val="52"/>
        </w:rPr>
        <w:t>MICHIGAN POWER OUTAGE</w:t>
        <w:br/>
        <w:t>PREDICTION RESEARCH</w:t>
      </w:r>
    </w:p>
    <w:p>
      <w:pPr>
        <w:spacing w:before="240"/>
        <w:jc w:val="center"/>
      </w:pPr>
      <w:r>
        <w:rPr>
          <w:rFonts w:ascii="Arial" w:hAnsi="Arial"/>
          <w:color w:val="172B2B"/>
          <w:sz w:val="32"/>
        </w:rPr>
        <w:t>County-Level Three-Hour High-Burden Alert Model</w:t>
      </w:r>
    </w:p>
    <w:p>
      <w:r>
        <w:br/>
      </w:r>
    </w:p>
    <w:tbl>
      <w:tblPr>
        <w:tblStyle w:val="TableGrid"/>
        <w:tblW w:type="auto" w:w="0"/>
        <w:tblLook w:firstColumn="1" w:firstRow="1" w:lastColumn="0" w:lastRow="0" w:noHBand="0" w:noVBand="1" w:val="04A0"/>
      </w:tblPr>
      <w:tblGrid>
        <w:gridCol w:w="4939"/>
        <w:gridCol w:w="4939"/>
      </w:tblGrid>
      <w:tr>
        <w:tc>
          <w:tcPr>
            <w:tcW w:type="dxa" w:w="2880"/>
            <w:vAlign w:val="center"/>
            <w:shd w:fill="176B5B"/>
          </w:tcPr>
          <w:p>
            <w:pPr>
              <w:spacing w:after="0"/>
            </w:pPr>
            <w:r/>
            <w:r>
              <w:rPr>
                <w:rFonts w:ascii="Arial" w:hAnsi="Arial"/>
                <w:b/>
                <w:color w:val="FFFFFF"/>
                <w:sz w:val="18"/>
              </w:rPr>
              <w:t>Student information</w:t>
            </w:r>
          </w:p>
        </w:tc>
        <w:tc>
          <w:tcPr>
            <w:tcW w:type="dxa" w:w="5760"/>
            <w:vAlign w:val="center"/>
            <w:shd w:fill="176B5B"/>
          </w:tcPr>
          <w:p>
            <w:pPr>
              <w:spacing w:after="0"/>
            </w:pPr>
            <w:r/>
            <w:r>
              <w:rPr>
                <w:rFonts w:ascii="Arial" w:hAnsi="Arial"/>
                <w:b/>
                <w:color w:val="FFFFFF"/>
                <w:sz w:val="18"/>
              </w:rPr>
              <w:t>Details</w:t>
            </w:r>
          </w:p>
        </w:tc>
      </w:tr>
      <w:tr>
        <w:tc>
          <w:tcPr>
            <w:tcW w:type="dxa" w:w="2880"/>
            <w:vAlign w:val="center"/>
          </w:tcPr>
          <w:p>
            <w:pPr>
              <w:spacing w:after="0"/>
            </w:pPr>
            <w:r/>
            <w:r>
              <w:rPr>
                <w:rFonts w:ascii="Arial" w:hAnsi="Arial"/>
                <w:b w:val="0"/>
                <w:color w:val="172B2B"/>
                <w:sz w:val="18"/>
              </w:rPr>
              <w:t>Name</w:t>
            </w:r>
          </w:p>
        </w:tc>
        <w:tc>
          <w:tcPr>
            <w:tcW w:type="dxa" w:w="5760"/>
            <w:vAlign w:val="center"/>
          </w:tcPr>
          <w:p>
            <w:pPr>
              <w:spacing w:after="0"/>
            </w:pPr>
            <w:r/>
            <w:r>
              <w:rPr>
                <w:rFonts w:ascii="Arial" w:hAnsi="Arial"/>
                <w:b w:val="0"/>
                <w:color w:val="172B2B"/>
                <w:sz w:val="18"/>
              </w:rPr>
              <w:t>Rohan Sai Gorumutchu</w:t>
            </w:r>
          </w:p>
        </w:tc>
      </w:tr>
      <w:tr>
        <w:tc>
          <w:tcPr>
            <w:tcW w:type="dxa" w:w="2880"/>
            <w:vAlign w:val="center"/>
            <w:shd w:fill="F2F6F3"/>
          </w:tcPr>
          <w:p>
            <w:pPr>
              <w:spacing w:after="0"/>
            </w:pPr>
            <w:r/>
            <w:r>
              <w:rPr>
                <w:rFonts w:ascii="Arial" w:hAnsi="Arial"/>
                <w:b w:val="0"/>
                <w:color w:val="172B2B"/>
                <w:sz w:val="18"/>
              </w:rPr>
              <w:t>College</w:t>
            </w:r>
          </w:p>
        </w:tc>
        <w:tc>
          <w:tcPr>
            <w:tcW w:type="dxa" w:w="5760"/>
            <w:vAlign w:val="center"/>
            <w:shd w:fill="F2F6F3"/>
          </w:tcPr>
          <w:p>
            <w:pPr>
              <w:spacing w:after="0"/>
            </w:pPr>
            <w:r/>
            <w:r>
              <w:rPr>
                <w:rFonts w:ascii="Arial" w:hAnsi="Arial"/>
                <w:b w:val="0"/>
                <w:color w:val="172B2B"/>
                <w:sz w:val="18"/>
              </w:rPr>
              <w:t>REVA University</w:t>
            </w:r>
          </w:p>
        </w:tc>
      </w:tr>
      <w:tr>
        <w:tc>
          <w:tcPr>
            <w:tcW w:type="dxa" w:w="2880"/>
            <w:vAlign w:val="center"/>
          </w:tcPr>
          <w:p>
            <w:pPr>
              <w:spacing w:after="0"/>
            </w:pPr>
            <w:r/>
            <w:r>
              <w:rPr>
                <w:rFonts w:ascii="Arial" w:hAnsi="Arial"/>
                <w:b w:val="0"/>
                <w:color w:val="172B2B"/>
                <w:sz w:val="18"/>
              </w:rPr>
              <w:t>Subject</w:t>
            </w:r>
          </w:p>
        </w:tc>
        <w:tc>
          <w:tcPr>
            <w:tcW w:type="dxa" w:w="5760"/>
            <w:vAlign w:val="center"/>
          </w:tcPr>
          <w:p>
            <w:pPr>
              <w:spacing w:after="0"/>
            </w:pPr>
            <w:r/>
            <w:r>
              <w:rPr>
                <w:rFonts w:ascii="Arial" w:hAnsi="Arial"/>
                <w:b w:val="0"/>
                <w:color w:val="172B2B"/>
                <w:sz w:val="18"/>
              </w:rPr>
              <w:t>Machine Learning</w:t>
            </w:r>
          </w:p>
        </w:tc>
      </w:tr>
      <w:tr>
        <w:tc>
          <w:tcPr>
            <w:tcW w:type="dxa" w:w="2880"/>
            <w:vAlign w:val="center"/>
            <w:shd w:fill="F2F6F3"/>
          </w:tcPr>
          <w:p>
            <w:pPr>
              <w:spacing w:after="0"/>
            </w:pPr>
            <w:r/>
            <w:r>
              <w:rPr>
                <w:rFonts w:ascii="Arial" w:hAnsi="Arial"/>
                <w:b w:val="0"/>
                <w:color w:val="172B2B"/>
                <w:sz w:val="18"/>
              </w:rPr>
              <w:t>Class / section</w:t>
            </w:r>
          </w:p>
        </w:tc>
        <w:tc>
          <w:tcPr>
            <w:tcW w:type="dxa" w:w="5760"/>
            <w:vAlign w:val="center"/>
            <w:shd w:fill="F2F6F3"/>
          </w:tcPr>
          <w:p>
            <w:pPr>
              <w:spacing w:after="0"/>
            </w:pPr>
            <w:r/>
            <w:r>
              <w:rPr>
                <w:rFonts w:ascii="Arial" w:hAnsi="Arial"/>
                <w:b w:val="0"/>
                <w:color w:val="172B2B"/>
                <w:sz w:val="18"/>
              </w:rPr>
              <w:t>CSIT A</w:t>
            </w:r>
          </w:p>
        </w:tc>
      </w:tr>
      <w:tr>
        <w:tc>
          <w:tcPr>
            <w:tcW w:type="dxa" w:w="2880"/>
            <w:vAlign w:val="center"/>
          </w:tcPr>
          <w:p>
            <w:pPr>
              <w:spacing w:after="0"/>
            </w:pPr>
            <w:r/>
            <w:r>
              <w:rPr>
                <w:rFonts w:ascii="Arial" w:hAnsi="Arial"/>
                <w:b w:val="0"/>
                <w:color w:val="172B2B"/>
                <w:sz w:val="18"/>
              </w:rPr>
              <w:t>Semester</w:t>
            </w:r>
          </w:p>
        </w:tc>
        <w:tc>
          <w:tcPr>
            <w:tcW w:type="dxa" w:w="5760"/>
            <w:vAlign w:val="center"/>
          </w:tcPr>
          <w:p>
            <w:pPr>
              <w:spacing w:after="0"/>
            </w:pPr>
            <w:r/>
            <w:r>
              <w:rPr>
                <w:rFonts w:ascii="Arial" w:hAnsi="Arial"/>
                <w:b w:val="0"/>
                <w:color w:val="172B2B"/>
                <w:sz w:val="18"/>
              </w:rPr>
              <w:t>5</w:t>
            </w:r>
          </w:p>
        </w:tc>
      </w:tr>
      <w:tr>
        <w:tc>
          <w:tcPr>
            <w:tcW w:type="dxa" w:w="2880"/>
            <w:vAlign w:val="center"/>
            <w:shd w:fill="F2F6F3"/>
          </w:tcPr>
          <w:p>
            <w:pPr>
              <w:spacing w:after="0"/>
            </w:pPr>
            <w:r/>
            <w:r>
              <w:rPr>
                <w:rFonts w:ascii="Arial" w:hAnsi="Arial"/>
                <w:b w:val="0"/>
                <w:color w:val="172B2B"/>
                <w:sz w:val="18"/>
              </w:rPr>
              <w:t>SRN</w:t>
            </w:r>
          </w:p>
        </w:tc>
        <w:tc>
          <w:tcPr>
            <w:tcW w:type="dxa" w:w="5760"/>
            <w:vAlign w:val="center"/>
            <w:shd w:fill="F2F6F3"/>
          </w:tcPr>
          <w:p>
            <w:pPr>
              <w:spacing w:after="0"/>
            </w:pPr>
            <w:r/>
            <w:r>
              <w:rPr>
                <w:rFonts w:ascii="Arial" w:hAnsi="Arial"/>
                <w:b w:val="0"/>
                <w:color w:val="172B2B"/>
                <w:sz w:val="18"/>
              </w:rPr>
              <w:t>R24EJ042</w:t>
            </w:r>
          </w:p>
        </w:tc>
      </w:tr>
    </w:tbl>
    <w:p>
      <w:pPr>
        <w:spacing w:after="40"/>
      </w:pPr>
    </w:p>
    <w:p>
      <w:pPr>
        <w:spacing w:before="240"/>
        <w:jc w:val="center"/>
      </w:pPr>
      <w:r>
        <w:rPr>
          <w:color w:val="526361"/>
        </w:rPr>
        <w:t>Machine Learning Mini Project</w:t>
      </w:r>
    </w:p>
    <w:p>
      <w:r>
        <w:br w:type="page"/>
      </w:r>
    </w:p>
    <w:p>
      <w:pPr>
        <w:pStyle w:val="Heading1"/>
        <w:keepNext/>
      </w:pPr>
      <w:r>
        <w:t>Abstract</w:t>
      </w:r>
    </w:p>
    <w:p>
      <w:pPr>
        <w:spacing w:after="120"/>
      </w:pPr>
      <w:r>
        <w:t>This project develops a county-level model that flags elevated outage burden in Michigan during the next three hours. It combines historical EAGLE-I county outage readings with weather observations from Michigan ASOS stations, reported storm codes, past outage summaries, time features, and county location. The prepared dataset contains 363,419 county/time windows across 83 counties and 67 model inputs. A histogram gradient boosting classifier is trained on 2014-2022, its alert threshold is selected on 2023, and its historical test is 2024. At the selected threshold, the test precision is 79.5%, recall is 61.0%, and F1 score is 0.690. These are research results for a high-burden county label, not a live forecast of household power cuts.</w:t>
      </w:r>
    </w:p>
    <w:p>
      <w:pPr>
        <w:pStyle w:val="Heading1"/>
        <w:keepNext/>
      </w:pPr>
      <w:r>
        <w:t>1. Introduction</w:t>
      </w:r>
    </w:p>
    <w:p>
      <w:pPr>
        <w:spacing w:after="120"/>
      </w:pPr>
      <w:r>
        <w:t>Electric outages can be associated with severe weather, equipment conditions, and existing outage activity. Public historical datasets make it possible to study whether weather and recent county-level outage measurements contain useful signals. This project uses a time-ordered evaluation so later periods do not enter the model's training data.</w:t>
      </w:r>
    </w:p>
    <w:p>
      <w:pPr>
        <w:pStyle w:val="Heading2"/>
        <w:keepNext/>
      </w:pPr>
      <w:r>
        <w:t>Project objectives</w:t>
      </w:r>
    </w:p>
    <w:p>
      <w:pPr>
        <w:pStyle w:val="ListBullet"/>
      </w:pPr>
      <w:r>
        <w:t>Build a cleaned, county-hour dataset from the already downloaded EAGLE-I archive and Michigan weather observations.</w:t>
      </w:r>
    </w:p>
    <w:p>
      <w:pPr>
        <w:pStyle w:val="ListBullet"/>
      </w:pPr>
      <w:r>
        <w:t>Predict whether the county outage burden will cross a county-specific historical threshold within the next three hours.</w:t>
      </w:r>
    </w:p>
    <w:p>
      <w:pPr>
        <w:pStyle w:val="ListBullet"/>
      </w:pPr>
      <w:r>
        <w:t>Evaluate the model on a later year and report precision, recall, false alerts, and missed positive windows.</w:t>
      </w:r>
    </w:p>
    <w:p>
      <w:pPr>
        <w:pStyle w:val="Heading1"/>
        <w:keepNext/>
      </w:pPr>
      <w:r>
        <w:t>2. Data sources and study coverage</w:t>
      </w:r>
    </w:p>
    <w:p>
      <w:pPr>
        <w:spacing w:after="120"/>
      </w:pPr>
      <w:r>
        <w:t>The outage source is the EAGLE-I Electric Grid Monitor dataset distributed through Figshare. The weather source is the Iowa Environmental Mesonet archive of ASOS station observations. Seventy-five Michigan stations were used for spatial weather aggregation. The cached weather pulls cover a seasonal window from approximately May 28 to September 1 each year, not the full calendar year. The local source audit records annual source links, checksums, coverage, and validation counts.</w:t>
      </w:r>
    </w:p>
    <w:tbl>
      <w:tblPr>
        <w:tblStyle w:val="TableGrid"/>
        <w:tblW w:type="auto" w:w="0"/>
        <w:tblLook w:firstColumn="1" w:firstRow="1" w:lastColumn="0" w:lastRow="0" w:noHBand="0" w:noVBand="1" w:val="04A0"/>
      </w:tblPr>
      <w:tblGrid>
        <w:gridCol w:w="4939"/>
        <w:gridCol w:w="4939"/>
      </w:tblGrid>
      <w:tr>
        <w:tc>
          <w:tcPr>
            <w:tcW w:type="dxa" w:w="3672"/>
            <w:vAlign w:val="center"/>
            <w:shd w:fill="176B5B"/>
          </w:tcPr>
          <w:p>
            <w:pPr>
              <w:spacing w:after="0"/>
            </w:pPr>
            <w:r/>
            <w:r>
              <w:rPr>
                <w:rFonts w:ascii="Arial" w:hAnsi="Arial"/>
                <w:b/>
                <w:color w:val="FFFFFF"/>
                <w:sz w:val="18"/>
              </w:rPr>
              <w:t>Item</w:t>
            </w:r>
          </w:p>
        </w:tc>
        <w:tc>
          <w:tcPr>
            <w:tcW w:type="dxa" w:w="4968"/>
            <w:vAlign w:val="center"/>
            <w:shd w:fill="176B5B"/>
          </w:tcPr>
          <w:p>
            <w:pPr>
              <w:spacing w:after="0"/>
            </w:pPr>
            <w:r/>
            <w:r>
              <w:rPr>
                <w:rFonts w:ascii="Arial" w:hAnsi="Arial"/>
                <w:b/>
                <w:color w:val="FFFFFF"/>
                <w:sz w:val="18"/>
              </w:rPr>
              <w:t>Project coverage</w:t>
            </w:r>
          </w:p>
        </w:tc>
      </w:tr>
      <w:tr>
        <w:tc>
          <w:tcPr>
            <w:tcW w:type="dxa" w:w="3672"/>
            <w:vAlign w:val="center"/>
          </w:tcPr>
          <w:p>
            <w:pPr>
              <w:spacing w:after="0"/>
            </w:pPr>
            <w:r/>
            <w:r>
              <w:rPr>
                <w:rFonts w:ascii="Arial" w:hAnsi="Arial"/>
                <w:b w:val="0"/>
                <w:color w:val="172B2B"/>
                <w:sz w:val="18"/>
              </w:rPr>
              <w:t>EAGLE-I and weather years</w:t>
            </w:r>
          </w:p>
        </w:tc>
        <w:tc>
          <w:tcPr>
            <w:tcW w:type="dxa" w:w="4968"/>
            <w:vAlign w:val="center"/>
          </w:tcPr>
          <w:p>
            <w:pPr>
              <w:spacing w:after="0"/>
            </w:pPr>
            <w:r/>
            <w:r>
              <w:rPr>
                <w:rFonts w:ascii="Arial" w:hAnsi="Arial"/>
                <w:b w:val="0"/>
                <w:color w:val="172B2B"/>
                <w:sz w:val="18"/>
              </w:rPr>
              <w:t>2014-2024</w:t>
            </w:r>
          </w:p>
        </w:tc>
      </w:tr>
      <w:tr>
        <w:tc>
          <w:tcPr>
            <w:tcW w:type="dxa" w:w="3672"/>
            <w:vAlign w:val="center"/>
            <w:shd w:fill="F2F6F3"/>
          </w:tcPr>
          <w:p>
            <w:pPr>
              <w:spacing w:after="0"/>
            </w:pPr>
            <w:r/>
            <w:r>
              <w:rPr>
                <w:rFonts w:ascii="Arial" w:hAnsi="Arial"/>
                <w:b w:val="0"/>
                <w:color w:val="172B2B"/>
                <w:sz w:val="18"/>
              </w:rPr>
              <w:t>2014 coverage</w:t>
            </w:r>
          </w:p>
        </w:tc>
        <w:tc>
          <w:tcPr>
            <w:tcW w:type="dxa" w:w="4968"/>
            <w:vAlign w:val="center"/>
            <w:shd w:fill="F2F6F3"/>
          </w:tcPr>
          <w:p>
            <w:pPr>
              <w:spacing w:after="0"/>
            </w:pPr>
            <w:r/>
            <w:r>
              <w:rPr>
                <w:rFonts w:ascii="Arial" w:hAnsi="Arial"/>
                <w:b w:val="0"/>
                <w:color w:val="172B2B"/>
                <w:sz w:val="18"/>
              </w:rPr>
              <w:t>Partial year beginning November 1</w:t>
            </w:r>
          </w:p>
        </w:tc>
      </w:tr>
      <w:tr>
        <w:tc>
          <w:tcPr>
            <w:tcW w:type="dxa" w:w="3672"/>
            <w:vAlign w:val="center"/>
          </w:tcPr>
          <w:p>
            <w:pPr>
              <w:spacing w:after="0"/>
            </w:pPr>
            <w:r/>
            <w:r>
              <w:rPr>
                <w:rFonts w:ascii="Arial" w:hAnsi="Arial"/>
                <w:b w:val="0"/>
                <w:color w:val="172B2B"/>
                <w:sz w:val="18"/>
              </w:rPr>
              <w:t>Michigan counties</w:t>
            </w:r>
          </w:p>
        </w:tc>
        <w:tc>
          <w:tcPr>
            <w:tcW w:type="dxa" w:w="4968"/>
            <w:vAlign w:val="center"/>
          </w:tcPr>
          <w:p>
            <w:pPr>
              <w:spacing w:after="0"/>
            </w:pPr>
            <w:r/>
            <w:r>
              <w:rPr>
                <w:rFonts w:ascii="Arial" w:hAnsi="Arial"/>
                <w:b w:val="0"/>
                <w:color w:val="172B2B"/>
                <w:sz w:val="18"/>
              </w:rPr>
              <w:t>83</w:t>
            </w:r>
          </w:p>
        </w:tc>
      </w:tr>
      <w:tr>
        <w:tc>
          <w:tcPr>
            <w:tcW w:type="dxa" w:w="3672"/>
            <w:vAlign w:val="center"/>
            <w:shd w:fill="F2F6F3"/>
          </w:tcPr>
          <w:p>
            <w:pPr>
              <w:spacing w:after="0"/>
            </w:pPr>
            <w:r/>
            <w:r>
              <w:rPr>
                <w:rFonts w:ascii="Arial" w:hAnsi="Arial"/>
                <w:b w:val="0"/>
                <w:color w:val="172B2B"/>
                <w:sz w:val="18"/>
              </w:rPr>
              <w:t>Prepared prediction windows</w:t>
            </w:r>
          </w:p>
        </w:tc>
        <w:tc>
          <w:tcPr>
            <w:tcW w:type="dxa" w:w="4968"/>
            <w:vAlign w:val="center"/>
            <w:shd w:fill="F2F6F3"/>
          </w:tcPr>
          <w:p>
            <w:pPr>
              <w:spacing w:after="0"/>
            </w:pPr>
            <w:r/>
            <w:r>
              <w:rPr>
                <w:rFonts w:ascii="Arial" w:hAnsi="Arial"/>
                <w:b w:val="0"/>
                <w:color w:val="172B2B"/>
                <w:sz w:val="18"/>
              </w:rPr>
              <w:t>363,419</w:t>
            </w:r>
          </w:p>
        </w:tc>
      </w:tr>
      <w:tr>
        <w:tc>
          <w:tcPr>
            <w:tcW w:type="dxa" w:w="3672"/>
            <w:vAlign w:val="center"/>
          </w:tcPr>
          <w:p>
            <w:pPr>
              <w:spacing w:after="0"/>
            </w:pPr>
            <w:r/>
            <w:r>
              <w:rPr>
                <w:rFonts w:ascii="Arial" w:hAnsi="Arial"/>
                <w:b w:val="0"/>
                <w:color w:val="172B2B"/>
                <w:sz w:val="18"/>
              </w:rPr>
              <w:t>Model inputs</w:t>
            </w:r>
          </w:p>
        </w:tc>
        <w:tc>
          <w:tcPr>
            <w:tcW w:type="dxa" w:w="4968"/>
            <w:vAlign w:val="center"/>
          </w:tcPr>
          <w:p>
            <w:pPr>
              <w:spacing w:after="0"/>
            </w:pPr>
            <w:r/>
            <w:r>
              <w:rPr>
                <w:rFonts w:ascii="Arial" w:hAnsi="Arial"/>
                <w:b w:val="0"/>
                <w:color w:val="172B2B"/>
                <w:sz w:val="18"/>
              </w:rPr>
              <w:t>67</w:t>
            </w:r>
          </w:p>
        </w:tc>
      </w:tr>
      <w:tr>
        <w:tc>
          <w:tcPr>
            <w:tcW w:type="dxa" w:w="3672"/>
            <w:vAlign w:val="center"/>
            <w:shd w:fill="F2F6F3"/>
          </w:tcPr>
          <w:p>
            <w:pPr>
              <w:spacing w:after="0"/>
            </w:pPr>
            <w:r/>
            <w:r>
              <w:rPr>
                <w:rFonts w:ascii="Arial" w:hAnsi="Arial"/>
                <w:b w:val="0"/>
                <w:color w:val="172B2B"/>
                <w:sz w:val="18"/>
              </w:rPr>
              <w:t>2014-2022 training rows</w:t>
            </w:r>
          </w:p>
        </w:tc>
        <w:tc>
          <w:tcPr>
            <w:tcW w:type="dxa" w:w="4968"/>
            <w:vAlign w:val="center"/>
            <w:shd w:fill="F2F6F3"/>
          </w:tcPr>
          <w:p>
            <w:pPr>
              <w:spacing w:after="0"/>
            </w:pPr>
            <w:r/>
            <w:r>
              <w:rPr>
                <w:rFonts w:ascii="Arial" w:hAnsi="Arial"/>
                <w:b w:val="0"/>
                <w:color w:val="172B2B"/>
                <w:sz w:val="18"/>
              </w:rPr>
              <w:t>272,611</w:t>
            </w:r>
          </w:p>
        </w:tc>
      </w:tr>
      <w:tr>
        <w:tc>
          <w:tcPr>
            <w:tcW w:type="dxa" w:w="3672"/>
            <w:vAlign w:val="center"/>
          </w:tcPr>
          <w:p>
            <w:pPr>
              <w:spacing w:after="0"/>
            </w:pPr>
            <w:r/>
            <w:r>
              <w:rPr>
                <w:rFonts w:ascii="Arial" w:hAnsi="Arial"/>
                <w:b w:val="0"/>
                <w:color w:val="172B2B"/>
                <w:sz w:val="18"/>
              </w:rPr>
              <w:t>2023 threshold-selection rows</w:t>
            </w:r>
          </w:p>
        </w:tc>
        <w:tc>
          <w:tcPr>
            <w:tcW w:type="dxa" w:w="4968"/>
            <w:vAlign w:val="center"/>
          </w:tcPr>
          <w:p>
            <w:pPr>
              <w:spacing w:after="0"/>
            </w:pPr>
            <w:r/>
            <w:r>
              <w:rPr>
                <w:rFonts w:ascii="Arial" w:hAnsi="Arial"/>
                <w:b w:val="0"/>
                <w:color w:val="172B2B"/>
                <w:sz w:val="18"/>
              </w:rPr>
              <w:t>45,004</w:t>
            </w:r>
          </w:p>
        </w:tc>
      </w:tr>
      <w:tr>
        <w:tc>
          <w:tcPr>
            <w:tcW w:type="dxa" w:w="3672"/>
            <w:vAlign w:val="center"/>
            <w:shd w:fill="F2F6F3"/>
          </w:tcPr>
          <w:p>
            <w:pPr>
              <w:spacing w:after="0"/>
            </w:pPr>
            <w:r/>
            <w:r>
              <w:rPr>
                <w:rFonts w:ascii="Arial" w:hAnsi="Arial"/>
                <w:b w:val="0"/>
                <w:color w:val="172B2B"/>
                <w:sz w:val="18"/>
              </w:rPr>
              <w:t>2024 test rows</w:t>
            </w:r>
          </w:p>
        </w:tc>
        <w:tc>
          <w:tcPr>
            <w:tcW w:type="dxa" w:w="4968"/>
            <w:vAlign w:val="center"/>
            <w:shd w:fill="F2F6F3"/>
          </w:tcPr>
          <w:p>
            <w:pPr>
              <w:spacing w:after="0"/>
            </w:pPr>
            <w:r/>
            <w:r>
              <w:rPr>
                <w:rFonts w:ascii="Arial" w:hAnsi="Arial"/>
                <w:b w:val="0"/>
                <w:color w:val="172B2B"/>
                <w:sz w:val="18"/>
              </w:rPr>
              <w:t>45,804</w:t>
            </w:r>
          </w:p>
        </w:tc>
      </w:tr>
    </w:tbl>
    <w:p>
      <w:pPr>
        <w:spacing w:after="40"/>
      </w:pPr>
    </w:p>
    <w:p>
      <w:pPr>
        <w:spacing w:after="120"/>
      </w:pPr>
      <w:r>
        <w:t>The project excludes 2025 because the audited Michigan source did not provide explicit zero readings required for the selected negative-label interpretation. Incomplete target windows are omitted rather than assigned a zero outage count.</w:t>
      </w:r>
    </w:p>
    <w:p>
      <w:r>
        <w:br w:type="page"/>
      </w:r>
    </w:p>
    <w:p>
      <w:pPr>
        <w:pStyle w:val="Heading1"/>
        <w:keepNext/>
      </w:pPr>
      <w:r>
        <w:t>3. Cleaning and feature engineering</w:t>
      </w:r>
    </w:p>
    <w:p>
      <w:pPr>
        <w:spacing w:after="120"/>
      </w:pPr>
      <w:r>
        <w:t>The preparation workflow checksum-checks each annual EAGLE-I file, filters Michigan county records, standardizes county identifiers and timestamps, and rejects invalid or duplicate county/quarter-hour records. Counts are retained only when valid and nonnegative. A county-hour is considered complete only when all four quarter-hour readings are available; missing readings are not filled with zero.</w:t>
      </w:r>
    </w:p>
    <w:p>
      <w:pPr>
        <w:spacing w:after="120"/>
      </w:pPr>
      <w:r>
        <w:t>The combined modeling table contains 74 columns: time and county identifiers, 67 candidate model inputs, the target threshold and future target values, and the chronological split label. The single packaged Python model script validates the bundled table, normalizes keys and timestamps, converts malformed numeric values to missing, checks target consistency, and preserves legitimate missing weather/history values for HistGradientBoosting's native missing-value handling.</w:t>
      </w:r>
    </w:p>
    <w:tbl>
      <w:tblPr>
        <w:tblStyle w:val="TableGrid"/>
        <w:tblW w:type="auto" w:w="0"/>
        <w:tblLook w:firstColumn="1" w:firstRow="1" w:lastColumn="0" w:lastRow="0" w:noHBand="0" w:noVBand="1" w:val="04A0"/>
      </w:tblPr>
      <w:tblGrid>
        <w:gridCol w:w="4939"/>
        <w:gridCol w:w="4939"/>
      </w:tblGrid>
      <w:tr>
        <w:tc>
          <w:tcPr>
            <w:tcW w:type="dxa" w:w="2376"/>
            <w:vAlign w:val="center"/>
            <w:shd w:fill="176B5B"/>
          </w:tcPr>
          <w:p>
            <w:pPr>
              <w:spacing w:after="0"/>
            </w:pPr>
            <w:r/>
            <w:r>
              <w:rPr>
                <w:rFonts w:ascii="Arial" w:hAnsi="Arial"/>
                <w:b/>
                <w:color w:val="FFFFFF"/>
                <w:sz w:val="18"/>
              </w:rPr>
              <w:t>Feature group</w:t>
            </w:r>
          </w:p>
        </w:tc>
        <w:tc>
          <w:tcPr>
            <w:tcW w:type="dxa" w:w="6264"/>
            <w:vAlign w:val="center"/>
            <w:shd w:fill="176B5B"/>
          </w:tcPr>
          <w:p>
            <w:pPr>
              <w:spacing w:after="0"/>
            </w:pPr>
            <w:r/>
            <w:r>
              <w:rPr>
                <w:rFonts w:ascii="Arial" w:hAnsi="Arial"/>
                <w:b/>
                <w:color w:val="FFFFFF"/>
                <w:sz w:val="18"/>
              </w:rPr>
              <w:t>Examples</w:t>
            </w:r>
          </w:p>
        </w:tc>
      </w:tr>
      <w:tr>
        <w:tc>
          <w:tcPr>
            <w:tcW w:type="dxa" w:w="2376"/>
            <w:vAlign w:val="center"/>
          </w:tcPr>
          <w:p>
            <w:pPr>
              <w:spacing w:after="0"/>
            </w:pPr>
            <w:r/>
            <w:r>
              <w:rPr>
                <w:rFonts w:ascii="Arial" w:hAnsi="Arial"/>
                <w:b w:val="0"/>
                <w:color w:val="172B2B"/>
                <w:sz w:val="18"/>
              </w:rPr>
              <w:t>Weather</w:t>
            </w:r>
          </w:p>
        </w:tc>
        <w:tc>
          <w:tcPr>
            <w:tcW w:type="dxa" w:w="6264"/>
            <w:vAlign w:val="center"/>
          </w:tcPr>
          <w:p>
            <w:pPr>
              <w:spacing w:after="0"/>
            </w:pPr>
            <w:r/>
            <w:r>
              <w:rPr>
                <w:rFonts w:ascii="Arial" w:hAnsi="Arial"/>
                <w:b w:val="0"/>
                <w:color w:val="172B2B"/>
                <w:sz w:val="18"/>
              </w:rPr>
              <w:t>Temperature, dew point, humidity, wind, gust, precipitation, pressure</w:t>
            </w:r>
          </w:p>
        </w:tc>
      </w:tr>
      <w:tr>
        <w:tc>
          <w:tcPr>
            <w:tcW w:type="dxa" w:w="2376"/>
            <w:vAlign w:val="center"/>
            <w:shd w:fill="F2F6F3"/>
          </w:tcPr>
          <w:p>
            <w:pPr>
              <w:spacing w:after="0"/>
            </w:pPr>
            <w:r/>
            <w:r>
              <w:rPr>
                <w:rFonts w:ascii="Arial" w:hAnsi="Arial"/>
                <w:b w:val="0"/>
                <w:color w:val="172B2B"/>
                <w:sz w:val="18"/>
              </w:rPr>
              <w:t>Storm observations</w:t>
            </w:r>
          </w:p>
        </w:tc>
        <w:tc>
          <w:tcPr>
            <w:tcW w:type="dxa" w:w="6264"/>
            <w:vAlign w:val="center"/>
            <w:shd w:fill="F2F6F3"/>
          </w:tcPr>
          <w:p>
            <w:pPr>
              <w:spacing w:after="0"/>
            </w:pPr>
            <w:r/>
            <w:r>
              <w:rPr>
                <w:rFonts w:ascii="Arial" w:hAnsi="Arial"/>
                <w:b w:val="0"/>
                <w:color w:val="172B2B"/>
                <w:sz w:val="18"/>
              </w:rPr>
              <w:t>METAR-reported thunderstorm, squall, and heavy-rain codes</w:t>
            </w:r>
          </w:p>
        </w:tc>
      </w:tr>
      <w:tr>
        <w:tc>
          <w:tcPr>
            <w:tcW w:type="dxa" w:w="2376"/>
            <w:vAlign w:val="center"/>
          </w:tcPr>
          <w:p>
            <w:pPr>
              <w:spacing w:after="0"/>
            </w:pPr>
            <w:r/>
            <w:r>
              <w:rPr>
                <w:rFonts w:ascii="Arial" w:hAnsi="Arial"/>
                <w:b w:val="0"/>
                <w:color w:val="172B2B"/>
                <w:sz w:val="18"/>
              </w:rPr>
              <w:t>Weather history</w:t>
            </w:r>
          </w:p>
        </w:tc>
        <w:tc>
          <w:tcPr>
            <w:tcW w:type="dxa" w:w="6264"/>
            <w:vAlign w:val="center"/>
          </w:tcPr>
          <w:p>
            <w:pPr>
              <w:spacing w:after="0"/>
            </w:pPr>
            <w:r/>
            <w:r>
              <w:rPr>
                <w:rFonts w:ascii="Arial" w:hAnsi="Arial"/>
                <w:b w:val="0"/>
                <w:color w:val="172B2B"/>
                <w:sz w:val="18"/>
              </w:rPr>
              <w:t>Lagged values and rolling maxima over 6, 12, 24, and 48 hours</w:t>
            </w:r>
          </w:p>
        </w:tc>
      </w:tr>
      <w:tr>
        <w:tc>
          <w:tcPr>
            <w:tcW w:type="dxa" w:w="2376"/>
            <w:vAlign w:val="center"/>
            <w:shd w:fill="F2F6F3"/>
          </w:tcPr>
          <w:p>
            <w:pPr>
              <w:spacing w:after="0"/>
            </w:pPr>
            <w:r/>
            <w:r>
              <w:rPr>
                <w:rFonts w:ascii="Arial" w:hAnsi="Arial"/>
                <w:b w:val="0"/>
                <w:color w:val="172B2B"/>
                <w:sz w:val="18"/>
              </w:rPr>
              <w:t>Outage history</w:t>
            </w:r>
          </w:p>
        </w:tc>
        <w:tc>
          <w:tcPr>
            <w:tcW w:type="dxa" w:w="6264"/>
            <w:vAlign w:val="center"/>
            <w:shd w:fill="F2F6F3"/>
          </w:tcPr>
          <w:p>
            <w:pPr>
              <w:spacing w:after="0"/>
            </w:pPr>
            <w:r/>
            <w:r>
              <w:rPr>
                <w:rFonts w:ascii="Arial" w:hAnsi="Arial"/>
                <w:b w:val="0"/>
                <w:color w:val="172B2B"/>
                <w:sz w:val="18"/>
              </w:rPr>
              <w:t>Last observed count, rolling means/peak, and coverage indicators</w:t>
            </w:r>
          </w:p>
        </w:tc>
      </w:tr>
      <w:tr>
        <w:tc>
          <w:tcPr>
            <w:tcW w:type="dxa" w:w="2376"/>
            <w:vAlign w:val="center"/>
          </w:tcPr>
          <w:p>
            <w:pPr>
              <w:spacing w:after="0"/>
            </w:pPr>
            <w:r/>
            <w:r>
              <w:rPr>
                <w:rFonts w:ascii="Arial" w:hAnsi="Arial"/>
                <w:b w:val="0"/>
                <w:color w:val="172B2B"/>
                <w:sz w:val="18"/>
              </w:rPr>
              <w:t>Time and location</w:t>
            </w:r>
          </w:p>
        </w:tc>
        <w:tc>
          <w:tcPr>
            <w:tcW w:type="dxa" w:w="6264"/>
            <w:vAlign w:val="center"/>
          </w:tcPr>
          <w:p>
            <w:pPr>
              <w:spacing w:after="0"/>
            </w:pPr>
            <w:r/>
            <w:r>
              <w:rPr>
                <w:rFonts w:ascii="Arial" w:hAnsi="Arial"/>
                <w:b w:val="0"/>
                <w:color w:val="172B2B"/>
                <w:sz w:val="18"/>
              </w:rPr>
              <w:t>County coordinates, nearest-station distance, local hour, weekday, month</w:t>
            </w:r>
          </w:p>
        </w:tc>
      </w:tr>
    </w:tbl>
    <w:p>
      <w:pPr>
        <w:spacing w:after="40"/>
      </w:pPr>
    </w:p>
    <w:p>
      <w:pPr>
        <w:spacing w:after="120"/>
      </w:pPr>
      <w:r>
        <w:t>Historical NWS warning features were left out because year-complete, validated warning records were unavailable for the full study period. Weather observation availability is modeled with an assumed two-hour delay; the actual historical reporting latency was not independently verified.</w:t>
      </w:r>
    </w:p>
    <w:p>
      <w:pPr>
        <w:pStyle w:val="Heading1"/>
        <w:keepNext/>
      </w:pPr>
      <w:r>
        <w:t>4. Target and model method</w:t>
      </w:r>
    </w:p>
    <w:p>
      <w:pPr>
        <w:spacing w:after="120"/>
      </w:pPr>
      <w:r>
        <w:t>For each county, the project calculates the 90th percentile of complete hourly outage-count means from the training years 2014-2022, with a lower bound of one customer. A prediction row is positive when the maximum complete hourly county mean during the next three hours reaches or exceeds that county's training-period cutoff. The issue cadence is every three hours in UTC.</w:t>
      </w:r>
    </w:p>
    <w:p>
      <w:pPr>
        <w:spacing w:after="120"/>
      </w:pPr>
      <w:r>
        <w:t>The classifier is scikit-learn HistGradientBoostingClassifier. It uses 180 boosting iterations, at most 15 leaves per tree, learning rate 0.05, minimum leaf size 40, L2 regularization 2, and a fixed random seed. Inverse-frequency sample weights address class imbalance. The 2023 threshold is chosen to maximize recall while keeping validation false-positive rate at or below 2%, with at least 25 alerts. The 2024 test is then scored using this fixed model and threshold.</w:t>
      </w:r>
    </w:p>
    <w:tbl>
      <w:tblPr>
        <w:tblStyle w:val="TableGrid"/>
        <w:tblW w:type="auto" w:w="0"/>
        <w:tblLook w:firstColumn="1" w:firstRow="1" w:lastColumn="0" w:lastRow="0" w:noHBand="0" w:noVBand="1" w:val="04A0"/>
      </w:tblPr>
      <w:tblGrid>
        <w:gridCol w:w="3293"/>
        <w:gridCol w:w="3293"/>
        <w:gridCol w:w="3293"/>
      </w:tblGrid>
      <w:tr>
        <w:tc>
          <w:tcPr>
            <w:tcW w:type="dxa" w:w="2016"/>
            <w:vAlign w:val="center"/>
            <w:shd w:fill="176B5B"/>
          </w:tcPr>
          <w:p>
            <w:pPr>
              <w:spacing w:after="0"/>
            </w:pPr>
            <w:r/>
            <w:r>
              <w:rPr>
                <w:rFonts w:ascii="Arial" w:hAnsi="Arial"/>
                <w:b/>
                <w:color w:val="FFFFFF"/>
                <w:sz w:val="18"/>
              </w:rPr>
              <w:t>Split</w:t>
            </w:r>
          </w:p>
        </w:tc>
        <w:tc>
          <w:tcPr>
            <w:tcW w:type="dxa" w:w="4464"/>
            <w:vAlign w:val="center"/>
            <w:shd w:fill="176B5B"/>
          </w:tcPr>
          <w:p>
            <w:pPr>
              <w:spacing w:after="0"/>
            </w:pPr>
            <w:r/>
            <w:r>
              <w:rPr>
                <w:rFonts w:ascii="Arial" w:hAnsi="Arial"/>
                <w:b/>
                <w:color w:val="FFFFFF"/>
                <w:sz w:val="18"/>
              </w:rPr>
              <w:t>Use</w:t>
            </w:r>
          </w:p>
        </w:tc>
        <w:tc>
          <w:tcPr>
            <w:tcW w:type="dxa" w:w="2160"/>
            <w:vAlign w:val="center"/>
            <w:shd w:fill="176B5B"/>
          </w:tcPr>
          <w:p>
            <w:pPr>
              <w:spacing w:after="0"/>
            </w:pPr>
            <w:r/>
            <w:r>
              <w:rPr>
                <w:rFonts w:ascii="Arial" w:hAnsi="Arial"/>
                <w:b/>
                <w:color w:val="FFFFFF"/>
                <w:sz w:val="18"/>
              </w:rPr>
              <w:t>Rows</w:t>
            </w:r>
          </w:p>
        </w:tc>
      </w:tr>
      <w:tr>
        <w:tc>
          <w:tcPr>
            <w:tcW w:type="dxa" w:w="2016"/>
            <w:vAlign w:val="center"/>
          </w:tcPr>
          <w:p>
            <w:pPr>
              <w:spacing w:after="0"/>
            </w:pPr>
            <w:r/>
            <w:r>
              <w:rPr>
                <w:rFonts w:ascii="Arial" w:hAnsi="Arial"/>
                <w:b w:val="0"/>
                <w:color w:val="172B2B"/>
                <w:sz w:val="18"/>
              </w:rPr>
              <w:t>2014-2022</w:t>
            </w:r>
          </w:p>
        </w:tc>
        <w:tc>
          <w:tcPr>
            <w:tcW w:type="dxa" w:w="4464"/>
            <w:vAlign w:val="center"/>
          </w:tcPr>
          <w:p>
            <w:pPr>
              <w:spacing w:after="0"/>
            </w:pPr>
            <w:r/>
            <w:r>
              <w:rPr>
                <w:rFonts w:ascii="Arial" w:hAnsi="Arial"/>
                <w:b w:val="0"/>
                <w:color w:val="172B2B"/>
                <w:sz w:val="18"/>
              </w:rPr>
              <w:t>Fit model and calculate county thresholds</w:t>
            </w:r>
          </w:p>
        </w:tc>
        <w:tc>
          <w:tcPr>
            <w:tcW w:type="dxa" w:w="2160"/>
            <w:vAlign w:val="center"/>
          </w:tcPr>
          <w:p>
            <w:pPr>
              <w:spacing w:after="0"/>
            </w:pPr>
            <w:r/>
            <w:r>
              <w:rPr>
                <w:rFonts w:ascii="Arial" w:hAnsi="Arial"/>
                <w:b w:val="0"/>
                <w:color w:val="172B2B"/>
                <w:sz w:val="18"/>
              </w:rPr>
              <w:t>272,611</w:t>
            </w:r>
          </w:p>
        </w:tc>
      </w:tr>
      <w:tr>
        <w:tc>
          <w:tcPr>
            <w:tcW w:type="dxa" w:w="2016"/>
            <w:vAlign w:val="center"/>
            <w:shd w:fill="F2F6F3"/>
          </w:tcPr>
          <w:p>
            <w:pPr>
              <w:spacing w:after="0"/>
            </w:pPr>
            <w:r/>
            <w:r>
              <w:rPr>
                <w:rFonts w:ascii="Arial" w:hAnsi="Arial"/>
                <w:b w:val="0"/>
                <w:color w:val="172B2B"/>
                <w:sz w:val="18"/>
              </w:rPr>
              <w:t>2023</w:t>
            </w:r>
          </w:p>
        </w:tc>
        <w:tc>
          <w:tcPr>
            <w:tcW w:type="dxa" w:w="4464"/>
            <w:vAlign w:val="center"/>
            <w:shd w:fill="F2F6F3"/>
          </w:tcPr>
          <w:p>
            <w:pPr>
              <w:spacing w:after="0"/>
            </w:pPr>
            <w:r/>
            <w:r>
              <w:rPr>
                <w:rFonts w:ascii="Arial" w:hAnsi="Arial"/>
                <w:b w:val="0"/>
                <w:color w:val="172B2B"/>
                <w:sz w:val="18"/>
              </w:rPr>
              <w:t>Select alert threshold</w:t>
            </w:r>
          </w:p>
        </w:tc>
        <w:tc>
          <w:tcPr>
            <w:tcW w:type="dxa" w:w="2160"/>
            <w:vAlign w:val="center"/>
            <w:shd w:fill="F2F6F3"/>
          </w:tcPr>
          <w:p>
            <w:pPr>
              <w:spacing w:after="0"/>
            </w:pPr>
            <w:r/>
            <w:r>
              <w:rPr>
                <w:rFonts w:ascii="Arial" w:hAnsi="Arial"/>
                <w:b w:val="0"/>
                <w:color w:val="172B2B"/>
                <w:sz w:val="18"/>
              </w:rPr>
              <w:t>45,004</w:t>
            </w:r>
          </w:p>
        </w:tc>
      </w:tr>
      <w:tr>
        <w:tc>
          <w:tcPr>
            <w:tcW w:type="dxa" w:w="2016"/>
            <w:vAlign w:val="center"/>
          </w:tcPr>
          <w:p>
            <w:pPr>
              <w:spacing w:after="0"/>
            </w:pPr>
            <w:r/>
            <w:r>
              <w:rPr>
                <w:rFonts w:ascii="Arial" w:hAnsi="Arial"/>
                <w:b w:val="0"/>
                <w:color w:val="172B2B"/>
                <w:sz w:val="18"/>
              </w:rPr>
              <w:t>2024</w:t>
            </w:r>
          </w:p>
        </w:tc>
        <w:tc>
          <w:tcPr>
            <w:tcW w:type="dxa" w:w="4464"/>
            <w:vAlign w:val="center"/>
          </w:tcPr>
          <w:p>
            <w:pPr>
              <w:spacing w:after="0"/>
            </w:pPr>
            <w:r/>
            <w:r>
              <w:rPr>
                <w:rFonts w:ascii="Arial" w:hAnsi="Arial"/>
                <w:b w:val="0"/>
                <w:color w:val="172B2B"/>
                <w:sz w:val="18"/>
              </w:rPr>
              <w:t>Fixed historical evaluation</w:t>
            </w:r>
          </w:p>
        </w:tc>
        <w:tc>
          <w:tcPr>
            <w:tcW w:type="dxa" w:w="2160"/>
            <w:vAlign w:val="center"/>
          </w:tcPr>
          <w:p>
            <w:pPr>
              <w:spacing w:after="0"/>
            </w:pPr>
            <w:r/>
            <w:r>
              <w:rPr>
                <w:rFonts w:ascii="Arial" w:hAnsi="Arial"/>
                <w:b w:val="0"/>
                <w:color w:val="172B2B"/>
                <w:sz w:val="18"/>
              </w:rPr>
              <w:t>45,804</w:t>
            </w:r>
          </w:p>
        </w:tc>
      </w:tr>
    </w:tbl>
    <w:p>
      <w:pPr>
        <w:spacing w:after="40"/>
      </w:pPr>
    </w:p>
    <w:p>
      <w:pPr>
        <w:pStyle w:val="Heading1"/>
        <w:keepNext/>
      </w:pPr>
      <w:r>
        <w:t>5. Results</w:t>
      </w:r>
    </w:p>
    <w:p>
      <w:pPr>
        <w:spacing w:after="120"/>
      </w:pPr>
      <w:r>
        <w:t>The held-out 2024 subset contains 45,804 labeled county/time windows, with an 11.33% positive rate. The chosen model issued 3,980 alerts. The confusion matrix is 39,800 true negatives, 815 false positives, 2,024 false negatives, and 3,165 true positives.</w:t>
      </w:r>
    </w:p>
    <w:tbl>
      <w:tblPr>
        <w:tblStyle w:val="TableGrid"/>
        <w:tblW w:type="auto" w:w="0"/>
        <w:tblLook w:firstColumn="1" w:firstRow="1" w:lastColumn="0" w:lastRow="0" w:noHBand="0" w:noVBand="1" w:val="04A0"/>
      </w:tblPr>
      <w:tblGrid>
        <w:gridCol w:w="3293"/>
        <w:gridCol w:w="3293"/>
        <w:gridCol w:w="3293"/>
      </w:tblGrid>
      <w:tr>
        <w:tc>
          <w:tcPr>
            <w:tcW w:type="dxa" w:w="2088"/>
            <w:vAlign w:val="center"/>
            <w:shd w:fill="176B5B"/>
          </w:tcPr>
          <w:p>
            <w:pPr>
              <w:spacing w:after="0"/>
            </w:pPr>
            <w:r/>
            <w:r>
              <w:rPr>
                <w:rFonts w:ascii="Arial" w:hAnsi="Arial"/>
                <w:b/>
                <w:color w:val="FFFFFF"/>
                <w:sz w:val="18"/>
              </w:rPr>
              <w:t>Metric</w:t>
            </w:r>
          </w:p>
        </w:tc>
        <w:tc>
          <w:tcPr>
            <w:tcW w:type="dxa" w:w="1728"/>
            <w:vAlign w:val="center"/>
            <w:shd w:fill="176B5B"/>
          </w:tcPr>
          <w:p>
            <w:pPr>
              <w:spacing w:after="0"/>
            </w:pPr>
            <w:r/>
            <w:r>
              <w:rPr>
                <w:rFonts w:ascii="Arial" w:hAnsi="Arial"/>
                <w:b/>
                <w:color w:val="FFFFFF"/>
                <w:sz w:val="18"/>
              </w:rPr>
              <w:t>2024 test result</w:t>
            </w:r>
          </w:p>
        </w:tc>
        <w:tc>
          <w:tcPr>
            <w:tcW w:type="dxa" w:w="4824"/>
            <w:vAlign w:val="center"/>
            <w:shd w:fill="176B5B"/>
          </w:tcPr>
          <w:p>
            <w:pPr>
              <w:spacing w:after="0"/>
            </w:pPr>
            <w:r/>
            <w:r>
              <w:rPr>
                <w:rFonts w:ascii="Arial" w:hAnsi="Arial"/>
                <w:b/>
                <w:color w:val="FFFFFF"/>
                <w:sz w:val="18"/>
              </w:rPr>
              <w:t>Interpretation</w:t>
            </w:r>
          </w:p>
        </w:tc>
      </w:tr>
      <w:tr>
        <w:tc>
          <w:tcPr>
            <w:tcW w:type="dxa" w:w="2088"/>
            <w:vAlign w:val="center"/>
          </w:tcPr>
          <w:p>
            <w:pPr>
              <w:spacing w:after="0"/>
            </w:pPr>
            <w:r/>
            <w:r>
              <w:rPr>
                <w:rFonts w:ascii="Arial" w:hAnsi="Arial"/>
                <w:b w:val="0"/>
                <w:color w:val="172B2B"/>
                <w:sz w:val="18"/>
              </w:rPr>
              <w:t>Accuracy</w:t>
            </w:r>
          </w:p>
        </w:tc>
        <w:tc>
          <w:tcPr>
            <w:tcW w:type="dxa" w:w="1728"/>
            <w:vAlign w:val="center"/>
          </w:tcPr>
          <w:p>
            <w:pPr>
              <w:spacing w:after="0"/>
            </w:pPr>
            <w:r/>
            <w:r>
              <w:rPr>
                <w:rFonts w:ascii="Arial" w:hAnsi="Arial"/>
                <w:b w:val="0"/>
                <w:color w:val="172B2B"/>
                <w:sz w:val="18"/>
              </w:rPr>
              <w:t>93.80%</w:t>
            </w:r>
          </w:p>
        </w:tc>
        <w:tc>
          <w:tcPr>
            <w:tcW w:type="dxa" w:w="4824"/>
            <w:vAlign w:val="center"/>
          </w:tcPr>
          <w:p>
            <w:pPr>
              <w:spacing w:after="0"/>
            </w:pPr>
            <w:r/>
            <w:r>
              <w:rPr>
                <w:rFonts w:ascii="Arial" w:hAnsi="Arial"/>
                <w:b w:val="0"/>
                <w:color w:val="172B2B"/>
                <w:sz w:val="18"/>
              </w:rPr>
              <w:t>Overall share classified correctly; affected by class balance</w:t>
            </w:r>
          </w:p>
        </w:tc>
      </w:tr>
      <w:tr>
        <w:tc>
          <w:tcPr>
            <w:tcW w:type="dxa" w:w="2088"/>
            <w:vAlign w:val="center"/>
            <w:shd w:fill="F2F6F3"/>
          </w:tcPr>
          <w:p>
            <w:pPr>
              <w:spacing w:after="0"/>
            </w:pPr>
            <w:r/>
            <w:r>
              <w:rPr>
                <w:rFonts w:ascii="Arial" w:hAnsi="Arial"/>
                <w:b w:val="0"/>
                <w:color w:val="172B2B"/>
                <w:sz w:val="18"/>
              </w:rPr>
              <w:t>Balanced accuracy</w:t>
            </w:r>
          </w:p>
        </w:tc>
        <w:tc>
          <w:tcPr>
            <w:tcW w:type="dxa" w:w="1728"/>
            <w:vAlign w:val="center"/>
            <w:shd w:fill="F2F6F3"/>
          </w:tcPr>
          <w:p>
            <w:pPr>
              <w:spacing w:after="0"/>
            </w:pPr>
            <w:r/>
            <w:r>
              <w:rPr>
                <w:rFonts w:ascii="Arial" w:hAnsi="Arial"/>
                <w:b w:val="0"/>
                <w:color w:val="172B2B"/>
                <w:sz w:val="18"/>
              </w:rPr>
              <w:t>79.49%</w:t>
            </w:r>
          </w:p>
        </w:tc>
        <w:tc>
          <w:tcPr>
            <w:tcW w:type="dxa" w:w="4824"/>
            <w:vAlign w:val="center"/>
            <w:shd w:fill="F2F6F3"/>
          </w:tcPr>
          <w:p>
            <w:pPr>
              <w:spacing w:after="0"/>
            </w:pPr>
            <w:r/>
            <w:r>
              <w:rPr>
                <w:rFonts w:ascii="Arial" w:hAnsi="Arial"/>
                <w:b w:val="0"/>
                <w:color w:val="172B2B"/>
                <w:sz w:val="18"/>
              </w:rPr>
              <w:t>Average recall across both classes</w:t>
            </w:r>
          </w:p>
        </w:tc>
      </w:tr>
      <w:tr>
        <w:tc>
          <w:tcPr>
            <w:tcW w:type="dxa" w:w="2088"/>
            <w:vAlign w:val="center"/>
          </w:tcPr>
          <w:p>
            <w:pPr>
              <w:spacing w:after="0"/>
            </w:pPr>
            <w:r/>
            <w:r>
              <w:rPr>
                <w:rFonts w:ascii="Arial" w:hAnsi="Arial"/>
                <w:b w:val="0"/>
                <w:color w:val="172B2B"/>
                <w:sz w:val="18"/>
              </w:rPr>
              <w:t>Precision</w:t>
            </w:r>
          </w:p>
        </w:tc>
        <w:tc>
          <w:tcPr>
            <w:tcW w:type="dxa" w:w="1728"/>
            <w:vAlign w:val="center"/>
          </w:tcPr>
          <w:p>
            <w:pPr>
              <w:spacing w:after="0"/>
            </w:pPr>
            <w:r/>
            <w:r>
              <w:rPr>
                <w:rFonts w:ascii="Arial" w:hAnsi="Arial"/>
                <w:b w:val="0"/>
                <w:color w:val="172B2B"/>
                <w:sz w:val="18"/>
              </w:rPr>
              <w:t>79.52%</w:t>
            </w:r>
          </w:p>
        </w:tc>
        <w:tc>
          <w:tcPr>
            <w:tcW w:type="dxa" w:w="4824"/>
            <w:vAlign w:val="center"/>
          </w:tcPr>
          <w:p>
            <w:pPr>
              <w:spacing w:after="0"/>
            </w:pPr>
            <w:r/>
            <w:r>
              <w:rPr>
                <w:rFonts w:ascii="Arial" w:hAnsi="Arial"/>
                <w:b w:val="0"/>
                <w:color w:val="172B2B"/>
                <w:sz w:val="18"/>
              </w:rPr>
              <w:t>Share of alerts that matched the positive label</w:t>
            </w:r>
          </w:p>
        </w:tc>
      </w:tr>
      <w:tr>
        <w:tc>
          <w:tcPr>
            <w:tcW w:type="dxa" w:w="2088"/>
            <w:vAlign w:val="center"/>
            <w:shd w:fill="F2F6F3"/>
          </w:tcPr>
          <w:p>
            <w:pPr>
              <w:spacing w:after="0"/>
            </w:pPr>
            <w:r/>
            <w:r>
              <w:rPr>
                <w:rFonts w:ascii="Arial" w:hAnsi="Arial"/>
                <w:b w:val="0"/>
                <w:color w:val="172B2B"/>
                <w:sz w:val="18"/>
              </w:rPr>
              <w:t>Recall</w:t>
            </w:r>
          </w:p>
        </w:tc>
        <w:tc>
          <w:tcPr>
            <w:tcW w:type="dxa" w:w="1728"/>
            <w:vAlign w:val="center"/>
            <w:shd w:fill="F2F6F3"/>
          </w:tcPr>
          <w:p>
            <w:pPr>
              <w:spacing w:after="0"/>
            </w:pPr>
            <w:r/>
            <w:r>
              <w:rPr>
                <w:rFonts w:ascii="Arial" w:hAnsi="Arial"/>
                <w:b w:val="0"/>
                <w:color w:val="172B2B"/>
                <w:sz w:val="18"/>
              </w:rPr>
              <w:t>60.99%</w:t>
            </w:r>
          </w:p>
        </w:tc>
        <w:tc>
          <w:tcPr>
            <w:tcW w:type="dxa" w:w="4824"/>
            <w:vAlign w:val="center"/>
            <w:shd w:fill="F2F6F3"/>
          </w:tcPr>
          <w:p>
            <w:pPr>
              <w:spacing w:after="0"/>
            </w:pPr>
            <w:r/>
            <w:r>
              <w:rPr>
                <w:rFonts w:ascii="Arial" w:hAnsi="Arial"/>
                <w:b w:val="0"/>
                <w:color w:val="172B2B"/>
                <w:sz w:val="18"/>
              </w:rPr>
              <w:t>Share of positive windows detected</w:t>
            </w:r>
          </w:p>
        </w:tc>
      </w:tr>
      <w:tr>
        <w:tc>
          <w:tcPr>
            <w:tcW w:type="dxa" w:w="2088"/>
            <w:vAlign w:val="center"/>
          </w:tcPr>
          <w:p>
            <w:pPr>
              <w:spacing w:after="0"/>
            </w:pPr>
            <w:r/>
            <w:r>
              <w:rPr>
                <w:rFonts w:ascii="Arial" w:hAnsi="Arial"/>
                <w:b w:val="0"/>
                <w:color w:val="172B2B"/>
                <w:sz w:val="18"/>
              </w:rPr>
              <w:t>F1 score</w:t>
            </w:r>
          </w:p>
        </w:tc>
        <w:tc>
          <w:tcPr>
            <w:tcW w:type="dxa" w:w="1728"/>
            <w:vAlign w:val="center"/>
          </w:tcPr>
          <w:p>
            <w:pPr>
              <w:spacing w:after="0"/>
            </w:pPr>
            <w:r/>
            <w:r>
              <w:rPr>
                <w:rFonts w:ascii="Arial" w:hAnsi="Arial"/>
                <w:b w:val="0"/>
                <w:color w:val="172B2B"/>
                <w:sz w:val="18"/>
              </w:rPr>
              <w:t>0.690</w:t>
            </w:r>
          </w:p>
        </w:tc>
        <w:tc>
          <w:tcPr>
            <w:tcW w:type="dxa" w:w="4824"/>
            <w:vAlign w:val="center"/>
          </w:tcPr>
          <w:p>
            <w:pPr>
              <w:spacing w:after="0"/>
            </w:pPr>
            <w:r/>
            <w:r>
              <w:rPr>
                <w:rFonts w:ascii="Arial" w:hAnsi="Arial"/>
                <w:b w:val="0"/>
                <w:color w:val="172B2B"/>
                <w:sz w:val="18"/>
              </w:rPr>
              <w:t>Harmonic mean of precision and recall</w:t>
            </w:r>
          </w:p>
        </w:tc>
      </w:tr>
      <w:tr>
        <w:tc>
          <w:tcPr>
            <w:tcW w:type="dxa" w:w="2088"/>
            <w:vAlign w:val="center"/>
            <w:shd w:fill="F2F6F3"/>
          </w:tcPr>
          <w:p>
            <w:pPr>
              <w:spacing w:after="0"/>
            </w:pPr>
            <w:r/>
            <w:r>
              <w:rPr>
                <w:rFonts w:ascii="Arial" w:hAnsi="Arial"/>
                <w:b w:val="0"/>
                <w:color w:val="172B2B"/>
                <w:sz w:val="18"/>
              </w:rPr>
              <w:t>Average precision</w:t>
            </w:r>
          </w:p>
        </w:tc>
        <w:tc>
          <w:tcPr>
            <w:tcW w:type="dxa" w:w="1728"/>
            <w:vAlign w:val="center"/>
            <w:shd w:fill="F2F6F3"/>
          </w:tcPr>
          <w:p>
            <w:pPr>
              <w:spacing w:after="0"/>
            </w:pPr>
            <w:r/>
            <w:r>
              <w:rPr>
                <w:rFonts w:ascii="Arial" w:hAnsi="Arial"/>
                <w:b w:val="0"/>
                <w:color w:val="172B2B"/>
                <w:sz w:val="18"/>
              </w:rPr>
              <w:t>0.733</w:t>
            </w:r>
          </w:p>
        </w:tc>
        <w:tc>
          <w:tcPr>
            <w:tcW w:type="dxa" w:w="4824"/>
            <w:vAlign w:val="center"/>
            <w:shd w:fill="F2F6F3"/>
          </w:tcPr>
          <w:p>
            <w:pPr>
              <w:spacing w:after="0"/>
            </w:pPr>
            <w:r/>
            <w:r>
              <w:rPr>
                <w:rFonts w:ascii="Arial" w:hAnsi="Arial"/>
                <w:b w:val="0"/>
                <w:color w:val="172B2B"/>
                <w:sz w:val="18"/>
              </w:rPr>
              <w:t>Ranking quality across thresholds</w:t>
            </w:r>
          </w:p>
        </w:tc>
      </w:tr>
      <w:tr>
        <w:tc>
          <w:tcPr>
            <w:tcW w:type="dxa" w:w="2088"/>
            <w:vAlign w:val="center"/>
          </w:tcPr>
          <w:p>
            <w:pPr>
              <w:spacing w:after="0"/>
            </w:pPr>
            <w:r/>
            <w:r>
              <w:rPr>
                <w:rFonts w:ascii="Arial" w:hAnsi="Arial"/>
                <w:b w:val="0"/>
                <w:color w:val="172B2B"/>
                <w:sz w:val="18"/>
              </w:rPr>
              <w:t>ROC AUC</w:t>
            </w:r>
          </w:p>
        </w:tc>
        <w:tc>
          <w:tcPr>
            <w:tcW w:type="dxa" w:w="1728"/>
            <w:vAlign w:val="center"/>
          </w:tcPr>
          <w:p>
            <w:pPr>
              <w:spacing w:after="0"/>
            </w:pPr>
            <w:r/>
            <w:r>
              <w:rPr>
                <w:rFonts w:ascii="Arial" w:hAnsi="Arial"/>
                <w:b w:val="0"/>
                <w:color w:val="172B2B"/>
                <w:sz w:val="18"/>
              </w:rPr>
              <w:t>0.889</w:t>
            </w:r>
          </w:p>
        </w:tc>
        <w:tc>
          <w:tcPr>
            <w:tcW w:type="dxa" w:w="4824"/>
            <w:vAlign w:val="center"/>
          </w:tcPr>
          <w:p>
            <w:pPr>
              <w:spacing w:after="0"/>
            </w:pPr>
            <w:r/>
            <w:r>
              <w:rPr>
                <w:rFonts w:ascii="Arial" w:hAnsi="Arial"/>
                <w:b w:val="0"/>
                <w:color w:val="172B2B"/>
                <w:sz w:val="18"/>
              </w:rPr>
              <w:t>Discrimination across thresholds</w:t>
            </w:r>
          </w:p>
        </w:tc>
      </w:tr>
      <w:tr>
        <w:tc>
          <w:tcPr>
            <w:tcW w:type="dxa" w:w="2088"/>
            <w:vAlign w:val="center"/>
            <w:shd w:fill="F2F6F3"/>
          </w:tcPr>
          <w:p>
            <w:pPr>
              <w:spacing w:after="0"/>
            </w:pPr>
            <w:r/>
            <w:r>
              <w:rPr>
                <w:rFonts w:ascii="Arial" w:hAnsi="Arial"/>
                <w:b w:val="0"/>
                <w:color w:val="172B2B"/>
                <w:sz w:val="18"/>
              </w:rPr>
              <w:t>False-positive rate</w:t>
            </w:r>
          </w:p>
        </w:tc>
        <w:tc>
          <w:tcPr>
            <w:tcW w:type="dxa" w:w="1728"/>
            <w:vAlign w:val="center"/>
            <w:shd w:fill="F2F6F3"/>
          </w:tcPr>
          <w:p>
            <w:pPr>
              <w:spacing w:after="0"/>
            </w:pPr>
            <w:r/>
            <w:r>
              <w:rPr>
                <w:rFonts w:ascii="Arial" w:hAnsi="Arial"/>
                <w:b w:val="0"/>
                <w:color w:val="172B2B"/>
                <w:sz w:val="18"/>
              </w:rPr>
              <w:t>2.01%</w:t>
            </w:r>
          </w:p>
        </w:tc>
        <w:tc>
          <w:tcPr>
            <w:tcW w:type="dxa" w:w="4824"/>
            <w:vAlign w:val="center"/>
            <w:shd w:fill="F2F6F3"/>
          </w:tcPr>
          <w:p>
            <w:pPr>
              <w:spacing w:after="0"/>
            </w:pPr>
            <w:r/>
            <w:r>
              <w:rPr>
                <w:rFonts w:ascii="Arial" w:hAnsi="Arial"/>
                <w:b w:val="0"/>
                <w:color w:val="172B2B"/>
                <w:sz w:val="18"/>
              </w:rPr>
              <w:t>Share of negative windows flagged</w:t>
            </w:r>
          </w:p>
        </w:tc>
      </w:tr>
    </w:tbl>
    <w:p>
      <w:pPr>
        <w:spacing w:after="40"/>
      </w:pPr>
    </w:p>
    <w:p>
      <w:pPr>
        <w:spacing w:after="120"/>
      </w:pPr>
      <w:r>
        <w:t>The 2023 threshold-selection false-positive rate was 2.00%; the 2024 test rate was 2.01%. The validation constraint is not a guarantee of the same rate in future data. The model's raw scores are uncalibrated, so they should not be presented as real-world outage probabilities.</w:t>
      </w:r>
    </w:p>
    <w:p>
      <w:pPr>
        <w:pStyle w:val="Heading1"/>
        <w:keepNext/>
      </w:pPr>
      <w:r>
        <w:t>6. Historical examples</w:t>
      </w:r>
    </w:p>
    <w:p>
      <w:pPr>
        <w:spacing w:after="120"/>
      </w:pPr>
      <w:r>
        <w:t>The following examples were selected by model score within predicted-alert and predicted-no-alert groups, without using the actual test label for selection. The actual labels are shown only for retrospective comparison. Scores are uncalibrated model outputs.</w:t>
      </w:r>
    </w:p>
    <w:tbl>
      <w:tblPr>
        <w:tblStyle w:val="TableGrid"/>
        <w:tblW w:type="auto" w:w="0"/>
        <w:tblLook w:firstColumn="1" w:firstRow="1" w:lastColumn="0" w:lastRow="0" w:noHBand="0" w:noVBand="1" w:val="04A0"/>
      </w:tblPr>
      <w:tblGrid>
        <w:gridCol w:w="1976"/>
        <w:gridCol w:w="1976"/>
        <w:gridCol w:w="1976"/>
        <w:gridCol w:w="1976"/>
        <w:gridCol w:w="1976"/>
      </w:tblGrid>
      <w:tr>
        <w:tc>
          <w:tcPr>
            <w:tcW w:type="dxa" w:w="2448"/>
            <w:vAlign w:val="center"/>
            <w:shd w:fill="176B5B"/>
          </w:tcPr>
          <w:p>
            <w:pPr>
              <w:spacing w:after="0"/>
            </w:pPr>
            <w:r/>
            <w:r>
              <w:rPr>
                <w:rFonts w:ascii="Arial" w:hAnsi="Arial"/>
                <w:b/>
                <w:color w:val="FFFFFF"/>
                <w:sz w:val="18"/>
              </w:rPr>
              <w:t>Issue time</w:t>
            </w:r>
          </w:p>
        </w:tc>
        <w:tc>
          <w:tcPr>
            <w:tcW w:type="dxa" w:w="1728"/>
            <w:vAlign w:val="center"/>
            <w:shd w:fill="176B5B"/>
          </w:tcPr>
          <w:p>
            <w:pPr>
              <w:spacing w:after="0"/>
            </w:pPr>
            <w:r/>
            <w:r>
              <w:rPr>
                <w:rFonts w:ascii="Arial" w:hAnsi="Arial"/>
                <w:b/>
                <w:color w:val="FFFFFF"/>
                <w:sz w:val="18"/>
              </w:rPr>
              <w:t>County</w:t>
            </w:r>
          </w:p>
        </w:tc>
        <w:tc>
          <w:tcPr>
            <w:tcW w:type="dxa" w:w="1008"/>
            <w:vAlign w:val="center"/>
            <w:shd w:fill="176B5B"/>
          </w:tcPr>
          <w:p>
            <w:pPr>
              <w:spacing w:after="0"/>
            </w:pPr>
            <w:r/>
            <w:r>
              <w:rPr>
                <w:rFonts w:ascii="Arial" w:hAnsi="Arial"/>
                <w:b/>
                <w:color w:val="FFFFFF"/>
                <w:sz w:val="18"/>
              </w:rPr>
              <w:t>Score*</w:t>
            </w:r>
          </w:p>
        </w:tc>
        <w:tc>
          <w:tcPr>
            <w:tcW w:type="dxa" w:w="1512"/>
            <w:vAlign w:val="center"/>
            <w:shd w:fill="176B5B"/>
          </w:tcPr>
          <w:p>
            <w:pPr>
              <w:spacing w:after="0"/>
            </w:pPr>
            <w:r/>
            <w:r>
              <w:rPr>
                <w:rFonts w:ascii="Arial" w:hAnsi="Arial"/>
                <w:b/>
                <w:color w:val="FFFFFF"/>
                <w:sz w:val="18"/>
              </w:rPr>
              <w:t>Prediction</w:t>
            </w:r>
          </w:p>
        </w:tc>
        <w:tc>
          <w:tcPr>
            <w:tcW w:type="dxa" w:w="1944"/>
            <w:vAlign w:val="center"/>
            <w:shd w:fill="176B5B"/>
          </w:tcPr>
          <w:p>
            <w:pPr>
              <w:spacing w:after="0"/>
            </w:pPr>
            <w:r/>
            <w:r>
              <w:rPr>
                <w:rFonts w:ascii="Arial" w:hAnsi="Arial"/>
                <w:b/>
                <w:color w:val="FFFFFF"/>
                <w:sz w:val="18"/>
              </w:rPr>
              <w:t>Actual label</w:t>
            </w:r>
          </w:p>
        </w:tc>
      </w:tr>
      <w:tr>
        <w:tc>
          <w:tcPr>
            <w:tcW w:type="dxa" w:w="2448"/>
            <w:vAlign w:val="center"/>
          </w:tcPr>
          <w:p>
            <w:pPr>
              <w:spacing w:after="0"/>
            </w:pPr>
            <w:r/>
            <w:r>
              <w:rPr>
                <w:rFonts w:ascii="Arial" w:hAnsi="Arial"/>
                <w:b w:val="0"/>
                <w:color w:val="172B2B"/>
                <w:sz w:val="18"/>
              </w:rPr>
              <w:t>2024-06-26 06:00:00 UT</w:t>
            </w:r>
          </w:p>
        </w:tc>
        <w:tc>
          <w:tcPr>
            <w:tcW w:type="dxa" w:w="1728"/>
            <w:vAlign w:val="center"/>
          </w:tcPr>
          <w:p>
            <w:pPr>
              <w:spacing w:after="0"/>
            </w:pPr>
            <w:r/>
            <w:r>
              <w:rPr>
                <w:rFonts w:ascii="Arial" w:hAnsi="Arial"/>
                <w:b w:val="0"/>
                <w:color w:val="172B2B"/>
                <w:sz w:val="18"/>
              </w:rPr>
              <w:t>Muskegon County</w:t>
            </w:r>
          </w:p>
        </w:tc>
        <w:tc>
          <w:tcPr>
            <w:tcW w:type="dxa" w:w="1008"/>
            <w:vAlign w:val="center"/>
          </w:tcPr>
          <w:p>
            <w:pPr>
              <w:spacing w:after="0"/>
            </w:pPr>
            <w:r/>
            <w:r>
              <w:rPr>
                <w:rFonts w:ascii="Arial" w:hAnsi="Arial"/>
                <w:b w:val="0"/>
                <w:color w:val="172B2B"/>
                <w:sz w:val="18"/>
              </w:rPr>
              <w:t>0.998</w:t>
            </w:r>
          </w:p>
        </w:tc>
        <w:tc>
          <w:tcPr>
            <w:tcW w:type="dxa" w:w="1512"/>
            <w:vAlign w:val="center"/>
          </w:tcPr>
          <w:p>
            <w:pPr>
              <w:spacing w:after="0"/>
            </w:pPr>
            <w:r/>
            <w:r>
              <w:rPr>
                <w:rFonts w:ascii="Arial" w:hAnsi="Arial"/>
                <w:b w:val="0"/>
                <w:color w:val="172B2B"/>
                <w:sz w:val="18"/>
              </w:rPr>
              <w:t>Alert</w:t>
            </w:r>
          </w:p>
        </w:tc>
        <w:tc>
          <w:tcPr>
            <w:tcW w:type="dxa" w:w="1944"/>
            <w:vAlign w:val="center"/>
          </w:tcPr>
          <w:p>
            <w:pPr>
              <w:spacing w:after="0"/>
            </w:pPr>
            <w:r/>
            <w:r>
              <w:rPr>
                <w:rFonts w:ascii="Arial" w:hAnsi="Arial"/>
                <w:b w:val="0"/>
                <w:color w:val="172B2B"/>
                <w:sz w:val="18"/>
              </w:rPr>
              <w:t>High burden</w:t>
            </w:r>
          </w:p>
        </w:tc>
      </w:tr>
      <w:tr>
        <w:tc>
          <w:tcPr>
            <w:tcW w:type="dxa" w:w="2448"/>
            <w:vAlign w:val="center"/>
            <w:shd w:fill="F2F6F3"/>
          </w:tcPr>
          <w:p>
            <w:pPr>
              <w:spacing w:after="0"/>
            </w:pPr>
            <w:r/>
            <w:r>
              <w:rPr>
                <w:rFonts w:ascii="Arial" w:hAnsi="Arial"/>
                <w:b w:val="0"/>
                <w:color w:val="172B2B"/>
                <w:sz w:val="18"/>
              </w:rPr>
              <w:t>2024-08-28 18:00:00 UT</w:t>
            </w:r>
          </w:p>
        </w:tc>
        <w:tc>
          <w:tcPr>
            <w:tcW w:type="dxa" w:w="1728"/>
            <w:vAlign w:val="center"/>
            <w:shd w:fill="F2F6F3"/>
          </w:tcPr>
          <w:p>
            <w:pPr>
              <w:spacing w:after="0"/>
            </w:pPr>
            <w:r/>
            <w:r>
              <w:rPr>
                <w:rFonts w:ascii="Arial" w:hAnsi="Arial"/>
                <w:b w:val="0"/>
                <w:color w:val="172B2B"/>
                <w:sz w:val="18"/>
              </w:rPr>
              <w:t>Clare County</w:t>
            </w:r>
          </w:p>
        </w:tc>
        <w:tc>
          <w:tcPr>
            <w:tcW w:type="dxa" w:w="1008"/>
            <w:vAlign w:val="center"/>
            <w:shd w:fill="F2F6F3"/>
          </w:tcPr>
          <w:p>
            <w:pPr>
              <w:spacing w:after="0"/>
            </w:pPr>
            <w:r/>
            <w:r>
              <w:rPr>
                <w:rFonts w:ascii="Arial" w:hAnsi="Arial"/>
                <w:b w:val="0"/>
                <w:color w:val="172B2B"/>
                <w:sz w:val="18"/>
              </w:rPr>
              <w:t>0.998</w:t>
            </w:r>
          </w:p>
        </w:tc>
        <w:tc>
          <w:tcPr>
            <w:tcW w:type="dxa" w:w="1512"/>
            <w:vAlign w:val="center"/>
            <w:shd w:fill="F2F6F3"/>
          </w:tcPr>
          <w:p>
            <w:pPr>
              <w:spacing w:after="0"/>
            </w:pPr>
            <w:r/>
            <w:r>
              <w:rPr>
                <w:rFonts w:ascii="Arial" w:hAnsi="Arial"/>
                <w:b w:val="0"/>
                <w:color w:val="172B2B"/>
                <w:sz w:val="18"/>
              </w:rPr>
              <w:t>Alert</w:t>
            </w:r>
          </w:p>
        </w:tc>
        <w:tc>
          <w:tcPr>
            <w:tcW w:type="dxa" w:w="1944"/>
            <w:vAlign w:val="center"/>
            <w:shd w:fill="F2F6F3"/>
          </w:tcPr>
          <w:p>
            <w:pPr>
              <w:spacing w:after="0"/>
            </w:pPr>
            <w:r/>
            <w:r>
              <w:rPr>
                <w:rFonts w:ascii="Arial" w:hAnsi="Arial"/>
                <w:b w:val="0"/>
                <w:color w:val="172B2B"/>
                <w:sz w:val="18"/>
              </w:rPr>
              <w:t>High burden</w:t>
            </w:r>
          </w:p>
        </w:tc>
      </w:tr>
      <w:tr>
        <w:tc>
          <w:tcPr>
            <w:tcW w:type="dxa" w:w="2448"/>
            <w:vAlign w:val="center"/>
          </w:tcPr>
          <w:p>
            <w:pPr>
              <w:spacing w:after="0"/>
            </w:pPr>
            <w:r/>
            <w:r>
              <w:rPr>
                <w:rFonts w:ascii="Arial" w:hAnsi="Arial"/>
                <w:b w:val="0"/>
                <w:color w:val="172B2B"/>
                <w:sz w:val="18"/>
              </w:rPr>
              <w:t>2024-06-26 09:00:00 UT</w:t>
            </w:r>
          </w:p>
        </w:tc>
        <w:tc>
          <w:tcPr>
            <w:tcW w:type="dxa" w:w="1728"/>
            <w:vAlign w:val="center"/>
          </w:tcPr>
          <w:p>
            <w:pPr>
              <w:spacing w:after="0"/>
            </w:pPr>
            <w:r/>
            <w:r>
              <w:rPr>
                <w:rFonts w:ascii="Arial" w:hAnsi="Arial"/>
                <w:b w:val="0"/>
                <w:color w:val="172B2B"/>
                <w:sz w:val="18"/>
              </w:rPr>
              <w:t>Muskegon County</w:t>
            </w:r>
          </w:p>
        </w:tc>
        <w:tc>
          <w:tcPr>
            <w:tcW w:type="dxa" w:w="1008"/>
            <w:vAlign w:val="center"/>
          </w:tcPr>
          <w:p>
            <w:pPr>
              <w:spacing w:after="0"/>
            </w:pPr>
            <w:r/>
            <w:r>
              <w:rPr>
                <w:rFonts w:ascii="Arial" w:hAnsi="Arial"/>
                <w:b w:val="0"/>
                <w:color w:val="172B2B"/>
                <w:sz w:val="18"/>
              </w:rPr>
              <w:t>0.998</w:t>
            </w:r>
          </w:p>
        </w:tc>
        <w:tc>
          <w:tcPr>
            <w:tcW w:type="dxa" w:w="1512"/>
            <w:vAlign w:val="center"/>
          </w:tcPr>
          <w:p>
            <w:pPr>
              <w:spacing w:after="0"/>
            </w:pPr>
            <w:r/>
            <w:r>
              <w:rPr>
                <w:rFonts w:ascii="Arial" w:hAnsi="Arial"/>
                <w:b w:val="0"/>
                <w:color w:val="172B2B"/>
                <w:sz w:val="18"/>
              </w:rPr>
              <w:t>Alert</w:t>
            </w:r>
          </w:p>
        </w:tc>
        <w:tc>
          <w:tcPr>
            <w:tcW w:type="dxa" w:w="1944"/>
            <w:vAlign w:val="center"/>
          </w:tcPr>
          <w:p>
            <w:pPr>
              <w:spacing w:after="0"/>
            </w:pPr>
            <w:r/>
            <w:r>
              <w:rPr>
                <w:rFonts w:ascii="Arial" w:hAnsi="Arial"/>
                <w:b w:val="0"/>
                <w:color w:val="172B2B"/>
                <w:sz w:val="18"/>
              </w:rPr>
              <w:t>High burden</w:t>
            </w:r>
          </w:p>
        </w:tc>
      </w:tr>
      <w:tr>
        <w:tc>
          <w:tcPr>
            <w:tcW w:type="dxa" w:w="2448"/>
            <w:vAlign w:val="center"/>
            <w:shd w:fill="F2F6F3"/>
          </w:tcPr>
          <w:p>
            <w:pPr>
              <w:spacing w:after="0"/>
            </w:pPr>
            <w:r/>
            <w:r>
              <w:rPr>
                <w:rFonts w:ascii="Arial" w:hAnsi="Arial"/>
                <w:b w:val="0"/>
                <w:color w:val="172B2B"/>
                <w:sz w:val="18"/>
              </w:rPr>
              <w:t>2024-07-10 09:00:00 UT</w:t>
            </w:r>
          </w:p>
        </w:tc>
        <w:tc>
          <w:tcPr>
            <w:tcW w:type="dxa" w:w="1728"/>
            <w:vAlign w:val="center"/>
            <w:shd w:fill="F2F6F3"/>
          </w:tcPr>
          <w:p>
            <w:pPr>
              <w:spacing w:after="0"/>
            </w:pPr>
            <w:r/>
            <w:r>
              <w:rPr>
                <w:rFonts w:ascii="Arial" w:hAnsi="Arial"/>
                <w:b w:val="0"/>
                <w:color w:val="172B2B"/>
                <w:sz w:val="18"/>
              </w:rPr>
              <w:t>Allegan County</w:t>
            </w:r>
          </w:p>
        </w:tc>
        <w:tc>
          <w:tcPr>
            <w:tcW w:type="dxa" w:w="1008"/>
            <w:vAlign w:val="center"/>
            <w:shd w:fill="F2F6F3"/>
          </w:tcPr>
          <w:p>
            <w:pPr>
              <w:spacing w:after="0"/>
            </w:pPr>
            <w:r/>
            <w:r>
              <w:rPr>
                <w:rFonts w:ascii="Arial" w:hAnsi="Arial"/>
                <w:b w:val="0"/>
                <w:color w:val="172B2B"/>
                <w:sz w:val="18"/>
              </w:rPr>
              <w:t>0.774</w:t>
            </w:r>
          </w:p>
        </w:tc>
        <w:tc>
          <w:tcPr>
            <w:tcW w:type="dxa" w:w="1512"/>
            <w:vAlign w:val="center"/>
            <w:shd w:fill="F2F6F3"/>
          </w:tcPr>
          <w:p>
            <w:pPr>
              <w:spacing w:after="0"/>
            </w:pPr>
            <w:r/>
            <w:r>
              <w:rPr>
                <w:rFonts w:ascii="Arial" w:hAnsi="Arial"/>
                <w:b w:val="0"/>
                <w:color w:val="172B2B"/>
                <w:sz w:val="18"/>
              </w:rPr>
              <w:t>No alert</w:t>
            </w:r>
          </w:p>
        </w:tc>
        <w:tc>
          <w:tcPr>
            <w:tcW w:type="dxa" w:w="1944"/>
            <w:vAlign w:val="center"/>
            <w:shd w:fill="F2F6F3"/>
          </w:tcPr>
          <w:p>
            <w:pPr>
              <w:spacing w:after="0"/>
            </w:pPr>
            <w:r/>
            <w:r>
              <w:rPr>
                <w:rFonts w:ascii="Arial" w:hAnsi="Arial"/>
                <w:b w:val="0"/>
                <w:color w:val="172B2B"/>
                <w:sz w:val="18"/>
              </w:rPr>
              <w:t>No high burden</w:t>
            </w:r>
          </w:p>
        </w:tc>
      </w:tr>
      <w:tr>
        <w:tc>
          <w:tcPr>
            <w:tcW w:type="dxa" w:w="2448"/>
            <w:vAlign w:val="center"/>
          </w:tcPr>
          <w:p>
            <w:pPr>
              <w:spacing w:after="0"/>
            </w:pPr>
            <w:r/>
            <w:r>
              <w:rPr>
                <w:rFonts w:ascii="Arial" w:hAnsi="Arial"/>
                <w:b w:val="0"/>
                <w:color w:val="172B2B"/>
                <w:sz w:val="18"/>
              </w:rPr>
              <w:t>2024-03-09 03:00:00 UT</w:t>
            </w:r>
          </w:p>
        </w:tc>
        <w:tc>
          <w:tcPr>
            <w:tcW w:type="dxa" w:w="1728"/>
            <w:vAlign w:val="center"/>
          </w:tcPr>
          <w:p>
            <w:pPr>
              <w:spacing w:after="0"/>
            </w:pPr>
            <w:r/>
            <w:r>
              <w:rPr>
                <w:rFonts w:ascii="Arial" w:hAnsi="Arial"/>
                <w:b w:val="0"/>
                <w:color w:val="172B2B"/>
                <w:sz w:val="18"/>
              </w:rPr>
              <w:t>Wayne County</w:t>
            </w:r>
          </w:p>
        </w:tc>
        <w:tc>
          <w:tcPr>
            <w:tcW w:type="dxa" w:w="1008"/>
            <w:vAlign w:val="center"/>
          </w:tcPr>
          <w:p>
            <w:pPr>
              <w:spacing w:after="0"/>
            </w:pPr>
            <w:r/>
            <w:r>
              <w:rPr>
                <w:rFonts w:ascii="Arial" w:hAnsi="Arial"/>
                <w:b w:val="0"/>
                <w:color w:val="172B2B"/>
                <w:sz w:val="18"/>
              </w:rPr>
              <w:t>0.774</w:t>
            </w:r>
          </w:p>
        </w:tc>
        <w:tc>
          <w:tcPr>
            <w:tcW w:type="dxa" w:w="1512"/>
            <w:vAlign w:val="center"/>
          </w:tcPr>
          <w:p>
            <w:pPr>
              <w:spacing w:after="0"/>
            </w:pPr>
            <w:r/>
            <w:r>
              <w:rPr>
                <w:rFonts w:ascii="Arial" w:hAnsi="Arial"/>
                <w:b w:val="0"/>
                <w:color w:val="172B2B"/>
                <w:sz w:val="18"/>
              </w:rPr>
              <w:t>No alert</w:t>
            </w:r>
          </w:p>
        </w:tc>
        <w:tc>
          <w:tcPr>
            <w:tcW w:type="dxa" w:w="1944"/>
            <w:vAlign w:val="center"/>
          </w:tcPr>
          <w:p>
            <w:pPr>
              <w:spacing w:after="0"/>
            </w:pPr>
            <w:r/>
            <w:r>
              <w:rPr>
                <w:rFonts w:ascii="Arial" w:hAnsi="Arial"/>
                <w:b w:val="0"/>
                <w:color w:val="172B2B"/>
                <w:sz w:val="18"/>
              </w:rPr>
              <w:t>No high burden</w:t>
            </w:r>
          </w:p>
        </w:tc>
      </w:tr>
      <w:tr>
        <w:tc>
          <w:tcPr>
            <w:tcW w:type="dxa" w:w="2448"/>
            <w:vAlign w:val="center"/>
            <w:shd w:fill="F2F6F3"/>
          </w:tcPr>
          <w:p>
            <w:pPr>
              <w:spacing w:after="0"/>
            </w:pPr>
            <w:r/>
            <w:r>
              <w:rPr>
                <w:rFonts w:ascii="Arial" w:hAnsi="Arial"/>
                <w:b w:val="0"/>
                <w:color w:val="172B2B"/>
                <w:sz w:val="18"/>
              </w:rPr>
              <w:t>2024-11-11 15:00:00 UT</w:t>
            </w:r>
          </w:p>
        </w:tc>
        <w:tc>
          <w:tcPr>
            <w:tcW w:type="dxa" w:w="1728"/>
            <w:vAlign w:val="center"/>
            <w:shd w:fill="F2F6F3"/>
          </w:tcPr>
          <w:p>
            <w:pPr>
              <w:spacing w:after="0"/>
            </w:pPr>
            <w:r/>
            <w:r>
              <w:rPr>
                <w:rFonts w:ascii="Arial" w:hAnsi="Arial"/>
                <w:b w:val="0"/>
                <w:color w:val="172B2B"/>
                <w:sz w:val="18"/>
              </w:rPr>
              <w:t>Marquette County</w:t>
            </w:r>
          </w:p>
        </w:tc>
        <w:tc>
          <w:tcPr>
            <w:tcW w:type="dxa" w:w="1008"/>
            <w:vAlign w:val="center"/>
            <w:shd w:fill="F2F6F3"/>
          </w:tcPr>
          <w:p>
            <w:pPr>
              <w:spacing w:after="0"/>
            </w:pPr>
            <w:r/>
            <w:r>
              <w:rPr>
                <w:rFonts w:ascii="Arial" w:hAnsi="Arial"/>
                <w:b w:val="0"/>
                <w:color w:val="172B2B"/>
                <w:sz w:val="18"/>
              </w:rPr>
              <w:t>0.774</w:t>
            </w:r>
          </w:p>
        </w:tc>
        <w:tc>
          <w:tcPr>
            <w:tcW w:type="dxa" w:w="1512"/>
            <w:vAlign w:val="center"/>
            <w:shd w:fill="F2F6F3"/>
          </w:tcPr>
          <w:p>
            <w:pPr>
              <w:spacing w:after="0"/>
            </w:pPr>
            <w:r/>
            <w:r>
              <w:rPr>
                <w:rFonts w:ascii="Arial" w:hAnsi="Arial"/>
                <w:b w:val="0"/>
                <w:color w:val="172B2B"/>
                <w:sz w:val="18"/>
              </w:rPr>
              <w:t>No alert</w:t>
            </w:r>
          </w:p>
        </w:tc>
        <w:tc>
          <w:tcPr>
            <w:tcW w:type="dxa" w:w="1944"/>
            <w:vAlign w:val="center"/>
            <w:shd w:fill="F2F6F3"/>
          </w:tcPr>
          <w:p>
            <w:pPr>
              <w:spacing w:after="0"/>
            </w:pPr>
            <w:r/>
            <w:r>
              <w:rPr>
                <w:rFonts w:ascii="Arial" w:hAnsi="Arial"/>
                <w:b w:val="0"/>
                <w:color w:val="172B2B"/>
                <w:sz w:val="18"/>
              </w:rPr>
              <w:t>High burden</w:t>
            </w:r>
          </w:p>
        </w:tc>
      </w:tr>
    </w:tbl>
    <w:p>
      <w:pPr>
        <w:spacing w:after="40"/>
      </w:pPr>
    </w:p>
    <w:p>
      <w:pPr>
        <w:spacing w:after="120"/>
      </w:pPr>
      <w:r>
        <w:t>*Model score, not a calibrated probability. These rows demonstrate the output format and do not estimate household interruption risk.</w:t>
      </w:r>
    </w:p>
    <w:p>
      <w:pPr>
        <w:pStyle w:val="Heading1"/>
        <w:keepNext/>
      </w:pPr>
      <w:r>
        <w:t>7. Limitations and conclusion</w:t>
      </w:r>
    </w:p>
    <w:p>
      <w:pPr>
        <w:pStyle w:val="ListBullet"/>
      </w:pPr>
      <w:r>
        <w:t>The label describes county-level high burden, not outage onset, restoration time, or household power loss.</w:t>
      </w:r>
    </w:p>
    <w:p>
      <w:pPr>
        <w:pStyle w:val="ListBullet"/>
      </w:pPr>
      <w:r>
        <w:t>EAGLE-I coverage and zero reporting vary by year. 2014 is partial, while weather covers a seasonal late-May to early-September window using station observations and an unverified two-hour delay.</w:t>
      </w:r>
    </w:p>
    <w:p>
      <w:pPr>
        <w:pStyle w:val="ListBullet"/>
      </w:pPr>
      <w:r>
        <w:t>The 2024 period was previously examined, so it is a reused historical holdout. Missingness and changing coverage can affect results, which may not transfer to future grid conditions.</w:t>
      </w:r>
    </w:p>
    <w:p>
      <w:pPr>
        <w:spacing w:after="120"/>
      </w:pPr>
      <w:r>
        <w:t>Within these limits, the model provides a reproducible historical benchmark that combines weather and recent outage information. The next research step is a genuinely untouched future-period evaluation with consistent county coverage, independently verified zero readings, and operationally available weather forecasts.</w:t>
      </w:r>
    </w:p>
    <w:p>
      <w:pPr>
        <w:pStyle w:val="Heading1"/>
        <w:keepNext/>
      </w:pPr>
      <w:r>
        <w:t>References</w:t>
      </w:r>
    </w:p>
    <w:p>
      <w:pPr>
        <w:spacing w:after="20" w:line="240" w:lineRule="auto"/>
      </w:pPr>
      <w:r>
        <w:rPr>
          <w:rFonts w:ascii="Arial" w:hAnsi="Arial"/>
          <w:sz w:val="17"/>
        </w:rPr>
        <w:t>EAGLE-I outage archive (2014-2024 update). Figshare. https://doi.org/10.6084/m9.figshare.24237376</w:t>
      </w:r>
    </w:p>
    <w:p>
      <w:pPr>
        <w:spacing w:after="20" w:line="240" w:lineRule="auto"/>
      </w:pPr>
      <w:r>
        <w:rPr>
          <w:rFonts w:ascii="Arial" w:hAnsi="Arial"/>
          <w:sz w:val="17"/>
        </w:rPr>
        <w:t>Iowa Environmental Mesonet. ASOS archive. https://mesonet.agron.iastate.edu/request/download.phtml</w:t>
      </w:r>
    </w:p>
    <w:p>
      <w:pPr>
        <w:spacing w:after="20" w:line="240" w:lineRule="auto"/>
      </w:pPr>
      <w:r>
        <w:rPr>
          <w:rFonts w:ascii="Arial" w:hAnsi="Arial"/>
          <w:sz w:val="17"/>
        </w:rPr>
        <w:t>Scikit-learn. HistGradientBoostingClassifier. https://scikit-learn.org/stable/modules/generated/sklearn.ensemble.HistGradientBoostingClassifier.html</w:t>
      </w:r>
    </w:p>
    <w:sectPr w:rsidR="00FC693F" w:rsidRPr="0006063C" w:rsidSect="00034616">
      <w:footerReference w:type="default" r:id="rId9"/>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361"/>
        <w:sz w:val="16"/>
      </w:rPr>
      <w:t>Michigan Power Outage Research  |  Rohan Sai Gorumutchu  |  CSIT A, Semester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Arial" w:hAnsi="Arial"/>
      <w:color w:val="17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6B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6B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2B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