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SAP Security Assessment Automation - Technical Implementation Guide</w:t>
      </w:r>
    </w:p>
    <w:p>
      <w:pPr>
        <w:pStyle w:val="Heading2"/>
      </w:pPr>
      <w:r>
        <w:t>Purpose</w:t>
      </w:r>
    </w:p>
    <w:p>
      <w:r>
        <w:t>Guide for implementing a read-only SAP Security Assessment automation platform.</w:t>
      </w:r>
    </w:p>
    <w:p>
      <w:pPr>
        <w:pStyle w:val="Heading2"/>
      </w:pPr>
      <w:r>
        <w:t>Recommended Architecture</w:t>
      </w:r>
    </w:p>
    <w:p>
      <w:r>
        <w:t>• Python Assessment Engine</w:t>
        <w:br/>
        <w:t>• PyRFC + SAP NetWeaver RFC SDK</w:t>
        <w:br/>
        <w:t>• Read-only RFC user</w:t>
        <w:br/>
        <w:t>• Optional ABAP collectors</w:t>
        <w:br/>
        <w:t>• Rule/Scoring Engine</w:t>
        <w:br/>
        <w:t>• AI Reporting Layer</w:t>
        <w:br/>
        <w:t>• Excel/PDF Report Generator</w:t>
      </w:r>
    </w:p>
    <w:p>
      <w:pPr>
        <w:pStyle w:val="Heading2"/>
      </w:pPr>
      <w: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Assessment engine</w:t>
            </w:r>
          </w:p>
        </w:tc>
      </w:tr>
      <w:tr>
        <w:tc>
          <w:tcPr>
            <w:tcW w:type="dxa" w:w="4320"/>
          </w:tcPr>
          <w:p>
            <w:r>
              <w:t>PyRFC</w:t>
            </w:r>
          </w:p>
        </w:tc>
        <w:tc>
          <w:tcPr>
            <w:tcW w:type="dxa" w:w="4320"/>
          </w:tcPr>
          <w:p>
            <w:r>
              <w:t>SAP connectivity</w:t>
            </w:r>
          </w:p>
        </w:tc>
      </w:tr>
      <w:tr>
        <w:tc>
          <w:tcPr>
            <w:tcW w:type="dxa" w:w="4320"/>
          </w:tcPr>
          <w:p>
            <w:r>
              <w:t>RFC_READ_TABLE / BAPIs</w:t>
            </w:r>
          </w:p>
        </w:tc>
        <w:tc>
          <w:tcPr>
            <w:tcW w:type="dxa" w:w="4320"/>
          </w:tcPr>
          <w:p>
            <w:r>
              <w:t>Metadata collection</w:t>
            </w:r>
          </w:p>
        </w:tc>
      </w:tr>
      <w:tr>
        <w:tc>
          <w:tcPr>
            <w:tcW w:type="dxa" w:w="4320"/>
          </w:tcPr>
          <w:p>
            <w:r>
              <w:t>openpyxl</w:t>
            </w:r>
          </w:p>
        </w:tc>
        <w:tc>
          <w:tcPr>
            <w:tcW w:type="dxa" w:w="4320"/>
          </w:tcPr>
          <w:p>
            <w:r>
              <w:t>Excel reporting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Executive summaries</w:t>
            </w:r>
          </w:p>
        </w:tc>
      </w:tr>
      <w:tr>
        <w:tc>
          <w:tcPr>
            <w:tcW w:type="dxa" w:w="4320"/>
          </w:tcPr>
          <w:p>
            <w:r>
              <w:t>Git</w:t>
            </w:r>
          </w:p>
        </w:tc>
        <w:tc>
          <w:tcPr>
            <w:tcW w:type="dxa" w:w="4320"/>
          </w:tcPr>
          <w:p>
            <w:r>
              <w:t>Version control</w:t>
            </w:r>
          </w:p>
        </w:tc>
      </w:tr>
      <w:tr>
        <w:tc>
          <w:tcPr>
            <w:tcW w:type="dxa" w:w="4320"/>
          </w:tcPr>
          <w:p>
            <w:r>
              <w:t>SQLite/PostgreSQL</w:t>
            </w:r>
          </w:p>
        </w:tc>
        <w:tc>
          <w:tcPr>
            <w:tcW w:type="dxa" w:w="4320"/>
          </w:tcPr>
          <w:p>
            <w:r>
              <w:t>Assessment history</w:t>
            </w:r>
          </w:p>
        </w:tc>
      </w:tr>
    </w:tbl>
    <w:p>
      <w:pPr>
        <w:pStyle w:val="Heading2"/>
      </w:pPr>
      <w:r>
        <w:t>Automation Ranking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Automation</w:t>
            </w:r>
          </w:p>
        </w:tc>
        <w:tc>
          <w:tcPr>
            <w:tcW w:type="dxa" w:w="960"/>
          </w:tcPr>
          <w:p>
            <w:r>
              <w:t>Implementation</w:t>
            </w:r>
          </w:p>
        </w:tc>
        <w:tc>
          <w:tcPr>
            <w:tcW w:type="dxa" w:w="960"/>
          </w:tcPr>
          <w:p>
            <w:r>
              <w:t>Developer Work</w:t>
            </w:r>
          </w:p>
        </w:tc>
        <w:tc>
          <w:tcPr>
            <w:tcW w:type="dxa" w:w="960"/>
          </w:tcPr>
          <w:p>
            <w:r>
              <w:t>Ease (1-5)</w:t>
            </w:r>
          </w:p>
        </w:tc>
        <w:tc>
          <w:tcPr>
            <w:tcW w:type="dxa" w:w="960"/>
          </w:tcPr>
          <w:p>
            <w:r>
              <w:t>Acceptance (1-5)</w:t>
            </w:r>
          </w:p>
        </w:tc>
        <w:tc>
          <w:tcPr>
            <w:tcW w:type="dxa" w:w="960"/>
          </w:tcPr>
          <w:p>
            <w:r>
              <w:t>Risk (1-5)</w:t>
            </w:r>
          </w:p>
        </w:tc>
        <w:tc>
          <w:tcPr>
            <w:tcW w:type="dxa" w:w="960"/>
          </w:tcPr>
          <w:p>
            <w:r>
              <w:t>Read Only</w:t>
            </w:r>
          </w:p>
        </w:tc>
        <w:tc>
          <w:tcPr>
            <w:tcW w:type="dxa" w:w="960"/>
          </w:tcPr>
          <w:p>
            <w:r>
              <w:t>Primary Objects</w:t>
            </w:r>
          </w:p>
        </w:tc>
        <w:tc>
          <w:tcPr>
            <w:tcW w:type="dxa" w:w="960"/>
          </w:tcPr>
          <w:p>
            <w:r>
              <w:t>Method</w:t>
            </w:r>
          </w:p>
        </w:tc>
      </w:tr>
      <w:tr>
        <w:tc>
          <w:tcPr>
            <w:tcW w:type="dxa" w:w="960"/>
          </w:tcPr>
          <w:p>
            <w:r>
              <w:t>Landscape Discovery</w:t>
            </w:r>
          </w:p>
        </w:tc>
        <w:tc>
          <w:tcPr>
            <w:tcW w:type="dxa" w:w="960"/>
          </w:tcPr>
          <w:p>
            <w:r>
              <w:t>Read system metadata</w:t>
            </w:r>
          </w:p>
        </w:tc>
        <w:tc>
          <w:tcPr>
            <w:tcW w:type="dxa" w:w="960"/>
          </w:tcPr>
          <w:p>
            <w:r>
              <w:t>PyRFC collectors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CVERS</w:t>
            </w:r>
          </w:p>
        </w:tc>
        <w:tc>
          <w:tcPr>
            <w:tcW w:type="dxa" w:w="960"/>
          </w:tcPr>
          <w:p>
            <w:r>
              <w:t>RFC</w:t>
            </w:r>
          </w:p>
        </w:tc>
      </w:tr>
      <w:tr>
        <w:tc>
          <w:tcPr>
            <w:tcW w:type="dxa" w:w="960"/>
          </w:tcPr>
          <w:p>
            <w:r>
              <w:t>Dormant Users</w:t>
            </w:r>
          </w:p>
        </w:tc>
        <w:tc>
          <w:tcPr>
            <w:tcW w:type="dxa" w:w="960"/>
          </w:tcPr>
          <w:p>
            <w:r>
              <w:t>Read user tables</w:t>
            </w:r>
          </w:p>
        </w:tc>
        <w:tc>
          <w:tcPr>
            <w:tcW w:type="dxa" w:w="960"/>
          </w:tcPr>
          <w:p>
            <w:r>
              <w:t>USR02 analysis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USR02</w:t>
            </w:r>
          </w:p>
        </w:tc>
        <w:tc>
          <w:tcPr>
            <w:tcW w:type="dxa" w:w="960"/>
          </w:tcPr>
          <w:p>
            <w:r>
              <w:t>RFC</w:t>
            </w:r>
          </w:p>
        </w:tc>
      </w:tr>
      <w:tr>
        <w:tc>
          <w:tcPr>
            <w:tcW w:type="dxa" w:w="960"/>
          </w:tcPr>
          <w:p>
            <w:r>
              <w:t>Standard Users</w:t>
            </w:r>
          </w:p>
        </w:tc>
        <w:tc>
          <w:tcPr>
            <w:tcW w:type="dxa" w:w="960"/>
          </w:tcPr>
          <w:p>
            <w:r>
              <w:t>Check SAP*/DDIC</w:t>
            </w:r>
          </w:p>
        </w:tc>
        <w:tc>
          <w:tcPr>
            <w:tcW w:type="dxa" w:w="960"/>
          </w:tcPr>
          <w:p>
            <w:r>
              <w:t>User status checks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USR02</w:t>
            </w:r>
          </w:p>
        </w:tc>
        <w:tc>
          <w:tcPr>
            <w:tcW w:type="dxa" w:w="960"/>
          </w:tcPr>
          <w:p>
            <w:r>
              <w:t>RFC</w:t>
            </w:r>
          </w:p>
        </w:tc>
      </w:tr>
      <w:tr>
        <w:tc>
          <w:tcPr>
            <w:tcW w:type="dxa" w:w="960"/>
          </w:tcPr>
          <w:p>
            <w:r>
              <w:t>Role Analysis</w:t>
            </w:r>
          </w:p>
        </w:tc>
        <w:tc>
          <w:tcPr>
            <w:tcW w:type="dxa" w:w="960"/>
          </w:tcPr>
          <w:p>
            <w:r>
              <w:t>Analyze AGR_*</w:t>
            </w:r>
          </w:p>
        </w:tc>
        <w:tc>
          <w:tcPr>
            <w:tcW w:type="dxa" w:w="960"/>
          </w:tcPr>
          <w:p>
            <w:r>
              <w:t>Role parser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AGR_*</w:t>
            </w:r>
          </w:p>
        </w:tc>
        <w:tc>
          <w:tcPr>
            <w:tcW w:type="dxa" w:w="960"/>
          </w:tcPr>
          <w:p>
            <w:r>
              <w:t>RFC</w:t>
            </w:r>
          </w:p>
        </w:tc>
      </w:tr>
      <w:tr>
        <w:tc>
          <w:tcPr>
            <w:tcW w:type="dxa" w:w="960"/>
          </w:tcPr>
          <w:p>
            <w:r>
              <w:t>Critical Auth Scan</w:t>
            </w:r>
          </w:p>
        </w:tc>
        <w:tc>
          <w:tcPr>
            <w:tcW w:type="dxa" w:w="960"/>
          </w:tcPr>
          <w:p>
            <w:r>
              <w:t>Analyze AGR_1251</w:t>
            </w:r>
          </w:p>
        </w:tc>
        <w:tc>
          <w:tcPr>
            <w:tcW w:type="dxa" w:w="960"/>
          </w:tcPr>
          <w:p>
            <w:r>
              <w:t>Authorization parser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AGR_1251</w:t>
            </w:r>
          </w:p>
        </w:tc>
        <w:tc>
          <w:tcPr>
            <w:tcW w:type="dxa" w:w="960"/>
          </w:tcPr>
          <w:p>
            <w:r>
              <w:t>RFC</w:t>
            </w:r>
          </w:p>
        </w:tc>
      </w:tr>
      <w:tr>
        <w:tc>
          <w:tcPr>
            <w:tcW w:type="dxa" w:w="960"/>
          </w:tcPr>
          <w:p>
            <w:r>
              <w:t>Profile Parameters</w:t>
            </w:r>
          </w:p>
        </w:tc>
        <w:tc>
          <w:tcPr>
            <w:tcW w:type="dxa" w:w="960"/>
          </w:tcPr>
          <w:p>
            <w:r>
              <w:t>Compare RSPARAM</w:t>
            </w:r>
          </w:p>
        </w:tc>
        <w:tc>
          <w:tcPr>
            <w:tcW w:type="dxa" w:w="960"/>
          </w:tcPr>
          <w:p>
            <w:r>
              <w:t>Baseline engine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RSPARAM</w:t>
            </w:r>
          </w:p>
        </w:tc>
        <w:tc>
          <w:tcPr>
            <w:tcW w:type="dxa" w:w="960"/>
          </w:tcPr>
          <w:p>
            <w:r>
              <w:t>RFC</w:t>
            </w:r>
          </w:p>
        </w:tc>
      </w:tr>
      <w:tr>
        <w:tc>
          <w:tcPr>
            <w:tcW w:type="dxa" w:w="960"/>
          </w:tcPr>
          <w:p>
            <w:r>
              <w:t>RFC Inventory</w:t>
            </w:r>
          </w:p>
        </w:tc>
        <w:tc>
          <w:tcPr>
            <w:tcW w:type="dxa" w:w="960"/>
          </w:tcPr>
          <w:p>
            <w:r>
              <w:t>Read SM59</w:t>
            </w:r>
          </w:p>
        </w:tc>
        <w:tc>
          <w:tcPr>
            <w:tcW w:type="dxa" w:w="960"/>
          </w:tcPr>
          <w:p>
            <w:r>
              <w:t>RFC parser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RFCDES</w:t>
            </w:r>
          </w:p>
        </w:tc>
        <w:tc>
          <w:tcPr>
            <w:tcW w:type="dxa" w:w="960"/>
          </w:tcPr>
          <w:p>
            <w:r>
              <w:t>RFC</w:t>
            </w:r>
          </w:p>
        </w:tc>
      </w:tr>
      <w:tr>
        <w:tc>
          <w:tcPr>
            <w:tcW w:type="dxa" w:w="960"/>
          </w:tcPr>
          <w:p>
            <w:r>
              <w:t>Gateway Security</w:t>
            </w:r>
          </w:p>
        </w:tc>
        <w:tc>
          <w:tcPr>
            <w:tcW w:type="dxa" w:w="960"/>
          </w:tcPr>
          <w:p>
            <w:r>
              <w:t>Read ACLs</w:t>
            </w:r>
          </w:p>
        </w:tc>
        <w:tc>
          <w:tcPr>
            <w:tcW w:type="dxa" w:w="960"/>
          </w:tcPr>
          <w:p>
            <w:r>
              <w:t>ACL parser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reginfo/secinfo</w:t>
            </w:r>
          </w:p>
        </w:tc>
        <w:tc>
          <w:tcPr>
            <w:tcW w:type="dxa" w:w="960"/>
          </w:tcPr>
          <w:p>
            <w:r>
              <w:t>RFC/ABAP</w:t>
            </w:r>
          </w:p>
        </w:tc>
      </w:tr>
      <w:tr>
        <w:tc>
          <w:tcPr>
            <w:tcW w:type="dxa" w:w="960"/>
          </w:tcPr>
          <w:p>
            <w:r>
              <w:t>Firefighter Review</w:t>
            </w:r>
          </w:p>
        </w:tc>
        <w:tc>
          <w:tcPr>
            <w:tcW w:type="dxa" w:w="960"/>
          </w:tcPr>
          <w:p>
            <w:r>
              <w:t>Read GRC tables</w:t>
            </w:r>
          </w:p>
        </w:tc>
        <w:tc>
          <w:tcPr>
            <w:tcW w:type="dxa" w:w="960"/>
          </w:tcPr>
          <w:p>
            <w:r>
              <w:t>Collector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GRACFF*</w:t>
            </w:r>
          </w:p>
        </w:tc>
        <w:tc>
          <w:tcPr>
            <w:tcW w:type="dxa" w:w="960"/>
          </w:tcPr>
          <w:p>
            <w:r>
              <w:t>RFC</w:t>
            </w:r>
          </w:p>
        </w:tc>
      </w:tr>
      <w:tr>
        <w:tc>
          <w:tcPr>
            <w:tcW w:type="dxa" w:w="960"/>
          </w:tcPr>
          <w:p>
            <w:r>
              <w:t>Fiori Services</w:t>
            </w:r>
          </w:p>
        </w:tc>
        <w:tc>
          <w:tcPr>
            <w:tcW w:type="dxa" w:w="960"/>
          </w:tcPr>
          <w:p>
            <w:r>
              <w:t>Read SICF</w:t>
            </w:r>
          </w:p>
        </w:tc>
        <w:tc>
          <w:tcPr>
            <w:tcW w:type="dxa" w:w="960"/>
          </w:tcPr>
          <w:p>
            <w:r>
              <w:t>Service inventory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SICF</w:t>
            </w:r>
          </w:p>
        </w:tc>
        <w:tc>
          <w:tcPr>
            <w:tcW w:type="dxa" w:w="960"/>
          </w:tcPr>
          <w:p>
            <w:r>
              <w:t>RFC</w:t>
            </w:r>
          </w:p>
        </w:tc>
      </w:tr>
      <w:tr>
        <w:tc>
          <w:tcPr>
            <w:tcW w:type="dxa" w:w="960"/>
          </w:tcPr>
          <w:p>
            <w:r>
              <w:t>Security Notes</w:t>
            </w:r>
          </w:p>
        </w:tc>
        <w:tc>
          <w:tcPr>
            <w:tcW w:type="dxa" w:w="960"/>
          </w:tcPr>
          <w:p>
            <w:r>
              <w:t>Compare versions</w:t>
            </w:r>
          </w:p>
        </w:tc>
        <w:tc>
          <w:tcPr>
            <w:tcW w:type="dxa" w:w="960"/>
          </w:tcPr>
          <w:p>
            <w:r>
              <w:t>Hybrid baseline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CVERS</w:t>
            </w:r>
          </w:p>
        </w:tc>
        <w:tc>
          <w:tcPr>
            <w:tcW w:type="dxa" w:w="960"/>
          </w:tcPr>
          <w:p>
            <w:r>
              <w:t>Hybrid</w:t>
            </w:r>
          </w:p>
        </w:tc>
      </w:tr>
    </w:tbl>
    <w:p>
      <w:pPr>
        <w:pStyle w:val="Heading2"/>
      </w:pPr>
      <w:r>
        <w:t>Suggested Additional Ranking Fields</w:t>
      </w:r>
    </w:p>
    <w:p>
      <w:r>
        <w:t>• Business Value</w:t>
        <w:br/>
        <w:t>• Development Effort (person-days)</w:t>
        <w:br/>
        <w:t>• Runtime Performance</w:t>
        <w:br/>
        <w:t>• Data Sensitivity</w:t>
        <w:br/>
        <w:t>• SAP Version Compatibility (ECC/S4/RISE)</w:t>
        <w:br/>
        <w:t>• Requires Custom ABAP?</w:t>
        <w:br/>
        <w:t>• Requires Transport?</w:t>
        <w:br/>
        <w:t>• Required SAP Authorizations</w:t>
        <w:br/>
        <w:t>• Expected Execution Time</w:t>
        <w:br/>
        <w:t>• AI Enhancement Potential</w:t>
        <w:br/>
        <w:t>• Automation Confidence</w:t>
        <w:br/>
        <w:t>• Customer Maintenance Effort</w:t>
      </w:r>
    </w:p>
    <w:p>
      <w:pPr>
        <w:pStyle w:val="Heading2"/>
      </w:pPr>
      <w:r>
        <w:t>Developer Prerequisites</w:t>
      </w:r>
    </w:p>
    <w:p>
      <w:r>
        <w:t>Read-only RFC account, SAP NetWeaver RFC SDK, PyRFC, secure credential storage, baseline library, Git repository, test ECC and S/4HANA systems, logging, exception handling.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