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5EB9B" w14:textId="77777777" w:rsidR="001107B0" w:rsidRDefault="00000000">
      <w:pPr>
        <w:jc w:val="center"/>
      </w:pPr>
      <w:r>
        <w:rPr>
          <w:b/>
          <w:color w:val="1F3864"/>
          <w:sz w:val="48"/>
        </w:rPr>
        <w:t>SAP Security Assessment &amp; Transformation Readiness Platform</w:t>
      </w:r>
    </w:p>
    <w:p w14:paraId="079C7660" w14:textId="031C296A" w:rsidR="001107B0" w:rsidRDefault="00000000">
      <w:pPr>
        <w:jc w:val="center"/>
      </w:pPr>
      <w:r>
        <w:rPr>
          <w:i/>
          <w:sz w:val="26"/>
        </w:rPr>
        <w:t>Progress Update — 8 August 2026</w:t>
      </w:r>
    </w:p>
    <w:p w14:paraId="1875E4EB" w14:textId="77777777" w:rsidR="001107B0" w:rsidRDefault="001107B0">
      <w:pPr>
        <w:pBdr>
          <w:bottom w:val="single" w:sz="6" w:space="1" w:color="1F3864"/>
        </w:pBdr>
      </w:pPr>
    </w:p>
    <w:p w14:paraId="7DDBCD01" w14:textId="77777777" w:rsidR="001107B0" w:rsidRDefault="00000000">
      <w:pPr>
        <w:pStyle w:val="Heading1"/>
        <w:spacing w:before="360" w:after="120"/>
      </w:pPr>
      <w:r>
        <w:rPr>
          <w:color w:val="1F3864"/>
          <w:sz w:val="32"/>
        </w:rPr>
        <w:t>1. Problem Statement</w:t>
      </w:r>
    </w:p>
    <w:p w14:paraId="7454A40F" w14:textId="77777777" w:rsidR="001107B0" w:rsidRDefault="00000000">
      <w:pPr>
        <w:spacing w:after="160"/>
      </w:pPr>
      <w:r>
        <w:t>SAP security assessments today are almost entirely manual: consultants spend days per engagement walking through checklists in SAP GUI, cross-referencing tables and transactions by hand, and compiling findings into spreadsheets. This is slow, inconsistent between consultants, difficult to scale across a growing client base, and makes it hard to standardize what “good” looks like across ECC, S/4HANA, GRC, and Fiori landscapes.</w:t>
      </w:r>
    </w:p>
    <w:p w14:paraId="6E26C7A9" w14:textId="77777777" w:rsidR="001107B0" w:rsidRDefault="00000000">
      <w:pPr>
        <w:spacing w:after="160"/>
      </w:pPr>
      <w:r>
        <w:t>The objective of this initiative is to build a reusable, enterprise-grade SAP Security Assessment &amp; Transformation Readiness platform: a connector-agnostic engine that connects to a customer's SAP landscape, automatically extracts the data behind our standard assessment checklist, and produces consultant-ready findings — cutting assessment turnaround time while raising the consistency and depth of what we deliver to clients.</w:t>
      </w:r>
    </w:p>
    <w:p w14:paraId="60C6941B" w14:textId="77777777" w:rsidR="001107B0" w:rsidRDefault="00000000">
      <w:pPr>
        <w:spacing w:after="160"/>
      </w:pPr>
      <w:r>
        <w:t>As a first, high-value slice of this platform, we selected 14 of the highest-priority assessment questions spanning Landscape, User Administration, Roles &amp; Authorizations, Privileged Access, System Hardening, RFC/Interface Security, and Fiori/OData exposure — the checks our own Automation Opportunity Matrix rated highest for ease of implementation, business value, and automation potential.</w:t>
      </w:r>
    </w:p>
    <w:p w14:paraId="3D2CB76F" w14:textId="77777777" w:rsidR="001107B0" w:rsidRDefault="00000000">
      <w:pPr>
        <w:pStyle w:val="Heading1"/>
        <w:spacing w:before="360" w:after="120"/>
      </w:pPr>
      <w:r>
        <w:rPr>
          <w:color w:val="1F3864"/>
          <w:sz w:val="32"/>
        </w:rPr>
        <w:t>2. What We Have Done So Far</w:t>
      </w:r>
    </w:p>
    <w:p w14:paraId="7785FF2D" w14:textId="77777777" w:rsidR="001107B0" w:rsidRDefault="00000000">
      <w:pPr>
        <w:pStyle w:val="Heading2"/>
        <w:spacing w:after="80"/>
      </w:pPr>
      <w:r>
        <w:rPr>
          <w:color w:val="1F3864"/>
        </w:rPr>
        <w:t>2.1 Architecture &amp; Engineering Foundation</w:t>
      </w:r>
    </w:p>
    <w:p w14:paraId="6A9B6A17" w14:textId="77777777" w:rsidR="001107B0" w:rsidRDefault="00000000">
      <w:pPr>
        <w:pStyle w:val="ListBullet"/>
        <w:spacing w:after="80"/>
      </w:pPr>
      <w:r>
        <w:t>Designed and built the core platform architecture exactly to the principles set out for this program: an Assessment Engine that is fully decoupled from the transport layer, sitting behind a pluggable connector interface (RFC today; OData/REST and file-import designed in from day one).</w:t>
      </w:r>
    </w:p>
    <w:p w14:paraId="6741E139" w14:textId="77777777" w:rsidR="001107B0" w:rsidRDefault="00000000">
      <w:pPr>
        <w:pStyle w:val="ListBullet"/>
        <w:spacing w:after="80"/>
      </w:pPr>
      <w:r>
        <w:t>Implemented a production-grade RFC connector on PyRFC and the SAP NetWeaver RFC SDK, including safe handling of SAP's row-size and pagination limits, resilient reconnect handling, and a shared, reusable authorization-lookup layer used across multiple checks.</w:t>
      </w:r>
    </w:p>
    <w:p w14:paraId="656A44FC" w14:textId="77777777" w:rsidR="001107B0" w:rsidRDefault="00000000">
      <w:pPr>
        <w:pStyle w:val="ListBullet"/>
        <w:spacing w:after="80"/>
      </w:pPr>
      <w:r>
        <w:t>Solved a genuinely difficult tooling obstacle: SAP's official PyRFC package has no maintained installable release on PyPI, and our environment could not install the standard C++ build toolchain due to corporate device restrictions. Rather than stall on this, we sourced and validated a prebuilt, version-matched wheel from SAP's own release archive — unblocking the entire project without needing an IT exception.</w:t>
      </w:r>
    </w:p>
    <w:p w14:paraId="38E56C5C" w14:textId="77777777" w:rsidR="001107B0" w:rsidRDefault="00000000">
      <w:pPr>
        <w:pStyle w:val="Heading2"/>
        <w:spacing w:after="80"/>
      </w:pPr>
      <w:r>
        <w:rPr>
          <w:color w:val="1F3864"/>
        </w:rPr>
        <w:lastRenderedPageBreak/>
        <w:t>2.2 The 14 Assessment Checks — Built and Proven on a Live System</w:t>
      </w:r>
    </w:p>
    <w:p w14:paraId="547AE614" w14:textId="77777777" w:rsidR="001107B0" w:rsidRDefault="00000000">
      <w:pPr>
        <w:pStyle w:val="ListBullet"/>
        <w:spacing w:after="80"/>
      </w:pPr>
      <w:r>
        <w:t>All 14 prioritized checks are fully implemented, each precisely mapped to the correct underlying SAP tables and function modules, with the assessment question, data source, and collection method documented for every one.</w:t>
      </w:r>
    </w:p>
    <w:p w14:paraId="09D9733F" w14:textId="77777777" w:rsidR="001107B0" w:rsidRDefault="00000000">
      <w:pPr>
        <w:pStyle w:val="ListBullet"/>
        <w:spacing w:after="80"/>
      </w:pPr>
      <w:r>
        <w:t>Every check has been executed end-to-end against a live internal S/4HANA sandbox (system S23) and now runs cleanly, returning real, substantive findings — for example, identifying users holding SAP_ALL and S_DEVELOP, dormant and standard accounts, unused and derived roles, RFC trust relationships, and profile-parameter compliance against a security baseline.</w:t>
      </w:r>
    </w:p>
    <w:p w14:paraId="7626F387" w14:textId="77777777" w:rsidR="001107B0" w:rsidRDefault="00000000">
      <w:pPr>
        <w:pStyle w:val="ListBullet"/>
        <w:spacing w:after="80"/>
      </w:pPr>
      <w:r>
        <w:t>Along the way, live testing surfaced and we resolved a series of subtle real-world issues that only show up against an actual SAP system — undocumented field-naming differences, system-specific query-parser limits, and connection-resilience gaps — hardening the tool well beyond what a purely theoretical build would have caught.</w:t>
      </w:r>
    </w:p>
    <w:tbl>
      <w:tblPr>
        <w:tblStyle w:val="LightGrid-Accent1"/>
        <w:tblW w:w="0" w:type="auto"/>
        <w:jc w:val="center"/>
        <w:tblLook w:val="04A0" w:firstRow="1" w:lastRow="0" w:firstColumn="1" w:lastColumn="0" w:noHBand="0" w:noVBand="1"/>
      </w:tblPr>
      <w:tblGrid>
        <w:gridCol w:w="3216"/>
        <w:gridCol w:w="3216"/>
        <w:gridCol w:w="3216"/>
      </w:tblGrid>
      <w:tr w:rsidR="001107B0" w14:paraId="51AEFDBC" w14:textId="77777777" w:rsidTr="001107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shd w:val="clear" w:color="auto" w:fill="1F3864"/>
          </w:tcPr>
          <w:p w14:paraId="4F59725C" w14:textId="77777777" w:rsidR="001107B0" w:rsidRDefault="00000000">
            <w:r>
              <w:rPr>
                <w:color w:val="FFFFFF"/>
              </w:rPr>
              <w:t>Assessment Domain</w:t>
            </w:r>
          </w:p>
        </w:tc>
        <w:tc>
          <w:tcPr>
            <w:tcW w:w="3216" w:type="dxa"/>
            <w:shd w:val="clear" w:color="auto" w:fill="1F3864"/>
          </w:tcPr>
          <w:p w14:paraId="3585180D" w14:textId="77777777" w:rsidR="001107B0" w:rsidRDefault="00000000">
            <w:pPr>
              <w:cnfStyle w:val="100000000000" w:firstRow="1" w:lastRow="0" w:firstColumn="0" w:lastColumn="0" w:oddVBand="0" w:evenVBand="0" w:oddHBand="0" w:evenHBand="0" w:firstRowFirstColumn="0" w:firstRowLastColumn="0" w:lastRowFirstColumn="0" w:lastRowLastColumn="0"/>
            </w:pPr>
            <w:r>
              <w:rPr>
                <w:color w:val="FFFFFF"/>
              </w:rPr>
              <w:t>Checks Delivered</w:t>
            </w:r>
          </w:p>
        </w:tc>
        <w:tc>
          <w:tcPr>
            <w:tcW w:w="3216" w:type="dxa"/>
            <w:shd w:val="clear" w:color="auto" w:fill="1F3864"/>
          </w:tcPr>
          <w:p w14:paraId="4DF88263" w14:textId="77777777" w:rsidR="001107B0" w:rsidRDefault="00000000">
            <w:pP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1107B0" w14:paraId="0412DA09" w14:textId="77777777" w:rsidTr="00110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148F31B" w14:textId="77777777" w:rsidR="001107B0" w:rsidRDefault="00000000">
            <w:r>
              <w:t>SAP Landscape</w:t>
            </w:r>
          </w:p>
        </w:tc>
        <w:tc>
          <w:tcPr>
            <w:tcW w:w="3216" w:type="dxa"/>
          </w:tcPr>
          <w:p w14:paraId="26A33C89" w14:textId="77777777" w:rsidR="001107B0" w:rsidRDefault="00000000">
            <w:pPr>
              <w:cnfStyle w:val="000000100000" w:firstRow="0" w:lastRow="0" w:firstColumn="0" w:lastColumn="0" w:oddVBand="0" w:evenVBand="0" w:oddHBand="1" w:evenHBand="0" w:firstRowFirstColumn="0" w:firstRowLastColumn="0" w:lastRowFirstColumn="0" w:lastRowLastColumn="0"/>
            </w:pPr>
            <w:r>
              <w:t>Products &amp; versions; systems &amp; SID</w:t>
            </w:r>
          </w:p>
        </w:tc>
        <w:tc>
          <w:tcPr>
            <w:tcW w:w="3216" w:type="dxa"/>
          </w:tcPr>
          <w:p w14:paraId="5F56128F" w14:textId="77777777" w:rsidR="001107B0" w:rsidRDefault="00000000">
            <w:pPr>
              <w:cnfStyle w:val="000000100000" w:firstRow="0" w:lastRow="0" w:firstColumn="0" w:lastColumn="0" w:oddVBand="0" w:evenVBand="0" w:oddHBand="1" w:evenHBand="0" w:firstRowFirstColumn="0" w:firstRowLastColumn="0" w:lastRowFirstColumn="0" w:lastRowLastColumn="0"/>
            </w:pPr>
            <w:r>
              <w:rPr>
                <w:b/>
                <w:color w:val="1E7B34"/>
              </w:rPr>
              <w:t>Complete</w:t>
            </w:r>
          </w:p>
        </w:tc>
      </w:tr>
      <w:tr w:rsidR="001107B0" w14:paraId="6D766533" w14:textId="77777777" w:rsidTr="001107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24335D4" w14:textId="77777777" w:rsidR="001107B0" w:rsidRDefault="00000000">
            <w:r>
              <w:t>User Administration</w:t>
            </w:r>
          </w:p>
        </w:tc>
        <w:tc>
          <w:tcPr>
            <w:tcW w:w="3216" w:type="dxa"/>
          </w:tcPr>
          <w:p w14:paraId="4774E673" w14:textId="77777777" w:rsidR="001107B0" w:rsidRDefault="00000000">
            <w:pPr>
              <w:cnfStyle w:val="000000010000" w:firstRow="0" w:lastRow="0" w:firstColumn="0" w:lastColumn="0" w:oddVBand="0" w:evenVBand="0" w:oddHBand="0" w:evenHBand="1" w:firstRowFirstColumn="0" w:firstRowLastColumn="0" w:lastRowFirstColumn="0" w:lastRowLastColumn="0"/>
            </w:pPr>
            <w:r>
              <w:t>Dormant users; standard users secured</w:t>
            </w:r>
          </w:p>
        </w:tc>
        <w:tc>
          <w:tcPr>
            <w:tcW w:w="3216" w:type="dxa"/>
          </w:tcPr>
          <w:p w14:paraId="6AB99AD9" w14:textId="77777777" w:rsidR="001107B0" w:rsidRDefault="00000000">
            <w:pPr>
              <w:cnfStyle w:val="000000010000" w:firstRow="0" w:lastRow="0" w:firstColumn="0" w:lastColumn="0" w:oddVBand="0" w:evenVBand="0" w:oddHBand="0" w:evenHBand="1" w:firstRowFirstColumn="0" w:firstRowLastColumn="0" w:lastRowFirstColumn="0" w:lastRowLastColumn="0"/>
            </w:pPr>
            <w:r>
              <w:rPr>
                <w:b/>
                <w:color w:val="1E7B34"/>
              </w:rPr>
              <w:t>Complete</w:t>
            </w:r>
          </w:p>
        </w:tc>
      </w:tr>
      <w:tr w:rsidR="001107B0" w14:paraId="3C0AC219" w14:textId="77777777" w:rsidTr="00110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21544B8" w14:textId="77777777" w:rsidR="001107B0" w:rsidRDefault="00000000">
            <w:r>
              <w:t>Roles &amp; Authorizations</w:t>
            </w:r>
          </w:p>
        </w:tc>
        <w:tc>
          <w:tcPr>
            <w:tcW w:w="3216" w:type="dxa"/>
          </w:tcPr>
          <w:p w14:paraId="34FA35F7" w14:textId="77777777" w:rsidR="001107B0" w:rsidRDefault="00000000">
            <w:pPr>
              <w:cnfStyle w:val="000000100000" w:firstRow="0" w:lastRow="0" w:firstColumn="0" w:lastColumn="0" w:oddVBand="0" w:evenVBand="0" w:oddHBand="1" w:evenHBand="0" w:firstRowFirstColumn="0" w:firstRowLastColumn="0" w:lastRowFirstColumn="0" w:lastRowLastColumn="0"/>
            </w:pPr>
            <w:r>
              <w:t>Derived roles; unused roles; critical authorization objects</w:t>
            </w:r>
          </w:p>
        </w:tc>
        <w:tc>
          <w:tcPr>
            <w:tcW w:w="3216" w:type="dxa"/>
          </w:tcPr>
          <w:p w14:paraId="7DF50697" w14:textId="77777777" w:rsidR="001107B0" w:rsidRDefault="00000000">
            <w:pPr>
              <w:cnfStyle w:val="000000100000" w:firstRow="0" w:lastRow="0" w:firstColumn="0" w:lastColumn="0" w:oddVBand="0" w:evenVBand="0" w:oddHBand="1" w:evenHBand="0" w:firstRowFirstColumn="0" w:firstRowLastColumn="0" w:lastRowFirstColumn="0" w:lastRowLastColumn="0"/>
            </w:pPr>
            <w:r>
              <w:rPr>
                <w:b/>
                <w:color w:val="1E7B34"/>
              </w:rPr>
              <w:t>Complete</w:t>
            </w:r>
          </w:p>
        </w:tc>
      </w:tr>
      <w:tr w:rsidR="001107B0" w14:paraId="5BBD7883" w14:textId="77777777" w:rsidTr="001107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3C4FAA6" w14:textId="77777777" w:rsidR="001107B0" w:rsidRDefault="00000000">
            <w:r>
              <w:t>Privileged Access</w:t>
            </w:r>
          </w:p>
        </w:tc>
        <w:tc>
          <w:tcPr>
            <w:tcW w:w="3216" w:type="dxa"/>
          </w:tcPr>
          <w:p w14:paraId="36D0634F" w14:textId="77777777" w:rsidR="001107B0" w:rsidRDefault="00000000">
            <w:pPr>
              <w:cnfStyle w:val="000000010000" w:firstRow="0" w:lastRow="0" w:firstColumn="0" w:lastColumn="0" w:oddVBand="0" w:evenVBand="0" w:oddHBand="0" w:evenHBand="1" w:firstRowFirstColumn="0" w:firstRowLastColumn="0" w:lastRowFirstColumn="0" w:lastRowLastColumn="0"/>
            </w:pPr>
            <w:r>
              <w:t>SAP_ALL holders; S_DEVELOP holders</w:t>
            </w:r>
          </w:p>
        </w:tc>
        <w:tc>
          <w:tcPr>
            <w:tcW w:w="3216" w:type="dxa"/>
          </w:tcPr>
          <w:p w14:paraId="737E9F98" w14:textId="77777777" w:rsidR="001107B0" w:rsidRDefault="00000000">
            <w:pPr>
              <w:cnfStyle w:val="000000010000" w:firstRow="0" w:lastRow="0" w:firstColumn="0" w:lastColumn="0" w:oddVBand="0" w:evenVBand="0" w:oddHBand="0" w:evenHBand="1" w:firstRowFirstColumn="0" w:firstRowLastColumn="0" w:lastRowFirstColumn="0" w:lastRowLastColumn="0"/>
            </w:pPr>
            <w:r>
              <w:rPr>
                <w:b/>
                <w:color w:val="1E7B34"/>
              </w:rPr>
              <w:t>Complete</w:t>
            </w:r>
          </w:p>
        </w:tc>
      </w:tr>
      <w:tr w:rsidR="001107B0" w14:paraId="3C1AB3AE" w14:textId="77777777" w:rsidTr="00110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0EC521D2" w14:textId="77777777" w:rsidR="001107B0" w:rsidRDefault="00000000">
            <w:r>
              <w:t>System Hardening</w:t>
            </w:r>
          </w:p>
        </w:tc>
        <w:tc>
          <w:tcPr>
            <w:tcW w:w="3216" w:type="dxa"/>
          </w:tcPr>
          <w:p w14:paraId="3BAF1BCE" w14:textId="77777777" w:rsidR="001107B0" w:rsidRDefault="00000000">
            <w:pPr>
              <w:cnfStyle w:val="000000100000" w:firstRow="0" w:lastRow="0" w:firstColumn="0" w:lastColumn="0" w:oddVBand="0" w:evenVBand="0" w:oddHBand="1" w:evenHBand="0" w:firstRowFirstColumn="0" w:firstRowLastColumn="0" w:lastRowFirstColumn="0" w:lastRowLastColumn="0"/>
            </w:pPr>
            <w:r>
              <w:t>Profile parameters vs. security baseline</w:t>
            </w:r>
          </w:p>
        </w:tc>
        <w:tc>
          <w:tcPr>
            <w:tcW w:w="3216" w:type="dxa"/>
          </w:tcPr>
          <w:p w14:paraId="47CA6F40" w14:textId="77777777" w:rsidR="001107B0" w:rsidRDefault="00000000">
            <w:pPr>
              <w:cnfStyle w:val="000000100000" w:firstRow="0" w:lastRow="0" w:firstColumn="0" w:lastColumn="0" w:oddVBand="0" w:evenVBand="0" w:oddHBand="1" w:evenHBand="0" w:firstRowFirstColumn="0" w:firstRowLastColumn="0" w:lastRowFirstColumn="0" w:lastRowLastColumn="0"/>
            </w:pPr>
            <w:r>
              <w:rPr>
                <w:b/>
                <w:color w:val="1E7B34"/>
              </w:rPr>
              <w:t>Complete</w:t>
            </w:r>
          </w:p>
        </w:tc>
      </w:tr>
      <w:tr w:rsidR="001107B0" w14:paraId="01DB68AB" w14:textId="77777777" w:rsidTr="001107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76BF459" w14:textId="77777777" w:rsidR="001107B0" w:rsidRDefault="00000000">
            <w:r>
              <w:t>RFC &amp; Interfaces</w:t>
            </w:r>
          </w:p>
        </w:tc>
        <w:tc>
          <w:tcPr>
            <w:tcW w:w="3216" w:type="dxa"/>
          </w:tcPr>
          <w:p w14:paraId="3389E7E1" w14:textId="77777777" w:rsidR="001107B0" w:rsidRDefault="00000000">
            <w:pPr>
              <w:cnfStyle w:val="000000010000" w:firstRow="0" w:lastRow="0" w:firstColumn="0" w:lastColumn="0" w:oddVBand="0" w:evenVBand="0" w:oddHBand="0" w:evenHBand="1" w:firstRowFirstColumn="0" w:firstRowLastColumn="0" w:lastRowFirstColumn="0" w:lastRowLastColumn="0"/>
            </w:pPr>
            <w:r>
              <w:t>Trusted RFC documentation; stored-credential review</w:t>
            </w:r>
          </w:p>
        </w:tc>
        <w:tc>
          <w:tcPr>
            <w:tcW w:w="3216" w:type="dxa"/>
          </w:tcPr>
          <w:p w14:paraId="4C916BA5" w14:textId="77777777" w:rsidR="001107B0" w:rsidRDefault="00000000">
            <w:pPr>
              <w:cnfStyle w:val="000000010000" w:firstRow="0" w:lastRow="0" w:firstColumn="0" w:lastColumn="0" w:oddVBand="0" w:evenVBand="0" w:oddHBand="0" w:evenHBand="1" w:firstRowFirstColumn="0" w:firstRowLastColumn="0" w:lastRowFirstColumn="0" w:lastRowLastColumn="0"/>
            </w:pPr>
            <w:r>
              <w:rPr>
                <w:b/>
                <w:color w:val="1E7B34"/>
              </w:rPr>
              <w:t>Complete</w:t>
            </w:r>
          </w:p>
        </w:tc>
      </w:tr>
      <w:tr w:rsidR="001107B0" w14:paraId="714C6175" w14:textId="77777777" w:rsidTr="001107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94B25C9" w14:textId="77777777" w:rsidR="001107B0" w:rsidRDefault="00000000">
            <w:r>
              <w:t>Fiori &amp; Web</w:t>
            </w:r>
          </w:p>
        </w:tc>
        <w:tc>
          <w:tcPr>
            <w:tcW w:w="3216" w:type="dxa"/>
          </w:tcPr>
          <w:p w14:paraId="32F57CAB" w14:textId="77777777" w:rsidR="001107B0" w:rsidRDefault="00000000">
            <w:pPr>
              <w:cnfStyle w:val="000000100000" w:firstRow="0" w:lastRow="0" w:firstColumn="0" w:lastColumn="0" w:oddVBand="0" w:evenVBand="0" w:oddHBand="1" w:evenHBand="0" w:firstRowFirstColumn="0" w:firstRowLastColumn="0" w:lastRowFirstColumn="0" w:lastRowLastColumn="0"/>
            </w:pPr>
            <w:r>
              <w:t>Active ICF services; OData service catalog</w:t>
            </w:r>
          </w:p>
        </w:tc>
        <w:tc>
          <w:tcPr>
            <w:tcW w:w="3216" w:type="dxa"/>
          </w:tcPr>
          <w:p w14:paraId="0EBC8524" w14:textId="77777777" w:rsidR="001107B0" w:rsidRDefault="00000000">
            <w:pPr>
              <w:cnfStyle w:val="000000100000" w:firstRow="0" w:lastRow="0" w:firstColumn="0" w:lastColumn="0" w:oddVBand="0" w:evenVBand="0" w:oddHBand="1" w:evenHBand="0" w:firstRowFirstColumn="0" w:firstRowLastColumn="0" w:lastRowFirstColumn="0" w:lastRowLastColumn="0"/>
            </w:pPr>
            <w:r>
              <w:rPr>
                <w:b/>
                <w:color w:val="B8860B"/>
              </w:rPr>
              <w:t>13 of 14 complete*</w:t>
            </w:r>
          </w:p>
        </w:tc>
      </w:tr>
    </w:tbl>
    <w:p w14:paraId="1A43CC3A" w14:textId="77777777" w:rsidR="001107B0" w:rsidRDefault="00000000">
      <w:pPr>
        <w:spacing w:before="80"/>
      </w:pPr>
      <w:r>
        <w:rPr>
          <w:i/>
          <w:sz w:val="18"/>
        </w:rPr>
        <w:t>*OData service catalog review is built and tested in isolation; it depends on the customer's SAP Gateway host, which is configured per landscape rather than during core development.</w:t>
      </w:r>
    </w:p>
    <w:p w14:paraId="35FE9753" w14:textId="77777777" w:rsidR="001107B0" w:rsidRDefault="00000000">
      <w:pPr>
        <w:pStyle w:val="Heading2"/>
        <w:spacing w:after="80"/>
      </w:pPr>
      <w:r>
        <w:rPr>
          <w:color w:val="1F3864"/>
        </w:rPr>
        <w:t>2.3 Consultant-Ready Reporting</w:t>
      </w:r>
    </w:p>
    <w:p w14:paraId="03002538" w14:textId="77777777" w:rsidR="001107B0" w:rsidRDefault="00000000">
      <w:pPr>
        <w:pStyle w:val="ListBullet"/>
        <w:spacing w:after="80"/>
      </w:pPr>
      <w:r>
        <w:t>Beyond raw data extraction, we built a reporting layer that turns each check's output into a plain-English “Key Finding” — e.g. “413 unique users hold SAP_ALL” or “Standard account DDIC is currently unlocked” — so a security consultant or business lead can read the results directly, without needing to interpret raw SAP table data.</w:t>
      </w:r>
    </w:p>
    <w:p w14:paraId="37A0958F" w14:textId="77777777" w:rsidR="001107B0" w:rsidRDefault="00000000">
      <w:pPr>
        <w:pStyle w:val="ListBullet"/>
        <w:spacing w:after="80"/>
      </w:pPr>
      <w:r>
        <w:t>Output is produced in both a polished Excel workbook (summary view plus full technical detail per check) and structured JSON, so the same run can serve a human reviewer today and feed a future dashboard or reporting engine tomorrow.</w:t>
      </w:r>
    </w:p>
    <w:p w14:paraId="26965BFB" w14:textId="77777777" w:rsidR="001107B0" w:rsidRDefault="00000000">
      <w:pPr>
        <w:pStyle w:val="Heading2"/>
        <w:spacing w:after="80"/>
      </w:pPr>
      <w:r>
        <w:rPr>
          <w:color w:val="1F3864"/>
        </w:rPr>
        <w:t>2.4 Security-First Deployment Model</w:t>
      </w:r>
    </w:p>
    <w:p w14:paraId="71536C2B" w14:textId="77777777" w:rsidR="001107B0" w:rsidRDefault="00000000">
      <w:pPr>
        <w:pStyle w:val="ListBullet"/>
        <w:spacing w:after="80"/>
      </w:pPr>
      <w:r>
        <w:t>Rather than defaulting to a broad SAP_ALL account for convenience, we reverse-engineered the exact, minimal set of SAP authorizations — down to the individual authorization object, field, and value — that our technical RFC user needs to run all 14 checks, and packaged this into a role specification with step-by-step build instructions.</w:t>
      </w:r>
    </w:p>
    <w:p w14:paraId="2869B279" w14:textId="77777777" w:rsidR="001107B0" w:rsidRDefault="00000000">
      <w:pPr>
        <w:pStyle w:val="ListBullet"/>
        <w:spacing w:after="80"/>
      </w:pPr>
      <w:r>
        <w:lastRenderedPageBreak/>
        <w:t>We are now validating that least-privilege role live against the sandbox, using SAP's own authorization-trace tooling (SU53) to identify and close each remaining gap one at a time. This means that when we deploy into a customer landscape, we can hand over a precise, pre-tested role instead of asking for broad access — a meaningfully stronger security posture and an easier sell to customer security teams.</w:t>
      </w:r>
    </w:p>
    <w:p w14:paraId="79F08161" w14:textId="77777777" w:rsidR="001107B0" w:rsidRDefault="00000000">
      <w:pPr>
        <w:pStyle w:val="Heading1"/>
        <w:spacing w:before="360" w:after="120"/>
      </w:pPr>
      <w:r>
        <w:rPr>
          <w:color w:val="1F3864"/>
          <w:sz w:val="32"/>
        </w:rPr>
        <w:t>3. What We Are Planning Over the Next Few Days</w:t>
      </w:r>
    </w:p>
    <w:p w14:paraId="1AA053A3" w14:textId="77777777" w:rsidR="001107B0" w:rsidRDefault="00000000">
      <w:pPr>
        <w:pStyle w:val="ListBullet"/>
        <w:spacing w:after="80"/>
      </w:pPr>
      <w:r>
        <w:rPr>
          <w:b/>
        </w:rPr>
        <w:t xml:space="preserve">Close out role validation: </w:t>
      </w:r>
      <w:r>
        <w:t>Finish validating the least-privilege RFC role against the sandbox and lock in the final, customer-ready authorization package.</w:t>
      </w:r>
    </w:p>
    <w:p w14:paraId="13B54F30" w14:textId="77777777" w:rsidR="001107B0" w:rsidRDefault="00000000">
      <w:pPr>
        <w:pStyle w:val="ListBullet"/>
        <w:spacing w:after="80"/>
      </w:pPr>
      <w:r>
        <w:rPr>
          <w:b/>
        </w:rPr>
        <w:t xml:space="preserve">Add scoring and remediation: </w:t>
      </w:r>
      <w:r>
        <w:t>Layer risk scoring, maturity scoring, and remediation guidance onto each check's factual findings, moving from data extraction to full assessment output in line with the platform's automation philosophy.</w:t>
      </w:r>
    </w:p>
    <w:p w14:paraId="2DAB960B" w14:textId="77777777" w:rsidR="001107B0" w:rsidRDefault="00000000">
      <w:pPr>
        <w:pStyle w:val="ListBullet"/>
        <w:spacing w:after="80"/>
      </w:pPr>
      <w:r>
        <w:rPr>
          <w:b/>
        </w:rPr>
        <w:t xml:space="preserve">Expand check coverage: </w:t>
      </w:r>
      <w:r>
        <w:t>Extend coverage to the next tranche of high-value checks identified in the Automation Opportunity Matrix (e.g. GRC firefighter access, SU24 maintenance, Gateway ACL review), following the same proven build-and-validate-on-a-live-system pattern.</w:t>
      </w:r>
    </w:p>
    <w:p w14:paraId="2AA7E0EA" w14:textId="77777777" w:rsidR="001107B0" w:rsidRDefault="00000000">
      <w:pPr>
        <w:pStyle w:val="ListBullet"/>
        <w:spacing w:after="80"/>
      </w:pPr>
      <w:r>
        <w:rPr>
          <w:b/>
        </w:rPr>
        <w:t xml:space="preserve">Prepare for customer deployment: </w:t>
      </w:r>
      <w:r>
        <w:t>Package the connector configuration, the validated role specification, and setup steps into a repeatable onboarding kit so a new customer engagement can be stood up with minimal setup effort.</w:t>
      </w:r>
    </w:p>
    <w:p w14:paraId="056C3E56" w14:textId="77777777" w:rsidR="001107B0" w:rsidRDefault="00000000">
      <w:pPr>
        <w:pStyle w:val="ListBullet"/>
        <w:spacing w:after="80"/>
      </w:pPr>
      <w:r>
        <w:rPr>
          <w:b/>
        </w:rPr>
        <w:t xml:space="preserve">Start executive reporting design: </w:t>
      </w:r>
      <w:r>
        <w:t>Begin design work on the executive-facing report — maturity scoring, risk heat maps, and a prioritized remediation roadmap — for leadership-level readouts, per the platform's long-term vision.</w:t>
      </w:r>
    </w:p>
    <w:p w14:paraId="24A02E1A" w14:textId="77777777" w:rsidR="001107B0" w:rsidRDefault="001107B0">
      <w:pPr>
        <w:pBdr>
          <w:bottom w:val="single" w:sz="6" w:space="1" w:color="1F3864"/>
        </w:pBdr>
      </w:pPr>
    </w:p>
    <w:p w14:paraId="30157283" w14:textId="77777777" w:rsidR="001107B0" w:rsidRDefault="00000000">
      <w:pPr>
        <w:spacing w:before="200"/>
      </w:pPr>
      <w:r>
        <w:rPr>
          <w:i/>
          <w:color w:val="1F3864"/>
        </w:rPr>
        <w:t>In just over three weeks, we have gone from a blank slate to a working, live-validated automation engine covering 14 real assessment checks, proven end-to-end against an actual SAP system, backed by a security-conscious deployment model that most tools in this space do not bother to build. We are on track to keep this pace through the next phase.</w:t>
      </w:r>
    </w:p>
    <w:sectPr w:rsidR="001107B0"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308976">
    <w:abstractNumId w:val="8"/>
  </w:num>
  <w:num w:numId="2" w16cid:durableId="280650094">
    <w:abstractNumId w:val="6"/>
  </w:num>
  <w:num w:numId="3" w16cid:durableId="118769564">
    <w:abstractNumId w:val="5"/>
  </w:num>
  <w:num w:numId="4" w16cid:durableId="1273900279">
    <w:abstractNumId w:val="4"/>
  </w:num>
  <w:num w:numId="5" w16cid:durableId="1107693458">
    <w:abstractNumId w:val="7"/>
  </w:num>
  <w:num w:numId="6" w16cid:durableId="178350558">
    <w:abstractNumId w:val="3"/>
  </w:num>
  <w:num w:numId="7" w16cid:durableId="451094220">
    <w:abstractNumId w:val="2"/>
  </w:num>
  <w:num w:numId="8" w16cid:durableId="1351955110">
    <w:abstractNumId w:val="1"/>
  </w:num>
  <w:num w:numId="9" w16cid:durableId="1839464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7B0"/>
    <w:rsid w:val="0015074B"/>
    <w:rsid w:val="0029639D"/>
    <w:rsid w:val="00326F90"/>
    <w:rsid w:val="00735206"/>
    <w:rsid w:val="00AA1D8D"/>
    <w:rsid w:val="00AA712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6A4DB8"/>
  <w14:defaultImageDpi w14:val="300"/>
  <w15:docId w15:val="{7451B2E2-9BC6-422B-B0AC-1E3F6C8FE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40404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Parate</cp:lastModifiedBy>
  <cp:revision>2</cp:revision>
  <dcterms:created xsi:type="dcterms:W3CDTF">2013-12-23T23:15:00Z</dcterms:created>
  <dcterms:modified xsi:type="dcterms:W3CDTF">2026-08-07T08:36:00Z</dcterms:modified>
  <cp:category/>
</cp:coreProperties>
</file>