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A5A5"/>
          <w:sz w:val="20"/>
        </w:rPr>
        <w:t>SAP SECURITY  •  AI-ASSISTED THREAT DETECTION</w:t>
      </w:r>
    </w:p>
    <w:p>
      <w:r>
        <w:rPr>
          <w:color w:val="5A5A5A"/>
          <w:sz w:val="19"/>
        </w:rPr>
        <w:t>ARCHITECTURE &amp; SOLUTION BLUEPRINT  |  VERSION 2.0  |  SEPTEMBER 2026</w:t>
      </w:r>
    </w:p>
    <w:p>
      <w:r>
        <w:rPr>
          <w:b/>
          <w:color w:val="0B1F3A"/>
          <w:sz w:val="80"/>
        </w:rPr>
        <w:t>SAL</w:t>
      </w:r>
    </w:p>
    <w:p>
      <w:r>
        <w:rPr>
          <w:color w:val="5A5A5A"/>
          <w:sz w:val="28"/>
        </w:rPr>
        <w:t>Security Audit Log Analysis — As-Built State &amp; Forward Architecture</w:t>
      </w:r>
    </w:p>
    <w:p>
      <w:r>
        <w:t>This document reconciles the Version 1.0 Architecture &amp; Solution Blueprint (external, concept-stage) with what is actually implemented and running today — against a live SAP system, with over 111,000 real Security Audit Log events collected — and lays out the recommended forward architecture for the next build increment. It supersedes no prior use-case analysis; it grounds it in validated, working code.</w:t>
      </w:r>
    </w:p>
    <w:p>
      <w:r>
        <w:rPr>
          <w:color w:val="5A5A5A"/>
          <w:sz w:val="17"/>
        </w:rPr>
        <w:t>Confidential — Internal &amp; Client Discussion Use</w:t>
      </w:r>
      <w:r>
        <w:tab/>
        <w:tab/>
      </w:r>
      <w:r>
        <w:rPr>
          <w:color w:val="5A5A5A"/>
          <w:sz w:val="17"/>
        </w:rPr>
        <w:t>Python / Flask Delivery Vehicle (as-built: Flask + SQLite + pyrfc)</w:t>
      </w:r>
    </w:p>
    <w:p>
      <w:r>
        <w:br w:type="page"/>
      </w:r>
    </w:p>
    <w:p>
      <w:pPr>
        <w:pStyle w:val="Heading1"/>
      </w:pPr>
      <w:r>
        <w:rPr>
          <w:color w:val="0B1F3A"/>
        </w:rPr>
        <w:t>1. Executive Summary</w:t>
      </w:r>
    </w:p>
    <w:p>
      <w:r>
        <w:t>SAL is not a concept. As of this writing it is a working Flask application, connected via RFC to a live SAP system (S23, client 100), with a validated SM20 collector, 10 running deterministic detection rules, a dashboard, a findings browser, and — as of this build — an application-level audit trail recording who searched, collected, or changed what. Over 111,000 real Security Audit Log events have been collected and are being analyzed today.</w:t>
      </w:r>
    </w:p>
    <w:p>
      <w:r>
        <w:t>The Version 1.0 blueprint (SAL_Architecture_Blueprint.pdf) describes a mature target state — continuous ingestion, PostgreSQL, classical ML anomaly scoring, peer-group baselining, case management, and an LLM query layer — for an eventual 11-account managed-service rollout across ECC, S/4HANA (on-prem and cloud), and RISE. That target state remains directionally sound and this document does not contradict it. What this document adds is the gap between that target and what is actually running today, several corrections to technical assumptions that do not survive contact with a real SAP system, and a forward architecture sequenced by what unlocks the most real value next — not by document section order.</w:t>
      </w:r>
    </w:p>
    <w:p>
      <w:pPr>
        <w:ind w:left="360"/>
      </w:pPr>
      <w:r>
        <w:rPr>
          <w:b/>
        </w:rPr>
        <w:t xml:space="preserve">How to read this document: </w:t>
      </w:r>
      <w:r>
        <w:t>Section 2 is a layer-by-layer reality check against the v1.0 blueprint. Section 3 reconciles the detection use-case catalog. Section 4 lists specific corrections. Section 5 is the recommended forward architecture — the actual “new design” for this tool. Section 6 is the governance/guardrail status.</w:t>
      </w:r>
    </w:p>
    <w:p>
      <w:pPr>
        <w:pStyle w:val="Heading1"/>
      </w:pPr>
      <w:r>
        <w:rPr>
          <w:color w:val="0B1F3A"/>
        </w:rPr>
        <w:t>2. Architecture Layers — Blueprint Proposal vs. As-Built Today</w:t>
      </w:r>
    </w:p>
    <w:p>
      <w:r>
        <w:t>Same layer names as the v1.0 blueprint's Solution Architecture Overview, so the two documents can be read side by side.</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0B1F3A"/>
          </w:tcPr>
          <w:p>
            <w:r>
              <w:rPr>
                <w:b/>
                <w:color w:val="FFFFFF"/>
                <w:sz w:val="19"/>
              </w:rPr>
              <w:t>Layer</w:t>
            </w:r>
          </w:p>
        </w:tc>
        <w:tc>
          <w:tcPr>
            <w:tcW w:type="dxa" w:w="3456"/>
            <w:shd w:val="clear" w:color="auto" w:fill="0B1F3A"/>
          </w:tcPr>
          <w:p>
            <w:r>
              <w:rPr>
                <w:b/>
                <w:color w:val="FFFFFF"/>
                <w:sz w:val="19"/>
              </w:rPr>
              <w:t>V1.0 Blueprint Proposal</w:t>
            </w:r>
          </w:p>
        </w:tc>
        <w:tc>
          <w:tcPr>
            <w:tcW w:type="dxa" w:w="4176"/>
            <w:shd w:val="clear" w:color="auto" w:fill="0B1F3A"/>
          </w:tcPr>
          <w:p>
            <w:r>
              <w:rPr>
                <w:b/>
                <w:color w:val="FFFFFF"/>
                <w:sz w:val="19"/>
              </w:rPr>
              <w:t>As-Built Today</w:t>
            </w:r>
          </w:p>
        </w:tc>
      </w:tr>
      <w:tr>
        <w:tc>
          <w:tcPr>
            <w:tcW w:type="dxa" w:w="1872"/>
          </w:tcPr>
          <w:p>
            <w:r>
              <w:rPr>
                <w:sz w:val="19"/>
              </w:rPr>
              <w:t>Connector</w:t>
            </w:r>
          </w:p>
        </w:tc>
        <w:tc>
          <w:tcPr>
            <w:tcW w:type="dxa" w:w="3456"/>
          </w:tcPr>
          <w:p>
            <w:r>
              <w:rPr>
                <w:sz w:val="19"/>
              </w:rPr>
              <w:t>Abstract SAPConnector base class with RFC / OData / Manual-Upload subclasses, landscape-agnostic</w:t>
            </w:r>
          </w:p>
        </w:tc>
        <w:tc>
          <w:tcPr>
            <w:tcW w:type="dxa" w:w="4176"/>
          </w:tcPr>
          <w:p>
            <w:r>
              <w:rPr>
                <w:sz w:val="19"/>
              </w:rPr>
              <w:t>One concrete class, sal/sap_connector/connection.py — a thin pyrfc wrapper. RFC-only. One system profile configured (S23 / client 100). No OData or manual-upload path exists.</w:t>
            </w:r>
          </w:p>
        </w:tc>
      </w:tr>
      <w:tr>
        <w:tc>
          <w:tcPr>
            <w:tcW w:type="dxa" w:w="1872"/>
          </w:tcPr>
          <w:p>
            <w:r>
              <w:rPr>
                <w:sz w:val="19"/>
              </w:rPr>
              <w:t>Ingestion Scheduler</w:t>
            </w:r>
          </w:p>
        </w:tc>
        <w:tc>
          <w:tcPr>
            <w:tcW w:type="dxa" w:w="3456"/>
          </w:tcPr>
          <w:p>
            <w:r>
              <w:rPr>
                <w:sz w:val="19"/>
              </w:rPr>
              <w:t>Celery Beat / cron, incremental checkpointed pulls every 15–30 minutes</w:t>
            </w:r>
          </w:p>
        </w:tc>
        <w:tc>
          <w:tcPr>
            <w:tcW w:type="dxa" w:w="4176"/>
          </w:tcPr>
          <w:p>
            <w:r>
              <w:rPr>
                <w:sz w:val="19"/>
              </w:rPr>
              <w:t>No scheduler. Collection is manually triggered — the “Collect” screen in the UI, or scripts/collect_sm20.py from the CLI. SAL is not yet continuous.</w:t>
            </w:r>
          </w:p>
        </w:tc>
      </w:tr>
      <w:tr>
        <w:tc>
          <w:tcPr>
            <w:tcW w:type="dxa" w:w="1872"/>
          </w:tcPr>
          <w:p>
            <w:r>
              <w:rPr>
                <w:sz w:val="19"/>
              </w:rPr>
              <w:t>Extraction function module</w:t>
            </w:r>
          </w:p>
        </w:tc>
        <w:tc>
          <w:tcPr>
            <w:tcW w:type="dxa" w:w="3456"/>
          </w:tcPr>
          <w:p>
            <w:r>
              <w:rPr>
                <w:sz w:val="19"/>
              </w:rPr>
              <w:t>RSAU_READ_LOG</w:t>
            </w:r>
          </w:p>
        </w:tc>
        <w:tc>
          <w:tcPr>
            <w:tcW w:type="dxa" w:w="4176"/>
          </w:tcPr>
          <w:p>
            <w:r>
              <w:rPr>
                <w:sz w:val="19"/>
              </w:rPr>
              <w:t>RSAU_API_GET_LOG_DATA. RSAU_READ_LOG was tried first during the technical spike and reliably returned zero rows over RFC, even for windows independently confirmed to contain data. This is documented in sal/collectors/sm20.py's own module docstring and is a validated finding, not a preference.</w:t>
            </w:r>
          </w:p>
        </w:tc>
      </w:tr>
      <w:tr>
        <w:tc>
          <w:tcPr>
            <w:tcW w:type="dxa" w:w="1872"/>
          </w:tcPr>
          <w:p>
            <w:r>
              <w:rPr>
                <w:sz w:val="19"/>
              </w:rPr>
              <w:t>Storage</w:t>
            </w:r>
          </w:p>
        </w:tc>
        <w:tc>
          <w:tcPr>
            <w:tcW w:type="dxa" w:w="3456"/>
          </w:tcPr>
          <w:p>
            <w:r>
              <w:rPr>
                <w:sz w:val="19"/>
              </w:rPr>
              <w:t>PostgreSQL, partitioned tables, JSONB; separate raw landing zone + structured store</w:t>
            </w:r>
          </w:p>
        </w:tc>
        <w:tc>
          <w:tcPr>
            <w:tcW w:type="dxa" w:w="4176"/>
          </w:tcPr>
          <w:p>
            <w:r>
              <w:rPr>
                <w:sz w:val="19"/>
              </w:rPr>
              <w:t>SQLite, single file (data/sal.db), one structured events table. No separate raw/untouched landing-zone layer — only the normalized columns are retained, not the original SAP payload. Currently ~111,026 rows from one system.</w:t>
            </w:r>
          </w:p>
        </w:tc>
      </w:tr>
      <w:tr>
        <w:tc>
          <w:tcPr>
            <w:tcW w:type="dxa" w:w="1872"/>
          </w:tcPr>
          <w:p>
            <w:r>
              <w:rPr>
                <w:sz w:val="19"/>
              </w:rPr>
              <w:t>Detection Engine</w:t>
            </w:r>
          </w:p>
        </w:tc>
        <w:tc>
          <w:tcPr>
            <w:tcW w:type="dxa" w:w="3456"/>
          </w:tcPr>
          <w:p>
            <w:r>
              <w:rPr>
                <w:sz w:val="19"/>
              </w:rPr>
              <w:t>Rule pack + classical ML (Isolation Forest / LOF / Autoencoders via scikit-learn / pyod) + peer-group baselining</w:t>
            </w:r>
          </w:p>
        </w:tc>
        <w:tc>
          <w:tcPr>
            <w:tcW w:type="dxa" w:w="4176"/>
          </w:tcPr>
          <w:p>
            <w:r>
              <w:rPr>
                <w:sz w:val="19"/>
              </w:rPr>
              <w:t>10 deterministic rules (sal/rules/). Personal baselining uses an online Welford mean/stdev per user (sal/rules/_stats.py) — statistically grounded, but not scikit-learn/pyod, and no peer-group comparison exists yet.</w:t>
            </w:r>
          </w:p>
        </w:tc>
      </w:tr>
      <w:tr>
        <w:tc>
          <w:tcPr>
            <w:tcW w:type="dxa" w:w="1872"/>
          </w:tcPr>
          <w:p>
            <w:r>
              <w:rPr>
                <w:sz w:val="19"/>
              </w:rPr>
              <w:t>Findings persistence</w:t>
            </w:r>
          </w:p>
        </w:tc>
        <w:tc>
          <w:tcPr>
            <w:tcW w:type="dxa" w:w="3456"/>
          </w:tcPr>
          <w:p>
            <w:r>
              <w:rPr>
                <w:sz w:val="19"/>
              </w:rPr>
              <w:t>findings table: status, analyst_notes, triggered_by, score, case linkage</w:t>
            </w:r>
          </w:p>
        </w:tc>
        <w:tc>
          <w:tcPr>
            <w:tcW w:type="dxa" w:w="4176"/>
          </w:tcPr>
          <w:p>
            <w:r>
              <w:rPr>
                <w:sz w:val="19"/>
              </w:rPr>
              <w:t>None. run_all_rules() recomputes every finding live, from raw events, on every dashboard/findings request. There is no disposition workflow, no case linkage, and no whitelisting.</w:t>
            </w:r>
          </w:p>
        </w:tc>
      </w:tr>
      <w:tr>
        <w:tc>
          <w:tcPr>
            <w:tcW w:type="dxa" w:w="1872"/>
          </w:tcPr>
          <w:p>
            <w:r>
              <w:rPr>
                <w:sz w:val="19"/>
              </w:rPr>
              <w:t>AI / LLM layer</w:t>
            </w:r>
          </w:p>
        </w:tc>
        <w:tc>
          <w:tcPr>
            <w:tcW w:type="dxa" w:w="3456"/>
          </w:tcPr>
          <w:p>
            <w:r>
              <w:rPr>
                <w:sz w:val="19"/>
              </w:rPr>
              <w:t>LLM API for plain-English explanations, natural language query (“Ask the tool”), case summarization</w:t>
            </w:r>
          </w:p>
        </w:tc>
        <w:tc>
          <w:tcPr>
            <w:tcW w:type="dxa" w:w="4176"/>
          </w:tcPr>
          <w:p>
            <w:r>
              <w:rPr>
                <w:sz w:val="19"/>
              </w:rPr>
              <w:t>None. Every finding's “why flagged” text is a deterministic Python string template — which already satisfies the explainability principle both this and the v1.0 document call for, without an LLM.</w:t>
            </w:r>
          </w:p>
        </w:tc>
      </w:tr>
      <w:tr>
        <w:tc>
          <w:tcPr>
            <w:tcW w:type="dxa" w:w="1872"/>
          </w:tcPr>
          <w:p>
            <w:r>
              <w:rPr>
                <w:sz w:val="19"/>
              </w:rPr>
              <w:t>Reporting / export</w:t>
            </w:r>
          </w:p>
        </w:tc>
        <w:tc>
          <w:tcPr>
            <w:tcW w:type="dxa" w:w="3456"/>
          </w:tcPr>
          <w:p>
            <w:r>
              <w:rPr>
                <w:sz w:val="19"/>
              </w:rPr>
              <w:t>One-click PDF/Excel export, SOX/GDPR/ISO compliance report packs</w:t>
            </w:r>
          </w:p>
        </w:tc>
        <w:tc>
          <w:tcPr>
            <w:tcW w:type="dxa" w:w="4176"/>
          </w:tcPr>
          <w:p>
            <w:r>
              <w:rPr>
                <w:sz w:val="19"/>
              </w:rPr>
              <w:t>None. No export capability exists in the UI or API today.</w:t>
            </w:r>
          </w:p>
        </w:tc>
      </w:tr>
      <w:tr>
        <w:tc>
          <w:tcPr>
            <w:tcW w:type="dxa" w:w="1872"/>
          </w:tcPr>
          <w:p>
            <w:r>
              <w:rPr>
                <w:sz w:val="19"/>
              </w:rPr>
              <w:t>Application Layer</w:t>
            </w:r>
          </w:p>
        </w:tc>
        <w:tc>
          <w:tcPr>
            <w:tcW w:type="dxa" w:w="3456"/>
          </w:tcPr>
          <w:p>
            <w:r>
              <w:rPr>
                <w:sz w:val="19"/>
              </w:rPr>
              <w:t>Flask + SQLAlchemy</w:t>
            </w:r>
          </w:p>
        </w:tc>
        <w:tc>
          <w:tcPr>
            <w:tcW w:type="dxa" w:w="4176"/>
          </w:tcPr>
          <w:p>
            <w:r>
              <w:rPr>
                <w:sz w:val="19"/>
              </w:rPr>
              <w:t>Flask + raw sqlite3 (no ORM) — sal/web/api.py, sal/storage/db.py. Deliberate: no ORM overhead needed at this scale.</w:t>
            </w:r>
          </w:p>
        </w:tc>
      </w:tr>
      <w:tr>
        <w:tc>
          <w:tcPr>
            <w:tcW w:type="dxa" w:w="1872"/>
          </w:tcPr>
          <w:p>
            <w:r>
              <w:rPr>
                <w:sz w:val="19"/>
              </w:rPr>
              <w:t>Application-level audit trail</w:t>
            </w:r>
          </w:p>
        </w:tc>
        <w:tc>
          <w:tcPr>
            <w:tcW w:type="dxa" w:w="3456"/>
          </w:tcPr>
          <w:p>
            <w:r>
              <w:rPr>
                <w:sz w:val="19"/>
              </w:rPr>
              <w:t>“Tool-level RBAC and its own audit log”</w:t>
            </w:r>
          </w:p>
        </w:tc>
        <w:tc>
          <w:tcPr>
            <w:tcW w:type="dxa" w:w="4176"/>
          </w:tcPr>
          <w:p>
            <w:r>
              <w:rPr>
                <w:sz w:val="19"/>
              </w:rPr>
              <w:t>Audit log: implemented this build (sal/audit.py, sal_audit_log table) — every search, collection run, connection test, and catalogue change is recorded with actor/action/params/outcome. RBAC: not implemented — “actor” is a self-declared display-name cookie, attribution only, not an access boundary.</w:t>
            </w:r>
          </w:p>
        </w:tc>
      </w:tr>
      <w:tr>
        <w:tc>
          <w:tcPr>
            <w:tcW w:type="dxa" w:w="1872"/>
          </w:tcPr>
          <w:p>
            <w:r>
              <w:rPr>
                <w:sz w:val="19"/>
              </w:rPr>
              <w:t>Governance catalogues</w:t>
            </w:r>
          </w:p>
        </w:tc>
        <w:tc>
          <w:tcPr>
            <w:tcW w:type="dxa" w:w="3456"/>
          </w:tcPr>
          <w:p>
            <w:r>
              <w:rPr>
                <w:sz w:val="19"/>
              </w:rPr>
              <w:t>Not called out as a distinct layer</w:t>
            </w:r>
          </w:p>
        </w:tc>
        <w:tc>
          <w:tcPr>
            <w:tcW w:type="dxa" w:w="4176"/>
          </w:tcPr>
          <w:p>
            <w:r>
              <w:rPr>
                <w:sz w:val="19"/>
              </w:rPr>
              <w:t>Already implemented and not in the v1.0 blueprint: a configurable critical-transaction catalogue (12 seeded entries) and sensitive-table catalogue (9 seeded entries), both editable from the UI and used directly by the detection rules.</w:t>
            </w:r>
          </w:p>
        </w:tc>
      </w:tr>
    </w:tbl>
    <w:p/>
    <w:p>
      <w:pPr>
        <w:pStyle w:val="Heading1"/>
      </w:pPr>
      <w:r>
        <w:rPr>
          <w:color w:val="0B1F3A"/>
        </w:rPr>
        <w:t>3. Detection Use-Case Catalog — Reconciled</w:t>
      </w:r>
    </w:p>
    <w:p>
      <w:r>
        <w:t>Numbering matches the v1.0 blueprint's Detection Use Case Catalog (Section 06), which itself matches the original Security_AI_UseCases_v1.xlsx numbering. “Rule key” is the actual identifier in sal/rules/registry.py.</w:t>
      </w:r>
    </w:p>
    <w:p>
      <w:pPr>
        <w:pStyle w:val="Heading2"/>
      </w:pPr>
      <w:r>
        <w:rPr>
          <w:color w:val="0EA5A5"/>
        </w:rPr>
        <w:t>3.1 Implemented today (10 of 14 original use cases)</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0B1F3A"/>
          </w:tcPr>
          <w:p>
            <w:r>
              <w:rPr>
                <w:b/>
                <w:color w:val="FFFFFF"/>
                <w:sz w:val="19"/>
              </w:rPr>
              <w:t>#</w:t>
            </w:r>
          </w:p>
        </w:tc>
        <w:tc>
          <w:tcPr>
            <w:tcW w:type="dxa" w:w="4032"/>
            <w:shd w:val="clear" w:color="auto" w:fill="0B1F3A"/>
          </w:tcPr>
          <w:p>
            <w:r>
              <w:rPr>
                <w:b/>
                <w:color w:val="FFFFFF"/>
                <w:sz w:val="19"/>
              </w:rPr>
              <w:t>Use case</w:t>
            </w:r>
          </w:p>
        </w:tc>
        <w:tc>
          <w:tcPr>
            <w:tcW w:type="dxa" w:w="4032"/>
            <w:shd w:val="clear" w:color="auto" w:fill="0B1F3A"/>
          </w:tcPr>
          <w:p>
            <w:r>
              <w:rPr>
                <w:b/>
                <w:color w:val="FFFFFF"/>
                <w:sz w:val="19"/>
              </w:rPr>
              <w:t>Rule key(s)</w:t>
            </w:r>
          </w:p>
        </w:tc>
      </w:tr>
      <w:tr>
        <w:tc>
          <w:tcPr>
            <w:tcW w:type="dxa" w:w="576"/>
          </w:tcPr>
          <w:p>
            <w:r>
              <w:rPr>
                <w:sz w:val="19"/>
              </w:rPr>
              <w:t>1</w:t>
            </w:r>
          </w:p>
        </w:tc>
        <w:tc>
          <w:tcPr>
            <w:tcW w:type="dxa" w:w="4032"/>
          </w:tcPr>
          <w:p>
            <w:r>
              <w:rPr>
                <w:sz w:val="19"/>
              </w:rPr>
              <w:t>Unusual login time</w:t>
            </w:r>
          </w:p>
        </w:tc>
        <w:tc>
          <w:tcPr>
            <w:tcW w:type="dxa" w:w="4032"/>
          </w:tcPr>
          <w:p>
            <w:r>
              <w:rPr>
                <w:sz w:val="19"/>
              </w:rPr>
              <w:t>login_time</w:t>
            </w:r>
          </w:p>
        </w:tc>
      </w:tr>
      <w:tr>
        <w:tc>
          <w:tcPr>
            <w:tcW w:type="dxa" w:w="576"/>
          </w:tcPr>
          <w:p>
            <w:r>
              <w:rPr>
                <w:sz w:val="19"/>
              </w:rPr>
              <w:t>2</w:t>
            </w:r>
          </w:p>
        </w:tc>
        <w:tc>
          <w:tcPr>
            <w:tcW w:type="dxa" w:w="4032"/>
          </w:tcPr>
          <w:p>
            <w:r>
              <w:rPr>
                <w:sz w:val="19"/>
              </w:rPr>
              <w:t>Unusual login frequency</w:t>
            </w:r>
          </w:p>
        </w:tc>
        <w:tc>
          <w:tcPr>
            <w:tcW w:type="dxa" w:w="4032"/>
          </w:tcPr>
          <w:p>
            <w:r>
              <w:rPr>
                <w:sz w:val="19"/>
              </w:rPr>
              <w:t>login_frequency</w:t>
            </w:r>
          </w:p>
        </w:tc>
      </w:tr>
      <w:tr>
        <w:tc>
          <w:tcPr>
            <w:tcW w:type="dxa" w:w="576"/>
          </w:tcPr>
          <w:p>
            <w:r>
              <w:rPr>
                <w:sz w:val="19"/>
              </w:rPr>
              <w:t>3</w:t>
            </w:r>
          </w:p>
        </w:tc>
        <w:tc>
          <w:tcPr>
            <w:tcW w:type="dxa" w:w="4032"/>
          </w:tcPr>
          <w:p>
            <w:r>
              <w:rPr>
                <w:sz w:val="19"/>
              </w:rPr>
              <w:t>Unusual source terminal / IP</w:t>
            </w:r>
          </w:p>
        </w:tc>
        <w:tc>
          <w:tcPr>
            <w:tcW w:type="dxa" w:w="4032"/>
          </w:tcPr>
          <w:p>
            <w:r>
              <w:rPr>
                <w:sz w:val="19"/>
              </w:rPr>
              <w:t>new_source</w:t>
            </w:r>
          </w:p>
        </w:tc>
      </w:tr>
      <w:tr>
        <w:tc>
          <w:tcPr>
            <w:tcW w:type="dxa" w:w="576"/>
          </w:tcPr>
          <w:p>
            <w:r>
              <w:rPr>
                <w:sz w:val="19"/>
              </w:rPr>
              <w:t>4</w:t>
            </w:r>
          </w:p>
        </w:tc>
        <w:tc>
          <w:tcPr>
            <w:tcW w:type="dxa" w:w="4032"/>
          </w:tcPr>
          <w:p>
            <w:r>
              <w:rPr>
                <w:sz w:val="19"/>
              </w:rPr>
              <w:t>Unusual transaction execution</w:t>
            </w:r>
          </w:p>
        </w:tc>
        <w:tc>
          <w:tcPr>
            <w:tcW w:type="dxa" w:w="4032"/>
          </w:tcPr>
          <w:p>
            <w:r>
              <w:rPr>
                <w:sz w:val="19"/>
              </w:rPr>
              <w:t>unusual_transaction</w:t>
            </w:r>
          </w:p>
        </w:tc>
      </w:tr>
      <w:tr>
        <w:tc>
          <w:tcPr>
            <w:tcW w:type="dxa" w:w="576"/>
          </w:tcPr>
          <w:p>
            <w:r>
              <w:rPr>
                <w:sz w:val="19"/>
              </w:rPr>
              <w:t>5</w:t>
            </w:r>
          </w:p>
        </w:tc>
        <w:tc>
          <w:tcPr>
            <w:tcW w:type="dxa" w:w="4032"/>
          </w:tcPr>
          <w:p>
            <w:r>
              <w:rPr>
                <w:sz w:val="19"/>
              </w:rPr>
              <w:t>Unusual activity volume</w:t>
            </w:r>
          </w:p>
        </w:tc>
        <w:tc>
          <w:tcPr>
            <w:tcW w:type="dxa" w:w="4032"/>
          </w:tcPr>
          <w:p>
            <w:r>
              <w:rPr>
                <w:sz w:val="19"/>
              </w:rPr>
              <w:t>activity_volume</w:t>
            </w:r>
          </w:p>
        </w:tc>
      </w:tr>
      <w:tr>
        <w:tc>
          <w:tcPr>
            <w:tcW w:type="dxa" w:w="576"/>
          </w:tcPr>
          <w:p>
            <w:r>
              <w:rPr>
                <w:sz w:val="19"/>
              </w:rPr>
              <w:t>7</w:t>
            </w:r>
          </w:p>
        </w:tc>
        <w:tc>
          <w:tcPr>
            <w:tcW w:type="dxa" w:w="4032"/>
          </w:tcPr>
          <w:p>
            <w:r>
              <w:rPr>
                <w:sz w:val="19"/>
              </w:rPr>
              <w:t>Multiple users, same source</w:t>
            </w:r>
          </w:p>
        </w:tc>
        <w:tc>
          <w:tcPr>
            <w:tcW w:type="dxa" w:w="4032"/>
          </w:tcPr>
          <w:p>
            <w:r>
              <w:rPr>
                <w:sz w:val="19"/>
              </w:rPr>
              <w:t>shared_ip</w:t>
            </w:r>
          </w:p>
        </w:tc>
      </w:tr>
      <w:tr>
        <w:tc>
          <w:tcPr>
            <w:tcW w:type="dxa" w:w="576"/>
          </w:tcPr>
          <w:p>
            <w:r>
              <w:rPr>
                <w:sz w:val="19"/>
              </w:rPr>
              <w:t>8</w:t>
            </w:r>
          </w:p>
        </w:tc>
        <w:tc>
          <w:tcPr>
            <w:tcW w:type="dxa" w:w="4032"/>
          </w:tcPr>
          <w:p>
            <w:r>
              <w:rPr>
                <w:sz w:val="19"/>
              </w:rPr>
              <w:t>Unusual export of data</w:t>
            </w:r>
          </w:p>
        </w:tc>
        <w:tc>
          <w:tcPr>
            <w:tcW w:type="dxa" w:w="4032"/>
          </w:tcPr>
          <w:p>
            <w:r>
              <w:rPr>
                <w:sz w:val="19"/>
              </w:rPr>
              <w:t>sensitive_table_access, data_export</w:t>
            </w:r>
          </w:p>
        </w:tc>
      </w:tr>
      <w:tr>
        <w:tc>
          <w:tcPr>
            <w:tcW w:type="dxa" w:w="576"/>
          </w:tcPr>
          <w:p>
            <w:r>
              <w:rPr>
                <w:sz w:val="19"/>
              </w:rPr>
              <w:t>9</w:t>
            </w:r>
          </w:p>
        </w:tc>
        <w:tc>
          <w:tcPr>
            <w:tcW w:type="dxa" w:w="4032"/>
          </w:tcPr>
          <w:p>
            <w:r>
              <w:rPr>
                <w:sz w:val="19"/>
              </w:rPr>
              <w:t>Potential login attack</w:t>
            </w:r>
          </w:p>
        </w:tc>
        <w:tc>
          <w:tcPr>
            <w:tcW w:type="dxa" w:w="4032"/>
          </w:tcPr>
          <w:p>
            <w:r>
              <w:rPr>
                <w:sz w:val="19"/>
              </w:rPr>
              <w:t>login_attack</w:t>
            </w:r>
          </w:p>
        </w:tc>
      </w:tr>
      <w:tr>
        <w:tc>
          <w:tcPr>
            <w:tcW w:type="dxa" w:w="576"/>
          </w:tcPr>
          <w:p>
            <w:r>
              <w:rPr>
                <w:sz w:val="19"/>
              </w:rPr>
              <w:t>11</w:t>
            </w:r>
          </w:p>
        </w:tc>
        <w:tc>
          <w:tcPr>
            <w:tcW w:type="dxa" w:w="4032"/>
          </w:tcPr>
          <w:p>
            <w:r>
              <w:rPr>
                <w:sz w:val="19"/>
              </w:rPr>
              <w:t>First-time sensitive transaction</w:t>
            </w:r>
          </w:p>
        </w:tc>
        <w:tc>
          <w:tcPr>
            <w:tcW w:type="dxa" w:w="4032"/>
          </w:tcPr>
          <w:p>
            <w:r>
              <w:rPr>
                <w:sz w:val="19"/>
              </w:rPr>
              <w:t>first_time_sensitive_transaction</w:t>
            </w:r>
          </w:p>
        </w:tc>
      </w:tr>
      <w:tr>
        <w:tc>
          <w:tcPr>
            <w:tcW w:type="dxa" w:w="576"/>
          </w:tcPr>
          <w:p>
            <w:r>
              <w:rPr>
                <w:sz w:val="19"/>
              </w:rPr>
              <w:t>12</w:t>
            </w:r>
          </w:p>
        </w:tc>
        <w:tc>
          <w:tcPr>
            <w:tcW w:type="dxa" w:w="4032"/>
          </w:tcPr>
          <w:p>
            <w:r>
              <w:rPr>
                <w:sz w:val="19"/>
              </w:rPr>
              <w:t>Mass user updates</w:t>
            </w:r>
          </w:p>
        </w:tc>
        <w:tc>
          <w:tcPr>
            <w:tcW w:type="dxa" w:w="4032"/>
          </w:tcPr>
          <w:p>
            <w:r>
              <w:rPr>
                <w:sz w:val="19"/>
              </w:rPr>
              <w:t>mass_user_changes</w:t>
            </w:r>
          </w:p>
        </w:tc>
      </w:tr>
    </w:tbl>
    <w:p/>
    <w:p>
      <w:pPr>
        <w:pStyle w:val="Heading2"/>
      </w:pPr>
      <w:r>
        <w:rPr>
          <w:color w:val="0EA5A5"/>
        </w:rPr>
        <w:t>3.2 Not yet implemented</w:t>
      </w:r>
    </w:p>
    <w:p>
      <w:r>
        <w:t>From the original 14: #6 (deviation from peer users), #10 (Firefighter session analysis), #13 (natural-language “Ask the tool” query), and #14 (suspicious / out-of-context tcode usage — needs role/authorization context SAL does not currently ingest).</w:t>
      </w:r>
    </w:p>
    <w:p>
      <w:r>
        <w:t>None of the v1.0 blueprint's “NEW” additions exist yet: concurrent / impossible-travel login, log-gap / tampering detection, password-reset anomalies, role-change-then-immediate-use, emergency-access overstay, self-approval pattern, SoD-in-actual-usage, excessive display access, dormant-account reactivation, cross-system lateral movement, and batch-job identity mismatch.</w:t>
      </w:r>
    </w:p>
    <w:p>
      <w:pPr>
        <w:pStyle w:val="Heading1"/>
      </w:pPr>
      <w:r>
        <w:rPr>
          <w:color w:val="0B1F3A"/>
        </w:rPr>
        <w:t>4. Corrections to the V1.0 Blueprint</w:t>
      </w:r>
    </w:p>
    <w:p>
      <w:r>
        <w:t>The v1.0 blueprint was produced without direct access to a live SAP system. The following points are worth correcting before they are quoted to a client or used to scope further work.</w:t>
      </w:r>
    </w:p>
    <w:p>
      <w:pPr>
        <w:pStyle w:val="ListBullet"/>
      </w:pPr>
      <w:r>
        <w:t>RSAU_READ_LOG (cited as the extraction function module) does not reliably return data over RFC in practice — confirmed against S23 during SAL's own technical spike. RSAU_API_GET_LOG_DATA is the validated, working alternative and is what SAL uses today.</w:t>
      </w:r>
    </w:p>
    <w:p>
      <w:pPr>
        <w:pStyle w:val="ListBullet"/>
      </w:pPr>
      <w:r>
        <w:t>“Always-on ingestion every 15–30 minutes” is the target, not the current state. Today's collection is entirely manual. This is the single largest gap between the pitched capability and the running system.</w:t>
      </w:r>
    </w:p>
    <w:p>
      <w:pPr>
        <w:pStyle w:val="ListBullet"/>
      </w:pPr>
      <w:r>
        <w:t>The 60–80% effort-reduction figure is explicitly labeled a forecast in the v1.0 document itself, and cannot be meaningfully validated until a disposition workflow exists to measure analyst time against — there is currently no way to mark a finding reviewed, so no time savings can be timed.</w:t>
      </w:r>
    </w:p>
    <w:p>
      <w:pPr>
        <w:pStyle w:val="ListBullet"/>
      </w:pPr>
      <w:r>
        <w:t>“Landscape-agnostic delivery” across ECC / S/4 on-prem / S/4 Cloud / RISE describes the target connector abstraction, not the current code: only one concrete RFC-only connector exists today, configured for one on-prem-style system. The abstraction needs to be built before a second, differently-shaped SAP system is onboarded — not assumed to already exist.</w:t>
      </w:r>
    </w:p>
    <w:p>
      <w:pPr>
        <w:pStyle w:val="ListBullet"/>
      </w:pPr>
      <w:r>
        <w:t>Peer-group baselining, Firefighter/GRC correlation, and role-based use cases (#6, #10, #14) all require new data sources (SU01, PFCG, AGR_USERS, GRC EAM tables) that SAL does not ingest at all today. These are a materially larger lift than their place in the blueprint's phase grouping implies, because they start from zero ingestion, not from an existing partial connector.</w:t>
      </w:r>
    </w:p>
    <w:p>
      <w:pPr>
        <w:pStyle w:val="Heading1"/>
      </w:pPr>
      <w:r>
        <w:rPr>
          <w:color w:val="0B1F3A"/>
        </w:rPr>
        <w:t>5. Recommended Forward Architecture</w:t>
      </w:r>
    </w:p>
    <w:p>
      <w:r>
        <w:t>Sequenced by what unlocks the most real value from the system that already exists, before layering in the heavier ML/LLM/multi-landscape capability the v1.0 blueprint describes — consistent with both source documents' own stated principle: deterministic and evidence-first before AI-assisted.</w:t>
      </w:r>
    </w:p>
    <w:tbl>
      <w:tblPr>
        <w:tblStyle w:val="TableGrid"/>
        <w:tblW w:type="auto" w:w="0"/>
        <w:jc w:val="center"/>
        <w:tblLook w:firstColumn="1" w:firstRow="1" w:lastColumn="0" w:lastRow="0" w:noHBand="0" w:noVBand="1" w:val="04A0"/>
      </w:tblPr>
      <w:tblGrid>
        <w:gridCol w:w="2880"/>
        <w:gridCol w:w="2880"/>
        <w:gridCol w:w="2880"/>
      </w:tblGrid>
      <w:tr>
        <w:tc>
          <w:tcPr>
            <w:tcW w:type="dxa" w:w="720"/>
            <w:shd w:val="clear" w:color="auto" w:fill="0B1F3A"/>
          </w:tcPr>
          <w:p>
            <w:r>
              <w:rPr>
                <w:b/>
                <w:color w:val="FFFFFF"/>
                <w:sz w:val="19"/>
              </w:rPr>
              <w:t>Phase</w:t>
            </w:r>
          </w:p>
        </w:tc>
        <w:tc>
          <w:tcPr>
            <w:tcW w:type="dxa" w:w="3744"/>
            <w:shd w:val="clear" w:color="auto" w:fill="0B1F3A"/>
          </w:tcPr>
          <w:p>
            <w:r>
              <w:rPr>
                <w:b/>
                <w:color w:val="FFFFFF"/>
                <w:sz w:val="19"/>
              </w:rPr>
              <w:t>What</w:t>
            </w:r>
          </w:p>
        </w:tc>
        <w:tc>
          <w:tcPr>
            <w:tcW w:type="dxa" w:w="4320"/>
            <w:shd w:val="clear" w:color="auto" w:fill="0B1F3A"/>
          </w:tcPr>
          <w:p>
            <w:r>
              <w:rPr>
                <w:b/>
                <w:color w:val="FFFFFF"/>
                <w:sz w:val="19"/>
              </w:rPr>
              <w:t>Why this order</w:t>
            </w:r>
          </w:p>
        </w:tc>
      </w:tr>
      <w:tr>
        <w:tc>
          <w:tcPr>
            <w:tcW w:type="dxa" w:w="720"/>
          </w:tcPr>
          <w:p>
            <w:r>
              <w:rPr>
                <w:sz w:val="19"/>
              </w:rPr>
              <w:t>A</w:t>
            </w:r>
          </w:p>
        </w:tc>
        <w:tc>
          <w:tcPr>
            <w:tcW w:type="dxa" w:w="3744"/>
          </w:tcPr>
          <w:p>
            <w:r>
              <w:rPr>
                <w:sz w:val="19"/>
              </w:rPr>
              <w:t>Findings persistence &amp; disposition workflow — a findings table, analyst true/false-positive disposition with reason codes, and time-bound whitelisting</w:t>
            </w:r>
          </w:p>
        </w:tc>
        <w:tc>
          <w:tcPr>
            <w:tcW w:type="dxa" w:w="4320"/>
          </w:tcPr>
          <w:p>
            <w:r>
              <w:rPr>
                <w:sz w:val="19"/>
              </w:rPr>
              <w:t>Single biggest gap vs. the blueprint's core functional features. Unlocks case management, an aging/SLA dashboard, and finally makes “effort reduction” measurable instead of asserted.</w:t>
            </w:r>
          </w:p>
        </w:tc>
      </w:tr>
      <w:tr>
        <w:tc>
          <w:tcPr>
            <w:tcW w:type="dxa" w:w="720"/>
          </w:tcPr>
          <w:p>
            <w:r>
              <w:rPr>
                <w:sz w:val="19"/>
              </w:rPr>
              <w:t>B</w:t>
            </w:r>
          </w:p>
        </w:tc>
        <w:tc>
          <w:tcPr>
            <w:tcW w:type="dxa" w:w="3744"/>
          </w:tcPr>
          <w:p>
            <w:r>
              <w:rPr>
                <w:sz w:val="19"/>
              </w:rPr>
              <w:t>Scheduled / incremental collection — turn the manual “Collect” action into a real recurring job with checkpoints and retries</w:t>
            </w:r>
          </w:p>
        </w:tc>
        <w:tc>
          <w:tcPr>
            <w:tcW w:type="dxa" w:w="4320"/>
          </w:tcPr>
          <w:p>
            <w:r>
              <w:rPr>
                <w:sz w:val="19"/>
              </w:rPr>
              <w:t>Closes the gap between “always-on” as pitched and manual as built. A lightweight scheduler (APScheduler, or the OS task scheduler calling the existing collect_and_store()) is sufficient at one-system pilot scale — Celery is unneeded infrastructure until multiple systems are polled concurrently.</w:t>
            </w:r>
          </w:p>
        </w:tc>
      </w:tr>
      <w:tr>
        <w:tc>
          <w:tcPr>
            <w:tcW w:type="dxa" w:w="720"/>
          </w:tcPr>
          <w:p>
            <w:r>
              <w:rPr>
                <w:sz w:val="19"/>
              </w:rPr>
              <w:t>C</w:t>
            </w:r>
          </w:p>
        </w:tc>
        <w:tc>
          <w:tcPr>
            <w:tcW w:type="dxa" w:w="3744"/>
          </w:tcPr>
          <w:p>
            <w:r>
              <w:rPr>
                <w:sz w:val="19"/>
              </w:rPr>
              <w:t>Excel / CSV export of findings and collection results</w:t>
            </w:r>
          </w:p>
        </w:tc>
        <w:tc>
          <w:tcPr>
            <w:tcW w:type="dxa" w:w="4320"/>
          </w:tcPr>
          <w:p>
            <w:r>
              <w:rPr>
                <w:sz w:val="19"/>
              </w:rPr>
              <w:t>Directly requested by every consultant workflow already described in the original use-case sheet; no new data model required, just an export endpoint over data that already exists.</w:t>
            </w:r>
          </w:p>
        </w:tc>
      </w:tr>
      <w:tr>
        <w:tc>
          <w:tcPr>
            <w:tcW w:type="dxa" w:w="720"/>
          </w:tcPr>
          <w:p>
            <w:r>
              <w:rPr>
                <w:sz w:val="19"/>
              </w:rPr>
              <w:t>D</w:t>
            </w:r>
          </w:p>
        </w:tc>
        <w:tc>
          <w:tcPr>
            <w:tcW w:type="dxa" w:w="3744"/>
          </w:tcPr>
          <w:p>
            <w:r>
              <w:rPr>
                <w:sz w:val="19"/>
              </w:rPr>
              <w:t>SM19 audit-configuration visibility</w:t>
            </w:r>
          </w:p>
        </w:tc>
        <w:tc>
          <w:tcPr>
            <w:tcW w:type="dxa" w:w="4320"/>
          </w:tcPr>
          <w:p>
            <w:r>
              <w:rPr>
                <w:sz w:val="19"/>
              </w:rPr>
              <w:t>SAL currently has zero visibility into whether SM20 is even configured to log what the detection rules assume it logs — a data-coverage blind spot that should be closed before quoting detection coverage to a client.</w:t>
            </w:r>
          </w:p>
        </w:tc>
      </w:tr>
      <w:tr>
        <w:tc>
          <w:tcPr>
            <w:tcW w:type="dxa" w:w="720"/>
          </w:tcPr>
          <w:p>
            <w:r>
              <w:rPr>
                <w:sz w:val="19"/>
              </w:rPr>
              <w:t>E</w:t>
            </w:r>
          </w:p>
        </w:tc>
        <w:tc>
          <w:tcPr>
            <w:tcW w:type="dxa" w:w="3744"/>
          </w:tcPr>
          <w:p>
            <w:r>
              <w:rPr>
                <w:sz w:val="19"/>
              </w:rPr>
              <w:t>Connector abstraction (SAPConnector ABC, per the v1.0 blueprint's own proposed pattern)</w:t>
            </w:r>
          </w:p>
        </w:tc>
        <w:tc>
          <w:tcPr>
            <w:tcW w:type="dxa" w:w="4320"/>
          </w:tcPr>
          <w:p>
            <w:r>
              <w:rPr>
                <w:sz w:val="19"/>
              </w:rPr>
              <w:t>Do this when a second SAP system/client is actually being onboarded — not speculatively now, and not later than that point either, since it is the seam every multi-landscape claim depends on.</w:t>
            </w:r>
          </w:p>
        </w:tc>
      </w:tr>
      <w:tr>
        <w:tc>
          <w:tcPr>
            <w:tcW w:type="dxa" w:w="720"/>
          </w:tcPr>
          <w:p>
            <w:r>
              <w:rPr>
                <w:sz w:val="19"/>
              </w:rPr>
              <w:t>F</w:t>
            </w:r>
          </w:p>
        </w:tc>
        <w:tc>
          <w:tcPr>
            <w:tcW w:type="dxa" w:w="3744"/>
          </w:tcPr>
          <w:p>
            <w:r>
              <w:rPr>
                <w:sz w:val="19"/>
              </w:rPr>
              <w:t>Peer-group baseline + role/authorization context (SU01, PFCG, SUIM ingestion)</w:t>
            </w:r>
          </w:p>
        </w:tc>
        <w:tc>
          <w:tcPr>
            <w:tcW w:type="dxa" w:w="4320"/>
          </w:tcPr>
          <w:p>
            <w:r>
              <w:rPr>
                <w:sz w:val="19"/>
              </w:rPr>
              <w:t>Required for use cases #6, #14, and eventually #10 (Firefighter). Starts from zero ingestion today, so scope this as a real new connector, not a small extension.</w:t>
            </w:r>
          </w:p>
        </w:tc>
      </w:tr>
      <w:tr>
        <w:tc>
          <w:tcPr>
            <w:tcW w:type="dxa" w:w="720"/>
          </w:tcPr>
          <w:p>
            <w:r>
              <w:rPr>
                <w:sz w:val="19"/>
              </w:rPr>
              <w:t>G</w:t>
            </w:r>
          </w:p>
        </w:tc>
        <w:tc>
          <w:tcPr>
            <w:tcW w:type="dxa" w:w="3744"/>
          </w:tcPr>
          <w:p>
            <w:r>
              <w:rPr>
                <w:sz w:val="19"/>
              </w:rPr>
              <w:t>PostgreSQL migration</w:t>
            </w:r>
          </w:p>
        </w:tc>
        <w:tc>
          <w:tcPr>
            <w:tcW w:type="dxa" w:w="4320"/>
          </w:tcPr>
          <w:p>
            <w:r>
              <w:rPr>
                <w:sz w:val="19"/>
              </w:rPr>
              <w:t>Triggered by actual volume or system-count growth, not calendar time — sal/storage/db.py was deliberately written so this only touches one module. Not yet justified at one-system, ~111K-row pilot scale.</w:t>
            </w:r>
          </w:p>
        </w:tc>
      </w:tr>
      <w:tr>
        <w:tc>
          <w:tcPr>
            <w:tcW w:type="dxa" w:w="720"/>
          </w:tcPr>
          <w:p>
            <w:r>
              <w:rPr>
                <w:sz w:val="19"/>
              </w:rPr>
              <w:t>H</w:t>
            </w:r>
          </w:p>
        </w:tc>
        <w:tc>
          <w:tcPr>
            <w:tcW w:type="dxa" w:w="3744"/>
          </w:tcPr>
          <w:p>
            <w:r>
              <w:rPr>
                <w:sz w:val="19"/>
              </w:rPr>
              <w:t>LLM layer — natural-language query, AI-generated summaries</w:t>
            </w:r>
          </w:p>
        </w:tc>
        <w:tc>
          <w:tcPr>
            <w:tcW w:type="dxa" w:w="4320"/>
          </w:tcPr>
          <w:p>
            <w:r>
              <w:rPr>
                <w:sz w:val="19"/>
              </w:rPr>
              <w:t>Last, deliberately. Every existing finding is already explainable via deterministic templates; the LLM layer adds convenience, not correctness, and both source documents agree it should not be the detection mechanism itself.</w:t>
            </w:r>
          </w:p>
        </w:tc>
      </w:tr>
    </w:tbl>
    <w:p/>
    <w:p>
      <w:pPr>
        <w:pStyle w:val="Heading1"/>
      </w:pPr>
      <w:r>
        <w:rPr>
          <w:color w:val="0B1F3A"/>
        </w:rPr>
        <w:t>6. Guardrails &amp; Governance — Status Today</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0B1F3A"/>
          </w:tcPr>
          <w:p>
            <w:r>
              <w:rPr>
                <w:b/>
                <w:color w:val="FFFFFF"/>
                <w:sz w:val="19"/>
              </w:rPr>
              <w:t>Guardrail (from v1.0 blueprint)</w:t>
            </w:r>
          </w:p>
        </w:tc>
        <w:tc>
          <w:tcPr>
            <w:tcW w:type="dxa" w:w="5040"/>
            <w:shd w:val="clear" w:color="auto" w:fill="0B1F3A"/>
          </w:tcPr>
          <w:p>
            <w:r>
              <w:rPr>
                <w:b/>
                <w:color w:val="FFFFFF"/>
                <w:sz w:val="19"/>
              </w:rPr>
              <w:t>Status</w:t>
            </w:r>
          </w:p>
        </w:tc>
      </w:tr>
      <w:tr>
        <w:tc>
          <w:tcPr>
            <w:tcW w:type="dxa" w:w="3744"/>
          </w:tcPr>
          <w:p>
            <w:r>
              <w:rPr>
                <w:sz w:val="19"/>
              </w:rPr>
              <w:t>Detection-only, no auto-remediation</w:t>
            </w:r>
          </w:p>
        </w:tc>
        <w:tc>
          <w:tcPr>
            <w:tcW w:type="dxa" w:w="5040"/>
          </w:tcPr>
          <w:p>
            <w:r>
              <w:rPr>
                <w:sz w:val="19"/>
              </w:rPr>
              <w:t>True today — nothing in the codebase writes back to SAP or takes any remediating action.</w:t>
            </w:r>
          </w:p>
        </w:tc>
      </w:tr>
      <w:tr>
        <w:tc>
          <w:tcPr>
            <w:tcW w:type="dxa" w:w="3744"/>
          </w:tcPr>
          <w:p>
            <w:r>
              <w:rPr>
                <w:sz w:val="19"/>
              </w:rPr>
              <w:t>Read-only service account</w:t>
            </w:r>
          </w:p>
        </w:tc>
        <w:tc>
          <w:tcPr>
            <w:tcW w:type="dxa" w:w="5040"/>
          </w:tcPr>
          <w:p>
            <w:r>
              <w:rPr>
                <w:sz w:val="19"/>
              </w:rPr>
              <w:t>Cannot be verified from code — this is a SAP-side Basis/security authorization configuration for the SAL_RFC technical user, outside this repository.</w:t>
            </w:r>
          </w:p>
        </w:tc>
      </w:tr>
      <w:tr>
        <w:tc>
          <w:tcPr>
            <w:tcW w:type="dxa" w:w="3744"/>
          </w:tcPr>
          <w:p>
            <w:r>
              <w:rPr>
                <w:sz w:val="19"/>
              </w:rPr>
              <w:t>Immutable raw evidence layer</w:t>
            </w:r>
          </w:p>
        </w:tc>
        <w:tc>
          <w:tcPr>
            <w:tcW w:type="dxa" w:w="5040"/>
          </w:tcPr>
          <w:p>
            <w:r>
              <w:rPr>
                <w:sz w:val="19"/>
              </w:rPr>
              <w:t>Not implemented — only normalized columns are stored; the original SAP payload is not separately retained.</w:t>
            </w:r>
          </w:p>
        </w:tc>
      </w:tr>
      <w:tr>
        <w:tc>
          <w:tcPr>
            <w:tcW w:type="dxa" w:w="3744"/>
          </w:tcPr>
          <w:p>
            <w:r>
              <w:rPr>
                <w:sz w:val="19"/>
              </w:rPr>
              <w:t>Retention policy as configuration</w:t>
            </w:r>
          </w:p>
        </w:tc>
        <w:tc>
          <w:tcPr>
            <w:tcW w:type="dxa" w:w="5040"/>
          </w:tcPr>
          <w:p>
            <w:r>
              <w:rPr>
                <w:sz w:val="19"/>
              </w:rPr>
              <w:t>Not implemented — no retention or purge job exists; all collected events are kept indefinitely.</w:t>
            </w:r>
          </w:p>
        </w:tc>
      </w:tr>
      <w:tr>
        <w:tc>
          <w:tcPr>
            <w:tcW w:type="dxa" w:w="3744"/>
          </w:tcPr>
          <w:p>
            <w:r>
              <w:rPr>
                <w:sz w:val="19"/>
              </w:rPr>
              <w:t>Tool-level RBAC and its own audit log</w:t>
            </w:r>
          </w:p>
        </w:tc>
        <w:tc>
          <w:tcPr>
            <w:tcW w:type="dxa" w:w="5040"/>
          </w:tcPr>
          <w:p>
            <w:r>
              <w:rPr>
                <w:sz w:val="19"/>
              </w:rPr>
              <w:t>Half true — the audit log now exists and is real. RBAC does not exist; “actor” is a self-declared name, attribution only.</w:t>
            </w:r>
          </w:p>
        </w:tc>
      </w:tr>
      <w:tr>
        <w:tc>
          <w:tcPr>
            <w:tcW w:type="dxa" w:w="3744"/>
          </w:tcPr>
          <w:p>
            <w:r>
              <w:rPr>
                <w:sz w:val="19"/>
              </w:rPr>
              <w:t>Model quality monitoring (precision/recall)</w:t>
            </w:r>
          </w:p>
        </w:tc>
        <w:tc>
          <w:tcPr>
            <w:tcW w:type="dxa" w:w="5040"/>
          </w:tcPr>
          <w:p>
            <w:r>
              <w:rPr>
                <w:sz w:val="19"/>
              </w:rPr>
              <w:t>Not applicable yet — no disposition workflow exists to generate labeled outcomes against.</w:t>
            </w:r>
          </w:p>
        </w:tc>
      </w:tr>
      <w:tr>
        <w:tc>
          <w:tcPr>
            <w:tcW w:type="dxa" w:w="3744"/>
          </w:tcPr>
          <w:p>
            <w:r>
              <w:rPr>
                <w:sz w:val="19"/>
              </w:rPr>
              <w:t>Rule pack versioning</w:t>
            </w:r>
          </w:p>
        </w:tc>
        <w:tc>
          <w:tcPr>
            <w:tcW w:type="dxa" w:w="5040"/>
          </w:tcPr>
          <w:p>
            <w:r>
              <w:rPr>
                <w:sz w:val="19"/>
              </w:rPr>
              <w:t>Not implemented — findings record which rule produced them, but not a version number for that rule's logic or thresholds.</w:t>
            </w:r>
          </w:p>
        </w:tc>
      </w:tr>
    </w:tbl>
    <w:p/>
    <w:p>
      <w:pPr>
        <w:pStyle w:val="Heading1"/>
      </w:pPr>
      <w:r>
        <w:rPr>
          <w:color w:val="0B1F3A"/>
        </w:rPr>
        <w:t>7. Closing Recommendation</w:t>
      </w:r>
    </w:p>
    <w:p>
      <w:r>
        <w:t>The original implementation plan's own guidance — make Stage 1 deliberately boring and reliable before adding intelligence — still applies directly to this blueprint. The system already proves the hardest part: a validated, working connection to a live SAP system and an accurate SM20 extraction. The next real gains come from finishing the foundation — persisted findings, real scheduling, export, and SM19 coverage visibility — not from adopting the v1.0 blueprint's ML/LLM layer ahead of that foundation.</w:t>
      </w:r>
    </w:p>
    <w:p>
      <w:r>
        <w:rPr>
          <w:color w:val="5A5A5A"/>
          <w:sz w:val="16"/>
        </w:rPr>
        <w:t>SAL — Security Audit Log Analysis. Architecture &amp; Solution Blueprint, Version 2.0. This document reconciles the Version 1.0 blueprint with the as-built system and lays out the recommended forward architecture. Prepared as a companion to SAL_Architecture_Blueprint.pdf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