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SAL — Security Audit Log Tool</w:t>
      </w:r>
    </w:p>
    <w:p>
      <w:pPr>
        <w:jc w:val="center"/>
      </w:pPr>
      <w:r>
        <w:rPr>
          <w:b/>
          <w:sz w:val="30"/>
        </w:rPr>
        <w:t>Three-Stage Implementation &amp; Product Brainstorming Plan</w:t>
      </w:r>
    </w:p>
    <w:p>
      <w:pPr>
        <w:jc w:val="center"/>
      </w:pPr>
      <w:r>
        <w:rPr>
          <w:i/>
        </w:rPr>
        <w:t>Discovery / Architecture / Feature Roadmap / Effort Assessment</w:t>
      </w:r>
    </w:p>
    <w:p/>
    <w:p>
      <w:r>
        <w:rPr>
          <w:b/>
        </w:rPr>
        <w:t xml:space="preserve">Document purpose: </w:t>
      </w:r>
      <w:r>
        <w:t>Define a practical three-stage roadmap for SAL, starting with relatively easy and high-value SAP Security Audit Log automation and progressively evolving toward a full SAP Security investigation and audit intelligence platform.</w:t>
      </w:r>
    </w:p>
    <w:p>
      <w:r>
        <w:rPr>
          <w:b/>
        </w:rPr>
        <w:t xml:space="preserve">Important positioning: </w:t>
      </w:r>
      <w:r>
        <w:t>SAL should not remain only an SM20 report extractor. SM19/SM20 should be the first data source and first use case. The long-term product should correlate audit events with users, roles, privileged access, GRC/Firefighter activity and other security signals, while providing explainable investigation results.</w:t>
      </w:r>
    </w:p>
    <w:p>
      <w:pPr>
        <w:pStyle w:val="Heading1"/>
      </w:pPr>
      <w:r>
        <w:t>1. Executive Summary</w:t>
      </w:r>
    </w:p>
    <w:p>
      <w:r>
        <w:t>SAL is envisioned as an SAP Security automation platform that reduces manual log analysis and enables consultants to answer security and audit questions quickly. The first practical use case is a natural-language or structured request such as "Give me the list of users who have used FBL5N in the last 7 days." SAL should retrieve the relevant Security Audit Log events, normalize them and return an investigation-ready result.</w:t>
      </w:r>
    </w:p>
    <w:p>
      <w:r>
        <w:t>The implementation should deliberately progress from deterministic reporting to correlation and analytics, and finally to intelligent investigation. Each stage must build on a common data model, connector framework, authorization model, audit trail and query engine so that early development is not discarded later.</w:t>
      </w:r>
    </w:p>
    <w:p>
      <w:pPr>
        <w:pStyle w:val="Heading2"/>
      </w:pPr>
      <w:r>
        <w:t>Recommended three-stage progression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vAlign w:val="center"/>
            <w:shd w:fill="D9EAF7"/>
          </w:tcPr>
          <w:p>
            <w:r/>
            <w:r>
              <w:rPr>
                <w:b/>
                <w:sz w:val="17"/>
              </w:rPr>
              <w:t>Stage</w:t>
            </w:r>
          </w:p>
        </w:tc>
        <w:tc>
          <w:tcPr>
            <w:tcW w:type="dxa" w:w="2880"/>
            <w:vAlign w:val="center"/>
            <w:shd w:fill="D9EAF7"/>
          </w:tcPr>
          <w:p>
            <w:r/>
            <w:r>
              <w:rPr>
                <w:b/>
                <w:sz w:val="17"/>
              </w:rPr>
              <w:t>Primary objective</w:t>
            </w:r>
          </w:p>
        </w:tc>
        <w:tc>
          <w:tcPr>
            <w:tcW w:type="dxa" w:w="4320"/>
            <w:vAlign w:val="center"/>
            <w:shd w:fill="D9EAF7"/>
          </w:tcPr>
          <w:p>
            <w:r/>
            <w:r>
              <w:rPr>
                <w:b/>
                <w:sz w:val="17"/>
              </w:rPr>
              <w:t>Representative capabilities</w:t>
            </w:r>
          </w:p>
        </w:tc>
        <w:tc>
          <w:tcPr>
            <w:tcW w:type="dxa" w:w="1728"/>
            <w:vAlign w:val="center"/>
            <w:shd w:fill="D9EAF7"/>
          </w:tcPr>
          <w:p>
            <w:r/>
            <w:r>
              <w:rPr>
                <w:b/>
                <w:sz w:val="17"/>
              </w:rPr>
              <w:t>Indicative complexity</w:t>
            </w:r>
          </w:p>
        </w:tc>
      </w:tr>
      <w:tr>
        <w:tc>
          <w:tcPr>
            <w:tcW w:type="dxa" w:w="1440"/>
            <w:vAlign w:val="center"/>
          </w:tcPr>
          <w:p>
            <w:r/>
            <w:r>
              <w:rPr>
                <w:b w:val="0"/>
                <w:sz w:val="17"/>
              </w:rPr>
              <w:t>Stage 1 — Audit Automation Foundation</w:t>
            </w:r>
          </w:p>
        </w:tc>
        <w:tc>
          <w:tcPr>
            <w:tcW w:type="dxa" w:w="2880"/>
            <w:vAlign w:val="center"/>
          </w:tcPr>
          <w:p>
            <w:r/>
            <w:r>
              <w:rPr>
                <w:b w:val="0"/>
                <w:sz w:val="17"/>
              </w:rPr>
              <w:t>Automate collection, search and reporting of SAP Security Audit Log data.</w:t>
            </w:r>
          </w:p>
        </w:tc>
        <w:tc>
          <w:tcPr>
            <w:tcW w:type="dxa" w:w="4320"/>
            <w:vAlign w:val="center"/>
          </w:tcPr>
          <w:p>
            <w:r/>
            <w:r>
              <w:rPr>
                <w:b w:val="0"/>
                <w:sz w:val="17"/>
              </w:rPr>
              <w:t>SM20 extraction, SM19 configuration visibility, filters, transaction/user searches, exports, basic dashboards, scheduled jobs, audit trail.</w:t>
            </w:r>
          </w:p>
        </w:tc>
        <w:tc>
          <w:tcPr>
            <w:tcW w:type="dxa" w:w="1728"/>
            <w:vAlign w:val="center"/>
          </w:tcPr>
          <w:p>
            <w:r/>
            <w:r>
              <w:rPr>
                <w:b w:val="0"/>
                <w:sz w:val="17"/>
              </w:rPr>
              <w:t>Low–Medium</w:t>
            </w:r>
          </w:p>
        </w:tc>
      </w:tr>
      <w:tr>
        <w:tc>
          <w:tcPr>
            <w:tcW w:type="dxa" w:w="1440"/>
            <w:vAlign w:val="center"/>
          </w:tcPr>
          <w:p>
            <w:r/>
            <w:r>
              <w:rPr>
                <w:b w:val="0"/>
                <w:sz w:val="17"/>
              </w:rPr>
              <w:t>Stage 2 — Security Intelligence &amp; Correlation</w:t>
            </w:r>
          </w:p>
        </w:tc>
        <w:tc>
          <w:tcPr>
            <w:tcW w:type="dxa" w:w="2880"/>
            <w:vAlign w:val="center"/>
          </w:tcPr>
          <w:p>
            <w:r/>
            <w:r>
              <w:rPr>
                <w:b w:val="0"/>
                <w:sz w:val="17"/>
              </w:rPr>
              <w:t>Add context and analytics on top of the Stage 1 audit data.</w:t>
            </w:r>
          </w:p>
        </w:tc>
        <w:tc>
          <w:tcPr>
            <w:tcW w:type="dxa" w:w="4320"/>
            <w:vAlign w:val="center"/>
          </w:tcPr>
          <w:p>
            <w:r/>
            <w:r>
              <w:rPr>
                <w:b w:val="0"/>
                <w:sz w:val="17"/>
              </w:rPr>
              <w:t>User investigation, critical transaction detection, after-hours analysis, role/user correlation, Firefighter/GRC integration, anomaly indicators, cross-system search.</w:t>
            </w:r>
          </w:p>
        </w:tc>
        <w:tc>
          <w:tcPr>
            <w:tcW w:type="dxa" w:w="1728"/>
            <w:vAlign w:val="center"/>
          </w:tcPr>
          <w:p>
            <w:r/>
            <w:r>
              <w:rPr>
                <w:b w:val="0"/>
                <w:sz w:val="17"/>
              </w:rPr>
              <w:t>Medium–High</w:t>
            </w:r>
          </w:p>
        </w:tc>
      </w:tr>
      <w:tr>
        <w:tc>
          <w:tcPr>
            <w:tcW w:type="dxa" w:w="1440"/>
            <w:vAlign w:val="center"/>
          </w:tcPr>
          <w:p>
            <w:r/>
            <w:r>
              <w:rPr>
                <w:b w:val="0"/>
                <w:sz w:val="17"/>
              </w:rPr>
              <w:t>Stage 3 — Full SAL Investigation Platform</w:t>
            </w:r>
          </w:p>
        </w:tc>
        <w:tc>
          <w:tcPr>
            <w:tcW w:type="dxa" w:w="2880"/>
            <w:vAlign w:val="center"/>
          </w:tcPr>
          <w:p>
            <w:r/>
            <w:r>
              <w:rPr>
                <w:b w:val="0"/>
                <w:sz w:val="17"/>
              </w:rPr>
              <w:t>Turn SAL into an enterprise SAP Security investigation and audit intelligence platform.</w:t>
            </w:r>
          </w:p>
        </w:tc>
        <w:tc>
          <w:tcPr>
            <w:tcW w:type="dxa" w:w="4320"/>
            <w:vAlign w:val="center"/>
          </w:tcPr>
          <w:p>
            <w:r/>
            <w:r>
              <w:rPr>
                <w:b w:val="0"/>
                <w:sz w:val="17"/>
              </w:rPr>
              <w:t>Natural-language investigation, playbooks, risk scoring, case management, multi-source correlation, AI summaries, evidence packs, continuous monitoring, enterprise integrations.</w:t>
            </w:r>
          </w:p>
        </w:tc>
        <w:tc>
          <w:tcPr>
            <w:tcW w:type="dxa" w:w="1728"/>
            <w:vAlign w:val="center"/>
          </w:tcPr>
          <w:p>
            <w:r/>
            <w:r>
              <w:rPr>
                <w:b w:val="0"/>
                <w:sz w:val="17"/>
              </w:rPr>
              <w:t>High–Very High</w:t>
            </w:r>
          </w:p>
        </w:tc>
      </w:tr>
    </w:tbl>
    <w:p/>
    <w:p>
      <w:pPr>
        <w:pStyle w:val="Heading1"/>
      </w:pPr>
      <w:r>
        <w:t>2. Product Principles</w:t>
      </w:r>
    </w:p>
    <w:p>
      <w:pPr>
        <w:pStyle w:val="ListBullet"/>
        <w:spacing w:after="40"/>
      </w:pPr>
      <w:r>
        <w:t>Build the data and connector foundation once. New SAP sources should plug into the same normalized event model.</w:t>
      </w:r>
    </w:p>
    <w:p>
      <w:pPr>
        <w:pStyle w:val="ListBullet"/>
        <w:spacing w:after="40"/>
      </w:pPr>
      <w:r>
        <w:t>Prefer deterministic security logic for detection and filtering. AI should interpret, summarize and assist rather than directly control unrestricted SAP queries.</w:t>
      </w:r>
    </w:p>
    <w:p>
      <w:pPr>
        <w:pStyle w:val="ListBullet"/>
        <w:spacing w:after="40"/>
      </w:pPr>
      <w:r>
        <w:t>Every result should be traceable to evidence: source system, client, timestamp, event type, query scope and extraction run.</w:t>
      </w:r>
    </w:p>
    <w:p>
      <w:pPr>
        <w:pStyle w:val="ListBullet"/>
        <w:spacing w:after="40"/>
      </w:pPr>
      <w:r>
        <w:t>Use least privilege for SAL's SAP technical users and separate read-only collection from administrative functions.</w:t>
      </w:r>
    </w:p>
    <w:p>
      <w:pPr>
        <w:pStyle w:val="ListBullet"/>
        <w:spacing w:after="40"/>
      </w:pPr>
      <w:r>
        <w:t>Design for multiple SAP systems from the beginning even if the first deployment has only one system.</w:t>
      </w:r>
    </w:p>
    <w:p>
      <w:pPr>
        <w:pStyle w:val="ListBullet"/>
        <w:spacing w:after="40"/>
      </w:pPr>
      <w:r>
        <w:t>Treat sensitive audit data as security data. Encrypt it, restrict access and retain only what is necessary.</w:t>
      </w:r>
    </w:p>
    <w:p>
      <w:pPr>
        <w:pStyle w:val="ListBullet"/>
        <w:spacing w:after="40"/>
      </w:pPr>
      <w:r>
        <w:t>Make exports audit-ready and reproducible. The same query and time window should be capable of producing the same underlying result.</w:t>
      </w:r>
    </w:p>
    <w:p>
      <w:pPr>
        <w:pStyle w:val="ListBullet"/>
        <w:spacing w:after="40"/>
      </w:pPr>
      <w:r>
        <w:t>Do not over-engineer the MVP. Stage 1 should solve a real consultant pain point before advanced AI or anomaly detection is introduced.</w:t>
      </w:r>
    </w:p>
    <w:p>
      <w:pPr>
        <w:pStyle w:val="ListBullet"/>
        <w:spacing w:after="40"/>
      </w:pPr>
      <w:r>
        <w:t>Keep AI outputs explainable and grounded in retrieved evidence. The user should be able to distinguish raw evidence from an interpretation.</w:t>
      </w:r>
    </w:p>
    <w:p>
      <w:pPr>
        <w:pStyle w:val="Heading1"/>
      </w:pPr>
      <w:r>
        <w:t>3. Target Architecture</w:t>
      </w:r>
    </w:p>
    <w:p>
      <w:r>
        <w:t>A modular architecture is recommended. The Stage 1 system can be implemented as a Python-based service with SAP connectivity, but the interfaces should be designed so that the collector, storage, analytics and user interface can evolve independently.</w:t>
      </w:r>
    </w:p>
    <w:p>
      <w:r>
        <w:t>Conceptual architecture: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sz w:val="17"/>
              </w:rPr>
              <w:t>Layer</w:t>
            </w:r>
          </w:p>
        </w:tc>
        <w:tc>
          <w:tcPr>
            <w:tcW w:type="dxa" w:w="2880"/>
            <w:vAlign w:val="center"/>
            <w:shd w:fill="D9EAF7"/>
          </w:tcPr>
          <w:p>
            <w:r/>
            <w:r>
              <w:rPr>
                <w:b/>
                <w:sz w:val="17"/>
              </w:rPr>
              <w:t>Purpose</w:t>
            </w:r>
          </w:p>
        </w:tc>
        <w:tc>
          <w:tcPr>
            <w:tcW w:type="dxa" w:w="1872"/>
            <w:vAlign w:val="center"/>
            <w:shd w:fill="D9EAF7"/>
          </w:tcPr>
          <w:p>
            <w:r/>
            <w:r>
              <w:rPr>
                <w:b/>
                <w:sz w:val="17"/>
              </w:rPr>
              <w:t>Stage 1</w:t>
            </w:r>
          </w:p>
        </w:tc>
        <w:tc>
          <w:tcPr>
            <w:tcW w:type="dxa" w:w="2160"/>
            <w:vAlign w:val="center"/>
            <w:shd w:fill="D9EAF7"/>
          </w:tcPr>
          <w:p>
            <w:r/>
            <w:r>
              <w:rPr>
                <w:b/>
                <w:sz w:val="17"/>
              </w:rPr>
              <w:t>Stage 2</w:t>
            </w:r>
          </w:p>
        </w:tc>
        <w:tc>
          <w:tcPr>
            <w:tcW w:type="dxa" w:w="2880"/>
            <w:vAlign w:val="center"/>
            <w:shd w:fill="D9EAF7"/>
          </w:tcPr>
          <w:p>
            <w:r/>
            <w:r>
              <w:rPr>
                <w:b/>
                <w:sz w:val="17"/>
              </w:rPr>
              <w:t>Stage 3</w:t>
            </w:r>
          </w:p>
        </w:tc>
      </w:tr>
      <w:tr>
        <w:tc>
          <w:tcPr>
            <w:tcW w:type="dxa" w:w="1728"/>
            <w:vAlign w:val="center"/>
          </w:tcPr>
          <w:p>
            <w:r/>
            <w:r>
              <w:rPr>
                <w:b w:val="0"/>
                <w:sz w:val="17"/>
              </w:rPr>
              <w:t>User Interface</w:t>
            </w:r>
          </w:p>
        </w:tc>
        <w:tc>
          <w:tcPr>
            <w:tcW w:type="dxa" w:w="2880"/>
            <w:vAlign w:val="center"/>
          </w:tcPr>
          <w:p>
            <w:r/>
            <w:r>
              <w:rPr>
                <w:b w:val="0"/>
                <w:sz w:val="17"/>
              </w:rPr>
              <w:t>Search, dashboards, investigation and reports</w:t>
            </w:r>
          </w:p>
        </w:tc>
        <w:tc>
          <w:tcPr>
            <w:tcW w:type="dxa" w:w="1872"/>
            <w:vAlign w:val="center"/>
          </w:tcPr>
          <w:p>
            <w:r/>
            <w:r>
              <w:rPr>
                <w:b w:val="0"/>
                <w:sz w:val="17"/>
              </w:rPr>
              <w:t>Basic web UI / filters</w:t>
            </w:r>
          </w:p>
        </w:tc>
        <w:tc>
          <w:tcPr>
            <w:tcW w:type="dxa" w:w="2160"/>
            <w:vAlign w:val="center"/>
          </w:tcPr>
          <w:p>
            <w:r/>
            <w:r>
              <w:rPr>
                <w:b w:val="0"/>
                <w:sz w:val="17"/>
              </w:rPr>
              <w:t>Investigation workspace</w:t>
            </w:r>
          </w:p>
        </w:tc>
        <w:tc>
          <w:tcPr>
            <w:tcW w:type="dxa" w:w="2880"/>
            <w:vAlign w:val="center"/>
          </w:tcPr>
          <w:p>
            <w:r/>
            <w:r>
              <w:rPr>
                <w:b w:val="0"/>
                <w:sz w:val="17"/>
              </w:rPr>
              <w:t>AI investigation assistant + case workspace</w:t>
            </w:r>
          </w:p>
        </w:tc>
      </w:tr>
      <w:tr>
        <w:tc>
          <w:tcPr>
            <w:tcW w:type="dxa" w:w="1728"/>
            <w:vAlign w:val="center"/>
          </w:tcPr>
          <w:p>
            <w:r/>
            <w:r>
              <w:rPr>
                <w:b w:val="0"/>
                <w:sz w:val="17"/>
              </w:rPr>
              <w:t>Query / Intent Layer</w:t>
            </w:r>
          </w:p>
        </w:tc>
        <w:tc>
          <w:tcPr>
            <w:tcW w:type="dxa" w:w="2880"/>
            <w:vAlign w:val="center"/>
          </w:tcPr>
          <w:p>
            <w:r/>
            <w:r>
              <w:rPr>
                <w:b w:val="0"/>
                <w:sz w:val="17"/>
              </w:rPr>
              <w:t>Convert user requests into validated query parameters</w:t>
            </w:r>
          </w:p>
        </w:tc>
        <w:tc>
          <w:tcPr>
            <w:tcW w:type="dxa" w:w="1872"/>
            <w:vAlign w:val="center"/>
          </w:tcPr>
          <w:p>
            <w:r/>
            <w:r>
              <w:rPr>
                <w:b w:val="0"/>
                <w:sz w:val="17"/>
              </w:rPr>
              <w:t>Structured filters</w:t>
            </w:r>
          </w:p>
        </w:tc>
        <w:tc>
          <w:tcPr>
            <w:tcW w:type="dxa" w:w="2160"/>
            <w:vAlign w:val="center"/>
          </w:tcPr>
          <w:p>
            <w:r/>
            <w:r>
              <w:rPr>
                <w:b w:val="0"/>
                <w:sz w:val="17"/>
              </w:rPr>
              <w:t>Query templates</w:t>
            </w:r>
          </w:p>
        </w:tc>
        <w:tc>
          <w:tcPr>
            <w:tcW w:type="dxa" w:w="2880"/>
            <w:vAlign w:val="center"/>
          </w:tcPr>
          <w:p>
            <w:r/>
            <w:r>
              <w:rPr>
                <w:b w:val="0"/>
                <w:sz w:val="17"/>
              </w:rPr>
              <w:t>Natural-language intent + governed query generation</w:t>
            </w:r>
          </w:p>
        </w:tc>
      </w:tr>
      <w:tr>
        <w:tc>
          <w:tcPr>
            <w:tcW w:type="dxa" w:w="1728"/>
            <w:vAlign w:val="center"/>
          </w:tcPr>
          <w:p>
            <w:r/>
            <w:r>
              <w:rPr>
                <w:b w:val="0"/>
                <w:sz w:val="17"/>
              </w:rPr>
              <w:t>Analytics Engine</w:t>
            </w:r>
          </w:p>
        </w:tc>
        <w:tc>
          <w:tcPr>
            <w:tcW w:type="dxa" w:w="2880"/>
            <w:vAlign w:val="center"/>
          </w:tcPr>
          <w:p>
            <w:r/>
            <w:r>
              <w:rPr>
                <w:b w:val="0"/>
                <w:sz w:val="17"/>
              </w:rPr>
              <w:t>Aggregate and detect security-relevant patterns</w:t>
            </w:r>
          </w:p>
        </w:tc>
        <w:tc>
          <w:tcPr>
            <w:tcW w:type="dxa" w:w="1872"/>
            <w:vAlign w:val="center"/>
          </w:tcPr>
          <w:p>
            <w:r/>
            <w:r>
              <w:rPr>
                <w:b w:val="0"/>
                <w:sz w:val="17"/>
              </w:rPr>
              <w:t>Counts / grouping</w:t>
            </w:r>
          </w:p>
        </w:tc>
        <w:tc>
          <w:tcPr>
            <w:tcW w:type="dxa" w:w="2160"/>
            <w:vAlign w:val="center"/>
          </w:tcPr>
          <w:p>
            <w:r/>
            <w:r>
              <w:rPr>
                <w:b w:val="0"/>
                <w:sz w:val="17"/>
              </w:rPr>
              <w:t>Rules + correlations</w:t>
            </w:r>
          </w:p>
        </w:tc>
        <w:tc>
          <w:tcPr>
            <w:tcW w:type="dxa" w:w="2880"/>
            <w:vAlign w:val="center"/>
          </w:tcPr>
          <w:p>
            <w:r/>
            <w:r>
              <w:rPr>
                <w:b w:val="0"/>
                <w:sz w:val="17"/>
              </w:rPr>
              <w:t>Risk scoring + advanced analytics</w:t>
            </w:r>
          </w:p>
        </w:tc>
      </w:tr>
      <w:tr>
        <w:tc>
          <w:tcPr>
            <w:tcW w:type="dxa" w:w="1728"/>
            <w:vAlign w:val="center"/>
          </w:tcPr>
          <w:p>
            <w:r/>
            <w:r>
              <w:rPr>
                <w:b w:val="0"/>
                <w:sz w:val="17"/>
              </w:rPr>
              <w:t>Normalization Layer</w:t>
            </w:r>
          </w:p>
        </w:tc>
        <w:tc>
          <w:tcPr>
            <w:tcW w:type="dxa" w:w="2880"/>
            <w:vAlign w:val="center"/>
          </w:tcPr>
          <w:p>
            <w:r/>
            <w:r>
              <w:rPr>
                <w:b w:val="0"/>
                <w:sz w:val="17"/>
              </w:rPr>
              <w:t>Map SAP-specific data into common event model</w:t>
            </w:r>
          </w:p>
        </w:tc>
        <w:tc>
          <w:tcPr>
            <w:tcW w:type="dxa" w:w="1872"/>
            <w:vAlign w:val="center"/>
          </w:tcPr>
          <w:p>
            <w:r/>
            <w:r>
              <w:rPr>
                <w:b w:val="0"/>
                <w:sz w:val="17"/>
              </w:rPr>
              <w:t>SM20 event normalization</w:t>
            </w:r>
          </w:p>
        </w:tc>
        <w:tc>
          <w:tcPr>
            <w:tcW w:type="dxa" w:w="2160"/>
            <w:vAlign w:val="center"/>
          </w:tcPr>
          <w:p>
            <w:r/>
            <w:r>
              <w:rPr>
                <w:b w:val="0"/>
                <w:sz w:val="17"/>
              </w:rPr>
              <w:t>Multiple source correlation</w:t>
            </w:r>
          </w:p>
        </w:tc>
        <w:tc>
          <w:tcPr>
            <w:tcW w:type="dxa" w:w="2880"/>
            <w:vAlign w:val="center"/>
          </w:tcPr>
          <w:p>
            <w:r/>
            <w:r>
              <w:rPr>
                <w:b w:val="0"/>
                <w:sz w:val="17"/>
              </w:rPr>
              <w:t>Enterprise event model</w:t>
            </w:r>
          </w:p>
        </w:tc>
      </w:tr>
      <w:tr>
        <w:tc>
          <w:tcPr>
            <w:tcW w:type="dxa" w:w="1728"/>
            <w:vAlign w:val="center"/>
          </w:tcPr>
          <w:p>
            <w:r/>
            <w:r>
              <w:rPr>
                <w:b w:val="0"/>
                <w:sz w:val="17"/>
              </w:rPr>
              <w:t>Connector Layer</w:t>
            </w:r>
          </w:p>
        </w:tc>
        <w:tc>
          <w:tcPr>
            <w:tcW w:type="dxa" w:w="2880"/>
            <w:vAlign w:val="center"/>
          </w:tcPr>
          <w:p>
            <w:r/>
            <w:r>
              <w:rPr>
                <w:b w:val="0"/>
                <w:sz w:val="17"/>
              </w:rPr>
              <w:t>Retrieve data from SAP and other sources</w:t>
            </w:r>
          </w:p>
        </w:tc>
        <w:tc>
          <w:tcPr>
            <w:tcW w:type="dxa" w:w="1872"/>
            <w:vAlign w:val="center"/>
          </w:tcPr>
          <w:p>
            <w:r/>
            <w:r>
              <w:rPr>
                <w:b w:val="0"/>
                <w:sz w:val="17"/>
              </w:rPr>
              <w:t>SM20/SM19</w:t>
            </w:r>
          </w:p>
        </w:tc>
        <w:tc>
          <w:tcPr>
            <w:tcW w:type="dxa" w:w="2160"/>
            <w:vAlign w:val="center"/>
          </w:tcPr>
          <w:p>
            <w:r/>
            <w:r>
              <w:rPr>
                <w:b w:val="0"/>
                <w:sz w:val="17"/>
              </w:rPr>
              <w:t>SU01/PFCG/SUIM/GRC/FF</w:t>
            </w:r>
          </w:p>
        </w:tc>
        <w:tc>
          <w:tcPr>
            <w:tcW w:type="dxa" w:w="2880"/>
            <w:vAlign w:val="center"/>
          </w:tcPr>
          <w:p>
            <w:r/>
            <w:r>
              <w:rPr>
                <w:b w:val="0"/>
                <w:sz w:val="17"/>
              </w:rPr>
              <w:t>BTP/HANA/IAS/IPS/other sources</w:t>
            </w:r>
          </w:p>
        </w:tc>
      </w:tr>
      <w:tr>
        <w:tc>
          <w:tcPr>
            <w:tcW w:type="dxa" w:w="1728"/>
            <w:vAlign w:val="center"/>
          </w:tcPr>
          <w:p>
            <w:r/>
            <w:r>
              <w:rPr>
                <w:b w:val="0"/>
                <w:sz w:val="17"/>
              </w:rPr>
              <w:t>Storage</w:t>
            </w:r>
          </w:p>
        </w:tc>
        <w:tc>
          <w:tcPr>
            <w:tcW w:type="dxa" w:w="2880"/>
            <w:vAlign w:val="center"/>
          </w:tcPr>
          <w:p>
            <w:r/>
            <w:r>
              <w:rPr>
                <w:b w:val="0"/>
                <w:sz w:val="17"/>
              </w:rPr>
              <w:t>Persist normalized data and metadata</w:t>
            </w:r>
          </w:p>
        </w:tc>
        <w:tc>
          <w:tcPr>
            <w:tcW w:type="dxa" w:w="1872"/>
            <w:vAlign w:val="center"/>
          </w:tcPr>
          <w:p>
            <w:r/>
            <w:r>
              <w:rPr>
                <w:b w:val="0"/>
                <w:sz w:val="17"/>
              </w:rPr>
              <w:t>Relational DB</w:t>
            </w:r>
          </w:p>
        </w:tc>
        <w:tc>
          <w:tcPr>
            <w:tcW w:type="dxa" w:w="2160"/>
            <w:vAlign w:val="center"/>
          </w:tcPr>
          <w:p>
            <w:r/>
            <w:r>
              <w:rPr>
                <w:b w:val="0"/>
                <w:sz w:val="17"/>
              </w:rPr>
              <w:t>Indexed event store</w:t>
            </w:r>
          </w:p>
        </w:tc>
        <w:tc>
          <w:tcPr>
            <w:tcW w:type="dxa" w:w="2880"/>
            <w:vAlign w:val="center"/>
          </w:tcPr>
          <w:p>
            <w:r/>
            <w:r>
              <w:rPr>
                <w:b w:val="0"/>
                <w:sz w:val="17"/>
              </w:rPr>
              <w:t>Scalable security data platform</w:t>
            </w:r>
          </w:p>
        </w:tc>
      </w:tr>
      <w:tr>
        <w:tc>
          <w:tcPr>
            <w:tcW w:type="dxa" w:w="1728"/>
            <w:vAlign w:val="center"/>
          </w:tcPr>
          <w:p>
            <w:r/>
            <w:r>
              <w:rPr>
                <w:b w:val="0"/>
                <w:sz w:val="17"/>
              </w:rPr>
              <w:t>Reporting</w:t>
            </w:r>
          </w:p>
        </w:tc>
        <w:tc>
          <w:tcPr>
            <w:tcW w:type="dxa" w:w="2880"/>
            <w:vAlign w:val="center"/>
          </w:tcPr>
          <w:p>
            <w:r/>
            <w:r>
              <w:rPr>
                <w:b w:val="0"/>
                <w:sz w:val="17"/>
              </w:rPr>
              <w:t>Export evidence and findings</w:t>
            </w:r>
          </w:p>
        </w:tc>
        <w:tc>
          <w:tcPr>
            <w:tcW w:type="dxa" w:w="1872"/>
            <w:vAlign w:val="center"/>
          </w:tcPr>
          <w:p>
            <w:r/>
            <w:r>
              <w:rPr>
                <w:b w:val="0"/>
                <w:sz w:val="17"/>
              </w:rPr>
              <w:t>CSV/XLSX/PDF</w:t>
            </w:r>
          </w:p>
        </w:tc>
        <w:tc>
          <w:tcPr>
            <w:tcW w:type="dxa" w:w="2160"/>
            <w:vAlign w:val="center"/>
          </w:tcPr>
          <w:p>
            <w:r/>
            <w:r>
              <w:rPr>
                <w:b w:val="0"/>
                <w:sz w:val="17"/>
              </w:rPr>
              <w:t>Investigation reports</w:t>
            </w:r>
          </w:p>
        </w:tc>
        <w:tc>
          <w:tcPr>
            <w:tcW w:type="dxa" w:w="2880"/>
            <w:vAlign w:val="center"/>
          </w:tcPr>
          <w:p>
            <w:r/>
            <w:r>
              <w:rPr>
                <w:b w:val="0"/>
                <w:sz w:val="17"/>
              </w:rPr>
              <w:t>Evidence packs + scheduled compliance reports</w:t>
            </w:r>
          </w:p>
        </w:tc>
      </w:tr>
      <w:tr>
        <w:tc>
          <w:tcPr>
            <w:tcW w:type="dxa" w:w="1728"/>
            <w:vAlign w:val="center"/>
          </w:tcPr>
          <w:p>
            <w:r/>
            <w:r>
              <w:rPr>
                <w:b w:val="0"/>
                <w:sz w:val="17"/>
              </w:rPr>
              <w:t>Security</w:t>
            </w:r>
          </w:p>
        </w:tc>
        <w:tc>
          <w:tcPr>
            <w:tcW w:type="dxa" w:w="2880"/>
            <w:vAlign w:val="center"/>
          </w:tcPr>
          <w:p>
            <w:r/>
            <w:r>
              <w:rPr>
                <w:b w:val="0"/>
                <w:sz w:val="17"/>
              </w:rPr>
              <w:t>Authentication, authorization and auditability</w:t>
            </w:r>
          </w:p>
        </w:tc>
        <w:tc>
          <w:tcPr>
            <w:tcW w:type="dxa" w:w="1872"/>
            <w:vAlign w:val="center"/>
          </w:tcPr>
          <w:p>
            <w:r/>
            <w:r>
              <w:rPr>
                <w:b w:val="0"/>
                <w:sz w:val="17"/>
              </w:rPr>
              <w:t>Basic RBAC</w:t>
            </w:r>
          </w:p>
        </w:tc>
        <w:tc>
          <w:tcPr>
            <w:tcW w:type="dxa" w:w="2160"/>
            <w:vAlign w:val="center"/>
          </w:tcPr>
          <w:p>
            <w:r/>
            <w:r>
              <w:rPr>
                <w:b w:val="0"/>
                <w:sz w:val="17"/>
              </w:rPr>
              <w:t>Role-based investigations</w:t>
            </w:r>
          </w:p>
        </w:tc>
        <w:tc>
          <w:tcPr>
            <w:tcW w:type="dxa" w:w="2880"/>
            <w:vAlign w:val="center"/>
          </w:tcPr>
          <w:p>
            <w:r/>
            <w:r>
              <w:rPr>
                <w:b w:val="0"/>
                <w:sz w:val="17"/>
              </w:rPr>
              <w:t>Enterprise SSO/RBAC/segregation/audit trail</w:t>
            </w:r>
          </w:p>
        </w:tc>
      </w:tr>
    </w:tbl>
    <w:p/>
    <w:p>
      <w:pPr>
        <w:pStyle w:val="Heading2"/>
      </w:pPr>
      <w:r>
        <w:t>Recommended normalized event model</w:t>
      </w:r>
    </w:p>
    <w:p>
      <w:r>
        <w:t>A normalized event model is one of the most important architectural decisions. Different SAP sources use different fields. SAL should map them into common fields while retaining the original source payload where permitted.</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D9EAF7"/>
          </w:tcPr>
          <w:p>
            <w:r/>
            <w:r>
              <w:rPr>
                <w:b/>
                <w:sz w:val="17"/>
              </w:rPr>
              <w:t>Field</w:t>
            </w:r>
          </w:p>
        </w:tc>
        <w:tc>
          <w:tcPr>
            <w:tcW w:type="dxa" w:w="2880"/>
            <w:vAlign w:val="center"/>
            <w:shd w:fill="D9EAF7"/>
          </w:tcPr>
          <w:p>
            <w:r/>
            <w:r>
              <w:rPr>
                <w:b/>
                <w:sz w:val="17"/>
              </w:rPr>
              <w:t>Example</w:t>
            </w:r>
          </w:p>
        </w:tc>
        <w:tc>
          <w:tcPr>
            <w:tcW w:type="dxa" w:w="5040"/>
            <w:vAlign w:val="center"/>
            <w:shd w:fill="D9EAF7"/>
          </w:tcPr>
          <w:p>
            <w:r/>
            <w:r>
              <w:rPr>
                <w:b/>
                <w:sz w:val="17"/>
              </w:rPr>
              <w:t>Purpose</w:t>
            </w:r>
          </w:p>
        </w:tc>
      </w:tr>
      <w:tr>
        <w:tc>
          <w:tcPr>
            <w:tcW w:type="dxa" w:w="2016"/>
            <w:vAlign w:val="center"/>
          </w:tcPr>
          <w:p>
            <w:r/>
            <w:r>
              <w:rPr>
                <w:b w:val="0"/>
                <w:sz w:val="17"/>
              </w:rPr>
              <w:t>event_id</w:t>
            </w:r>
          </w:p>
        </w:tc>
        <w:tc>
          <w:tcPr>
            <w:tcW w:type="dxa" w:w="2880"/>
            <w:vAlign w:val="center"/>
          </w:tcPr>
          <w:p>
            <w:r/>
            <w:r>
              <w:rPr>
                <w:b w:val="0"/>
                <w:sz w:val="17"/>
              </w:rPr>
              <w:t>SAL-8F3A...</w:t>
            </w:r>
          </w:p>
        </w:tc>
        <w:tc>
          <w:tcPr>
            <w:tcW w:type="dxa" w:w="5040"/>
            <w:vAlign w:val="center"/>
          </w:tcPr>
          <w:p>
            <w:r/>
            <w:r>
              <w:rPr>
                <w:b w:val="0"/>
                <w:sz w:val="17"/>
              </w:rPr>
              <w:t>Unique SAL event identifier</w:t>
            </w:r>
          </w:p>
        </w:tc>
      </w:tr>
      <w:tr>
        <w:tc>
          <w:tcPr>
            <w:tcW w:type="dxa" w:w="2016"/>
            <w:vAlign w:val="center"/>
          </w:tcPr>
          <w:p>
            <w:r/>
            <w:r>
              <w:rPr>
                <w:b w:val="0"/>
                <w:sz w:val="17"/>
              </w:rPr>
              <w:t>source_system</w:t>
            </w:r>
          </w:p>
        </w:tc>
        <w:tc>
          <w:tcPr>
            <w:tcW w:type="dxa" w:w="2880"/>
            <w:vAlign w:val="center"/>
          </w:tcPr>
          <w:p>
            <w:r/>
            <w:r>
              <w:rPr>
                <w:b w:val="0"/>
                <w:sz w:val="17"/>
              </w:rPr>
              <w:t>S4P</w:t>
            </w:r>
          </w:p>
        </w:tc>
        <w:tc>
          <w:tcPr>
            <w:tcW w:type="dxa" w:w="5040"/>
            <w:vAlign w:val="center"/>
          </w:tcPr>
          <w:p>
            <w:r/>
            <w:r>
              <w:rPr>
                <w:b w:val="0"/>
                <w:sz w:val="17"/>
              </w:rPr>
              <w:t>SAP system / logical system</w:t>
            </w:r>
          </w:p>
        </w:tc>
      </w:tr>
      <w:tr>
        <w:tc>
          <w:tcPr>
            <w:tcW w:type="dxa" w:w="2016"/>
            <w:vAlign w:val="center"/>
          </w:tcPr>
          <w:p>
            <w:r/>
            <w:r>
              <w:rPr>
                <w:b w:val="0"/>
                <w:sz w:val="17"/>
              </w:rPr>
              <w:t>client</w:t>
            </w:r>
          </w:p>
        </w:tc>
        <w:tc>
          <w:tcPr>
            <w:tcW w:type="dxa" w:w="2880"/>
            <w:vAlign w:val="center"/>
          </w:tcPr>
          <w:p>
            <w:r/>
            <w:r>
              <w:rPr>
                <w:b w:val="0"/>
                <w:sz w:val="17"/>
              </w:rPr>
              <w:t>400</w:t>
            </w:r>
          </w:p>
        </w:tc>
        <w:tc>
          <w:tcPr>
            <w:tcW w:type="dxa" w:w="5040"/>
            <w:vAlign w:val="center"/>
          </w:tcPr>
          <w:p>
            <w:r/>
            <w:r>
              <w:rPr>
                <w:b w:val="0"/>
                <w:sz w:val="17"/>
              </w:rPr>
              <w:t>SAP client</w:t>
            </w:r>
          </w:p>
        </w:tc>
      </w:tr>
      <w:tr>
        <w:tc>
          <w:tcPr>
            <w:tcW w:type="dxa" w:w="2016"/>
            <w:vAlign w:val="center"/>
          </w:tcPr>
          <w:p>
            <w:r/>
            <w:r>
              <w:rPr>
                <w:b w:val="0"/>
                <w:sz w:val="17"/>
              </w:rPr>
              <w:t>event_timestamp</w:t>
            </w:r>
          </w:p>
        </w:tc>
        <w:tc>
          <w:tcPr>
            <w:tcW w:type="dxa" w:w="2880"/>
            <w:vAlign w:val="center"/>
          </w:tcPr>
          <w:p>
            <w:r/>
            <w:r>
              <w:rPr>
                <w:b w:val="0"/>
                <w:sz w:val="17"/>
              </w:rPr>
              <w:t>2026-08-20 15:32:11</w:t>
            </w:r>
          </w:p>
        </w:tc>
        <w:tc>
          <w:tcPr>
            <w:tcW w:type="dxa" w:w="5040"/>
            <w:vAlign w:val="center"/>
          </w:tcPr>
          <w:p>
            <w:r/>
            <w:r>
              <w:rPr>
                <w:b w:val="0"/>
                <w:sz w:val="17"/>
              </w:rPr>
              <w:t>Precise event time</w:t>
            </w:r>
          </w:p>
        </w:tc>
      </w:tr>
      <w:tr>
        <w:tc>
          <w:tcPr>
            <w:tcW w:type="dxa" w:w="2016"/>
            <w:vAlign w:val="center"/>
          </w:tcPr>
          <w:p>
            <w:r/>
            <w:r>
              <w:rPr>
                <w:b w:val="0"/>
                <w:sz w:val="17"/>
              </w:rPr>
              <w:t>user_id</w:t>
            </w:r>
          </w:p>
        </w:tc>
        <w:tc>
          <w:tcPr>
            <w:tcW w:type="dxa" w:w="2880"/>
            <w:vAlign w:val="center"/>
          </w:tcPr>
          <w:p>
            <w:r/>
            <w:r>
              <w:rPr>
                <w:b w:val="0"/>
                <w:sz w:val="17"/>
              </w:rPr>
              <w:t>USER123</w:t>
            </w:r>
          </w:p>
        </w:tc>
        <w:tc>
          <w:tcPr>
            <w:tcW w:type="dxa" w:w="5040"/>
            <w:vAlign w:val="center"/>
          </w:tcPr>
          <w:p>
            <w:r/>
            <w:r>
              <w:rPr>
                <w:b w:val="0"/>
                <w:sz w:val="17"/>
              </w:rPr>
              <w:t>SAP user</w:t>
            </w:r>
          </w:p>
        </w:tc>
      </w:tr>
      <w:tr>
        <w:tc>
          <w:tcPr>
            <w:tcW w:type="dxa" w:w="2016"/>
            <w:vAlign w:val="center"/>
          </w:tcPr>
          <w:p>
            <w:r/>
            <w:r>
              <w:rPr>
                <w:b w:val="0"/>
                <w:sz w:val="17"/>
              </w:rPr>
              <w:t>event_type</w:t>
            </w:r>
          </w:p>
        </w:tc>
        <w:tc>
          <w:tcPr>
            <w:tcW w:type="dxa" w:w="2880"/>
            <w:vAlign w:val="center"/>
          </w:tcPr>
          <w:p>
            <w:r/>
            <w:r>
              <w:rPr>
                <w:b w:val="0"/>
                <w:sz w:val="17"/>
              </w:rPr>
              <w:t>TRANSACTION_START</w:t>
            </w:r>
          </w:p>
        </w:tc>
        <w:tc>
          <w:tcPr>
            <w:tcW w:type="dxa" w:w="5040"/>
            <w:vAlign w:val="center"/>
          </w:tcPr>
          <w:p>
            <w:r/>
            <w:r>
              <w:rPr>
                <w:b w:val="0"/>
                <w:sz w:val="17"/>
              </w:rPr>
              <w:t>Normalized event category</w:t>
            </w:r>
          </w:p>
        </w:tc>
      </w:tr>
      <w:tr>
        <w:tc>
          <w:tcPr>
            <w:tcW w:type="dxa" w:w="2016"/>
            <w:vAlign w:val="center"/>
          </w:tcPr>
          <w:p>
            <w:r/>
            <w:r>
              <w:rPr>
                <w:b w:val="0"/>
                <w:sz w:val="17"/>
              </w:rPr>
              <w:t>transaction</w:t>
            </w:r>
          </w:p>
        </w:tc>
        <w:tc>
          <w:tcPr>
            <w:tcW w:type="dxa" w:w="2880"/>
            <w:vAlign w:val="center"/>
          </w:tcPr>
          <w:p>
            <w:r/>
            <w:r>
              <w:rPr>
                <w:b w:val="0"/>
                <w:sz w:val="17"/>
              </w:rPr>
              <w:t>FBL5N</w:t>
            </w:r>
          </w:p>
        </w:tc>
        <w:tc>
          <w:tcPr>
            <w:tcW w:type="dxa" w:w="5040"/>
            <w:vAlign w:val="center"/>
          </w:tcPr>
          <w:p>
            <w:r/>
            <w:r>
              <w:rPr>
                <w:b w:val="0"/>
                <w:sz w:val="17"/>
              </w:rPr>
              <w:t>Transaction when applicable</w:t>
            </w:r>
          </w:p>
        </w:tc>
      </w:tr>
      <w:tr>
        <w:tc>
          <w:tcPr>
            <w:tcW w:type="dxa" w:w="2016"/>
            <w:vAlign w:val="center"/>
          </w:tcPr>
          <w:p>
            <w:r/>
            <w:r>
              <w:rPr>
                <w:b w:val="0"/>
                <w:sz w:val="17"/>
              </w:rPr>
              <w:t>application_server</w:t>
            </w:r>
          </w:p>
        </w:tc>
        <w:tc>
          <w:tcPr>
            <w:tcW w:type="dxa" w:w="2880"/>
            <w:vAlign w:val="center"/>
          </w:tcPr>
          <w:p>
            <w:r/>
            <w:r>
              <w:rPr>
                <w:b w:val="0"/>
                <w:sz w:val="17"/>
              </w:rPr>
              <w:t>app01</w:t>
            </w:r>
          </w:p>
        </w:tc>
        <w:tc>
          <w:tcPr>
            <w:tcW w:type="dxa" w:w="5040"/>
            <w:vAlign w:val="center"/>
          </w:tcPr>
          <w:p>
            <w:r/>
            <w:r>
              <w:rPr>
                <w:b w:val="0"/>
                <w:sz w:val="17"/>
              </w:rPr>
              <w:t>Server context where available</w:t>
            </w:r>
          </w:p>
        </w:tc>
      </w:tr>
      <w:tr>
        <w:tc>
          <w:tcPr>
            <w:tcW w:type="dxa" w:w="2016"/>
            <w:vAlign w:val="center"/>
          </w:tcPr>
          <w:p>
            <w:r/>
            <w:r>
              <w:rPr>
                <w:b w:val="0"/>
                <w:sz w:val="17"/>
              </w:rPr>
              <w:t>terminal / host</w:t>
            </w:r>
          </w:p>
        </w:tc>
        <w:tc>
          <w:tcPr>
            <w:tcW w:type="dxa" w:w="2880"/>
            <w:vAlign w:val="center"/>
          </w:tcPr>
          <w:p>
            <w:r/>
            <w:r>
              <w:rPr>
                <w:b w:val="0"/>
                <w:sz w:val="17"/>
              </w:rPr>
              <w:t>PC-123</w:t>
            </w:r>
          </w:p>
        </w:tc>
        <w:tc>
          <w:tcPr>
            <w:tcW w:type="dxa" w:w="5040"/>
            <w:vAlign w:val="center"/>
          </w:tcPr>
          <w:p>
            <w:r/>
            <w:r>
              <w:rPr>
                <w:b w:val="0"/>
                <w:sz w:val="17"/>
              </w:rPr>
              <w:t>Origin context where available</w:t>
            </w:r>
          </w:p>
        </w:tc>
      </w:tr>
      <w:tr>
        <w:tc>
          <w:tcPr>
            <w:tcW w:type="dxa" w:w="2016"/>
            <w:vAlign w:val="center"/>
          </w:tcPr>
          <w:p>
            <w:r/>
            <w:r>
              <w:rPr>
                <w:b w:val="0"/>
                <w:sz w:val="17"/>
              </w:rPr>
              <w:t>ip_address</w:t>
            </w:r>
          </w:p>
        </w:tc>
        <w:tc>
          <w:tcPr>
            <w:tcW w:type="dxa" w:w="2880"/>
            <w:vAlign w:val="center"/>
          </w:tcPr>
          <w:p>
            <w:r/>
            <w:r>
              <w:rPr>
                <w:b w:val="0"/>
                <w:sz w:val="17"/>
              </w:rPr>
              <w:t>10.x.x.x</w:t>
            </w:r>
          </w:p>
        </w:tc>
        <w:tc>
          <w:tcPr>
            <w:tcW w:type="dxa" w:w="5040"/>
            <w:vAlign w:val="center"/>
          </w:tcPr>
          <w:p>
            <w:r/>
            <w:r>
              <w:rPr>
                <w:b w:val="0"/>
                <w:sz w:val="17"/>
              </w:rPr>
              <w:t>Network context where available</w:t>
            </w:r>
          </w:p>
        </w:tc>
      </w:tr>
      <w:tr>
        <w:tc>
          <w:tcPr>
            <w:tcW w:type="dxa" w:w="2016"/>
            <w:vAlign w:val="center"/>
          </w:tcPr>
          <w:p>
            <w:r/>
            <w:r>
              <w:rPr>
                <w:b w:val="0"/>
                <w:sz w:val="17"/>
              </w:rPr>
              <w:t>message / details</w:t>
            </w:r>
          </w:p>
        </w:tc>
        <w:tc>
          <w:tcPr>
            <w:tcW w:type="dxa" w:w="2880"/>
            <w:vAlign w:val="center"/>
          </w:tcPr>
          <w:p>
            <w:r/>
            <w:r>
              <w:rPr>
                <w:b w:val="0"/>
                <w:sz w:val="17"/>
              </w:rPr>
              <w:t>Raw audit message</w:t>
            </w:r>
          </w:p>
        </w:tc>
        <w:tc>
          <w:tcPr>
            <w:tcW w:type="dxa" w:w="5040"/>
            <w:vAlign w:val="center"/>
          </w:tcPr>
          <w:p>
            <w:r/>
            <w:r>
              <w:rPr>
                <w:b w:val="0"/>
                <w:sz w:val="17"/>
              </w:rPr>
              <w:t>Human-readable context</w:t>
            </w:r>
          </w:p>
        </w:tc>
      </w:tr>
      <w:tr>
        <w:tc>
          <w:tcPr>
            <w:tcW w:type="dxa" w:w="2016"/>
            <w:vAlign w:val="center"/>
          </w:tcPr>
          <w:p>
            <w:r/>
            <w:r>
              <w:rPr>
                <w:b w:val="0"/>
                <w:sz w:val="17"/>
              </w:rPr>
              <w:t>source_record_id</w:t>
            </w:r>
          </w:p>
        </w:tc>
        <w:tc>
          <w:tcPr>
            <w:tcW w:type="dxa" w:w="2880"/>
            <w:vAlign w:val="center"/>
          </w:tcPr>
          <w:p>
            <w:r/>
            <w:r>
              <w:rPr>
                <w:b w:val="0"/>
                <w:sz w:val="17"/>
              </w:rPr>
              <w:t>SAP record identifier</w:t>
            </w:r>
          </w:p>
        </w:tc>
        <w:tc>
          <w:tcPr>
            <w:tcW w:type="dxa" w:w="5040"/>
            <w:vAlign w:val="center"/>
          </w:tcPr>
          <w:p>
            <w:r/>
            <w:r>
              <w:rPr>
                <w:b w:val="0"/>
                <w:sz w:val="17"/>
              </w:rPr>
              <w:t>Traceability back to source</w:t>
            </w:r>
          </w:p>
        </w:tc>
      </w:tr>
      <w:tr>
        <w:tc>
          <w:tcPr>
            <w:tcW w:type="dxa" w:w="2016"/>
            <w:vAlign w:val="center"/>
          </w:tcPr>
          <w:p>
            <w:r/>
            <w:r>
              <w:rPr>
                <w:b w:val="0"/>
                <w:sz w:val="17"/>
              </w:rPr>
              <w:t>collection_run_id</w:t>
            </w:r>
          </w:p>
        </w:tc>
        <w:tc>
          <w:tcPr>
            <w:tcW w:type="dxa" w:w="2880"/>
            <w:vAlign w:val="center"/>
          </w:tcPr>
          <w:p>
            <w:r/>
            <w:r>
              <w:rPr>
                <w:b w:val="0"/>
                <w:sz w:val="17"/>
              </w:rPr>
              <w:t>RUN-20260820-01</w:t>
            </w:r>
          </w:p>
        </w:tc>
        <w:tc>
          <w:tcPr>
            <w:tcW w:type="dxa" w:w="5040"/>
            <w:vAlign w:val="center"/>
          </w:tcPr>
          <w:p>
            <w:r/>
            <w:r>
              <w:rPr>
                <w:b w:val="0"/>
                <w:sz w:val="17"/>
              </w:rPr>
              <w:t>Extraction provenance</w:t>
            </w:r>
          </w:p>
        </w:tc>
      </w:tr>
      <w:tr>
        <w:tc>
          <w:tcPr>
            <w:tcW w:type="dxa" w:w="2016"/>
            <w:vAlign w:val="center"/>
          </w:tcPr>
          <w:p>
            <w:r/>
            <w:r>
              <w:rPr>
                <w:b w:val="0"/>
                <w:sz w:val="17"/>
              </w:rPr>
              <w:t>raw_payload</w:t>
            </w:r>
          </w:p>
        </w:tc>
        <w:tc>
          <w:tcPr>
            <w:tcW w:type="dxa" w:w="2880"/>
            <w:vAlign w:val="center"/>
          </w:tcPr>
          <w:p>
            <w:r/>
            <w:r>
              <w:rPr>
                <w:b w:val="0"/>
                <w:sz w:val="17"/>
              </w:rPr>
              <w:t>JSON/XML/etc.</w:t>
            </w:r>
          </w:p>
        </w:tc>
        <w:tc>
          <w:tcPr>
            <w:tcW w:type="dxa" w:w="5040"/>
            <w:vAlign w:val="center"/>
          </w:tcPr>
          <w:p>
            <w:r/>
            <w:r>
              <w:rPr>
                <w:b w:val="0"/>
                <w:sz w:val="17"/>
              </w:rPr>
              <w:t>Original data for forensic traceability if policy permits</w:t>
            </w:r>
          </w:p>
        </w:tc>
      </w:tr>
    </w:tbl>
    <w:p/>
    <w:p>
      <w:r>
        <w:br w:type="page"/>
      </w:r>
    </w:p>
    <w:p>
      <w:pPr>
        <w:pStyle w:val="Heading1"/>
      </w:pPr>
      <w:r>
        <w:t>4. STAGE 1 — Audit Automation Foundation</w:t>
      </w:r>
    </w:p>
    <w:p>
      <w:r>
        <w:t>Stage 1 should focus on functionality that is relatively straightforward to implement, provides immediate consultant value and establishes the technical foundation for future stages. The goal is a usable SAL MVP, not a complete security analytics platform.</w:t>
      </w:r>
    </w:p>
    <w:p>
      <w:pPr>
        <w:pStyle w:val="Heading2"/>
      </w:pPr>
      <w:r>
        <w:t>Stage 1 objectives</w:t>
      </w:r>
    </w:p>
    <w:p>
      <w:pPr>
        <w:pStyle w:val="ListBullet"/>
        <w:spacing w:after="40"/>
      </w:pPr>
      <w:r>
        <w:t>Connect SAL securely to one or more SAP systems.</w:t>
      </w:r>
    </w:p>
    <w:p>
      <w:pPr>
        <w:pStyle w:val="ListBullet"/>
        <w:spacing w:after="40"/>
      </w:pPr>
      <w:r>
        <w:t>Extract and normalize Security Audit Log data.</w:t>
      </w:r>
    </w:p>
    <w:p>
      <w:pPr>
        <w:pStyle w:val="ListBullet"/>
        <w:spacing w:after="40"/>
      </w:pPr>
      <w:r>
        <w:t>Expose useful filters without requiring consultants to manually navigate SM20.</w:t>
      </w:r>
    </w:p>
    <w:p>
      <w:pPr>
        <w:pStyle w:val="ListBullet"/>
        <w:spacing w:after="40"/>
      </w:pPr>
      <w:r>
        <w:t>Support transaction and user activity investigations.</w:t>
      </w:r>
    </w:p>
    <w:p>
      <w:pPr>
        <w:pStyle w:val="ListBullet"/>
        <w:spacing w:after="40"/>
      </w:pPr>
      <w:r>
        <w:t>Generate Excel/CSV/PDF-style audit outputs.</w:t>
      </w:r>
    </w:p>
    <w:p>
      <w:pPr>
        <w:pStyle w:val="ListBullet"/>
        <w:spacing w:after="40"/>
      </w:pPr>
      <w:r>
        <w:t>Provide basic dashboards and statistics.</w:t>
      </w:r>
    </w:p>
    <w:p>
      <w:pPr>
        <w:pStyle w:val="ListBullet"/>
        <w:spacing w:after="40"/>
      </w:pPr>
      <w:r>
        <w:t>Record exactly what SAL collected and when.</w:t>
      </w:r>
    </w:p>
    <w:p>
      <w:pPr>
        <w:pStyle w:val="ListBullet"/>
        <w:spacing w:after="40"/>
      </w:pPr>
      <w:r>
        <w:t>Establish the reusable connector, database and security foundations needed for Stage 2.</w:t>
      </w:r>
    </w:p>
    <w:p>
      <w:pPr>
        <w:pStyle w:val="Heading2"/>
      </w:pPr>
      <w:r>
        <w:t>Stage 1 feature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vAlign w:val="center"/>
            <w:shd w:fill="D9EAF7"/>
          </w:tcPr>
          <w:p>
            <w:r/>
            <w:r>
              <w:rPr>
                <w:b/>
                <w:sz w:val="17"/>
              </w:rPr>
              <w:t>ID</w:t>
            </w:r>
          </w:p>
        </w:tc>
        <w:tc>
          <w:tcPr>
            <w:tcW w:type="dxa" w:w="2880"/>
            <w:vAlign w:val="center"/>
            <w:shd w:fill="D9EAF7"/>
          </w:tcPr>
          <w:p>
            <w:r/>
            <w:r>
              <w:rPr>
                <w:b/>
                <w:sz w:val="17"/>
              </w:rPr>
              <w:t>Feature</w:t>
            </w:r>
          </w:p>
        </w:tc>
        <w:tc>
          <w:tcPr>
            <w:tcW w:type="dxa" w:w="3600"/>
            <w:vAlign w:val="center"/>
            <w:shd w:fill="D9EAF7"/>
          </w:tcPr>
          <w:p>
            <w:r/>
            <w:r>
              <w:rPr>
                <w:b/>
                <w:sz w:val="17"/>
              </w:rPr>
              <w:t>Value</w:t>
            </w:r>
          </w:p>
        </w:tc>
        <w:tc>
          <w:tcPr>
            <w:tcW w:type="dxa" w:w="1296"/>
            <w:vAlign w:val="center"/>
            <w:shd w:fill="D9EAF7"/>
          </w:tcPr>
          <w:p>
            <w:r/>
            <w:r>
              <w:rPr>
                <w:b/>
                <w:sz w:val="17"/>
              </w:rPr>
              <w:t>Complexity</w:t>
            </w:r>
          </w:p>
        </w:tc>
        <w:tc>
          <w:tcPr>
            <w:tcW w:type="dxa" w:w="1440"/>
            <w:vAlign w:val="center"/>
            <w:shd w:fill="D9EAF7"/>
          </w:tcPr>
          <w:p>
            <w:r/>
            <w:r>
              <w:rPr>
                <w:b/>
                <w:sz w:val="17"/>
              </w:rPr>
              <w:t>Effort</w:t>
            </w:r>
          </w:p>
        </w:tc>
        <w:tc>
          <w:tcPr>
            <w:tcW w:type="dxa" w:w="1152"/>
            <w:vAlign w:val="center"/>
            <w:shd w:fill="D9EAF7"/>
          </w:tcPr>
          <w:p>
            <w:r/>
            <w:r>
              <w:rPr>
                <w:b/>
                <w:sz w:val="17"/>
              </w:rPr>
              <w:t>Ease</w:t>
            </w:r>
          </w:p>
        </w:tc>
        <w:tc>
          <w:tcPr>
            <w:tcW w:type="dxa" w:w="864"/>
            <w:vAlign w:val="center"/>
            <w:shd w:fill="D9EAF7"/>
          </w:tcPr>
          <w:p>
            <w:r/>
            <w:r>
              <w:rPr>
                <w:b/>
                <w:sz w:val="17"/>
              </w:rPr>
              <w:t>Priority</w:t>
            </w:r>
          </w:p>
        </w:tc>
      </w:tr>
      <w:tr>
        <w:tc>
          <w:tcPr>
            <w:tcW w:type="dxa" w:w="864"/>
            <w:vAlign w:val="center"/>
          </w:tcPr>
          <w:p>
            <w:r/>
            <w:r>
              <w:rPr>
                <w:b w:val="0"/>
                <w:sz w:val="17"/>
              </w:rPr>
              <w:t>S1-01</w:t>
            </w:r>
          </w:p>
        </w:tc>
        <w:tc>
          <w:tcPr>
            <w:tcW w:type="dxa" w:w="2880"/>
            <w:vAlign w:val="center"/>
          </w:tcPr>
          <w:p>
            <w:r/>
            <w:r>
              <w:rPr>
                <w:b w:val="0"/>
                <w:sz w:val="17"/>
              </w:rPr>
              <w:t>SAP connection and credential management</w:t>
            </w:r>
          </w:p>
        </w:tc>
        <w:tc>
          <w:tcPr>
            <w:tcW w:type="dxa" w:w="3600"/>
            <w:vAlign w:val="center"/>
          </w:tcPr>
          <w:p>
            <w:r/>
            <w:r>
              <w:rPr>
                <w:b w:val="0"/>
                <w:sz w:val="17"/>
              </w:rPr>
              <w:t>Foundation for all SAP data access</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S1-02</w:t>
            </w:r>
          </w:p>
        </w:tc>
        <w:tc>
          <w:tcPr>
            <w:tcW w:type="dxa" w:w="2880"/>
            <w:vAlign w:val="center"/>
          </w:tcPr>
          <w:p>
            <w:r/>
            <w:r>
              <w:rPr>
                <w:b w:val="0"/>
                <w:sz w:val="17"/>
              </w:rPr>
              <w:t>SM20 Security Audit Log extraction</w:t>
            </w:r>
          </w:p>
        </w:tc>
        <w:tc>
          <w:tcPr>
            <w:tcW w:type="dxa" w:w="3600"/>
            <w:vAlign w:val="center"/>
          </w:tcPr>
          <w:p>
            <w:r/>
            <w:r>
              <w:rPr>
                <w:b w:val="0"/>
                <w:sz w:val="17"/>
              </w:rPr>
              <w:t>Core product capability</w:t>
            </w:r>
          </w:p>
        </w:tc>
        <w:tc>
          <w:tcPr>
            <w:tcW w:type="dxa" w:w="1296"/>
            <w:vAlign w:val="center"/>
          </w:tcPr>
          <w:p>
            <w:r/>
            <w:r>
              <w:rPr>
                <w:b w:val="0"/>
                <w:sz w:val="17"/>
              </w:rPr>
              <w:t>Medium</w:t>
            </w:r>
          </w:p>
        </w:tc>
        <w:tc>
          <w:tcPr>
            <w:tcW w:type="dxa" w:w="1440"/>
            <w:vAlign w:val="center"/>
          </w:tcPr>
          <w:p>
            <w:r/>
            <w:r>
              <w:rPr>
                <w:b w:val="0"/>
                <w:sz w:val="17"/>
              </w:rPr>
              <w:t>2–4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S1-03</w:t>
            </w:r>
          </w:p>
        </w:tc>
        <w:tc>
          <w:tcPr>
            <w:tcW w:type="dxa" w:w="2880"/>
            <w:vAlign w:val="center"/>
          </w:tcPr>
          <w:p>
            <w:r/>
            <w:r>
              <w:rPr>
                <w:b w:val="0"/>
                <w:sz w:val="17"/>
              </w:rPr>
              <w:t>SM19 audit configuration visibility</w:t>
            </w:r>
          </w:p>
        </w:tc>
        <w:tc>
          <w:tcPr>
            <w:tcW w:type="dxa" w:w="3600"/>
            <w:vAlign w:val="center"/>
          </w:tcPr>
          <w:p>
            <w:r/>
            <w:r>
              <w:rPr>
                <w:b w:val="0"/>
                <w:sz w:val="17"/>
              </w:rPr>
              <w:t>Shows whether required auditing is configured</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S1-04</w:t>
            </w:r>
          </w:p>
        </w:tc>
        <w:tc>
          <w:tcPr>
            <w:tcW w:type="dxa" w:w="2880"/>
            <w:vAlign w:val="center"/>
          </w:tcPr>
          <w:p>
            <w:r/>
            <w:r>
              <w:rPr>
                <w:b w:val="0"/>
                <w:sz w:val="17"/>
              </w:rPr>
              <w:t>Normalized audit-event database</w:t>
            </w:r>
          </w:p>
        </w:tc>
        <w:tc>
          <w:tcPr>
            <w:tcW w:type="dxa" w:w="3600"/>
            <w:vAlign w:val="center"/>
          </w:tcPr>
          <w:p>
            <w:r/>
            <w:r>
              <w:rPr>
                <w:b w:val="0"/>
                <w:sz w:val="17"/>
              </w:rPr>
              <w:t>Enables fast searching and future analytics</w:t>
            </w:r>
          </w:p>
        </w:tc>
        <w:tc>
          <w:tcPr>
            <w:tcW w:type="dxa" w:w="1296"/>
            <w:vAlign w:val="center"/>
          </w:tcPr>
          <w:p>
            <w:r/>
            <w:r>
              <w:rPr>
                <w:b w:val="0"/>
                <w:sz w:val="17"/>
              </w:rPr>
              <w:t>Medium</w:t>
            </w:r>
          </w:p>
        </w:tc>
        <w:tc>
          <w:tcPr>
            <w:tcW w:type="dxa" w:w="1440"/>
            <w:vAlign w:val="center"/>
          </w:tcPr>
          <w:p>
            <w:r/>
            <w:r>
              <w:rPr>
                <w:b w:val="0"/>
                <w:sz w:val="17"/>
              </w:rPr>
              <w:t>2–3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S1-05</w:t>
            </w:r>
          </w:p>
        </w:tc>
        <w:tc>
          <w:tcPr>
            <w:tcW w:type="dxa" w:w="2880"/>
            <w:vAlign w:val="center"/>
          </w:tcPr>
          <w:p>
            <w:r/>
            <w:r>
              <w:rPr>
                <w:b w:val="0"/>
                <w:sz w:val="17"/>
              </w:rPr>
              <w:t>Transaction usage search</w:t>
            </w:r>
          </w:p>
        </w:tc>
        <w:tc>
          <w:tcPr>
            <w:tcW w:type="dxa" w:w="3600"/>
            <w:vAlign w:val="center"/>
          </w:tcPr>
          <w:p>
            <w:r/>
            <w:r>
              <w:rPr>
                <w:b w:val="0"/>
                <w:sz w:val="17"/>
              </w:rPr>
              <w:t>Answers FBL5N-type questions</w:t>
            </w:r>
          </w:p>
        </w:tc>
        <w:tc>
          <w:tcPr>
            <w:tcW w:type="dxa" w:w="1296"/>
            <w:vAlign w:val="center"/>
          </w:tcPr>
          <w:p>
            <w:r/>
            <w:r>
              <w:rPr>
                <w:b w:val="0"/>
                <w:sz w:val="17"/>
              </w:rPr>
              <w:t>Low</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S1-06</w:t>
            </w:r>
          </w:p>
        </w:tc>
        <w:tc>
          <w:tcPr>
            <w:tcW w:type="dxa" w:w="2880"/>
            <w:vAlign w:val="center"/>
          </w:tcPr>
          <w:p>
            <w:r/>
            <w:r>
              <w:rPr>
                <w:b w:val="0"/>
                <w:sz w:val="17"/>
              </w:rPr>
              <w:t>User activity search</w:t>
            </w:r>
          </w:p>
        </w:tc>
        <w:tc>
          <w:tcPr>
            <w:tcW w:type="dxa" w:w="3600"/>
            <w:vAlign w:val="center"/>
          </w:tcPr>
          <w:p>
            <w:r/>
            <w:r>
              <w:rPr>
                <w:b w:val="0"/>
                <w:sz w:val="17"/>
              </w:rPr>
              <w:t>Basic investigation capability</w:t>
            </w:r>
          </w:p>
        </w:tc>
        <w:tc>
          <w:tcPr>
            <w:tcW w:type="dxa" w:w="1296"/>
            <w:vAlign w:val="center"/>
          </w:tcPr>
          <w:p>
            <w:r/>
            <w:r>
              <w:rPr>
                <w:b w:val="0"/>
                <w:sz w:val="17"/>
              </w:rPr>
              <w:t>Low</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S1-07</w:t>
            </w:r>
          </w:p>
        </w:tc>
        <w:tc>
          <w:tcPr>
            <w:tcW w:type="dxa" w:w="2880"/>
            <w:vAlign w:val="center"/>
          </w:tcPr>
          <w:p>
            <w:r/>
            <w:r>
              <w:rPr>
                <w:b w:val="0"/>
                <w:sz w:val="17"/>
              </w:rPr>
              <w:t>Date/time/system/client filters</w:t>
            </w:r>
          </w:p>
        </w:tc>
        <w:tc>
          <w:tcPr>
            <w:tcW w:type="dxa" w:w="3600"/>
            <w:vAlign w:val="center"/>
          </w:tcPr>
          <w:p>
            <w:r/>
            <w:r>
              <w:rPr>
                <w:b w:val="0"/>
                <w:sz w:val="17"/>
              </w:rPr>
              <w:t>Essential investigation controls</w:t>
            </w:r>
          </w:p>
        </w:tc>
        <w:tc>
          <w:tcPr>
            <w:tcW w:type="dxa" w:w="1296"/>
            <w:vAlign w:val="center"/>
          </w:tcPr>
          <w:p>
            <w:r/>
            <w:r>
              <w:rPr>
                <w:b w:val="0"/>
                <w:sz w:val="17"/>
              </w:rPr>
              <w:t>Low</w:t>
            </w:r>
          </w:p>
        </w:tc>
        <w:tc>
          <w:tcPr>
            <w:tcW w:type="dxa" w:w="1440"/>
            <w:vAlign w:val="center"/>
          </w:tcPr>
          <w:p>
            <w:r/>
            <w:r>
              <w:rPr>
                <w:b w:val="0"/>
                <w:sz w:val="17"/>
              </w:rPr>
              <w:t>3–5 days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S1-08</w:t>
            </w:r>
          </w:p>
        </w:tc>
        <w:tc>
          <w:tcPr>
            <w:tcW w:type="dxa" w:w="2880"/>
            <w:vAlign w:val="center"/>
          </w:tcPr>
          <w:p>
            <w:r/>
            <w:r>
              <w:rPr>
                <w:b w:val="0"/>
                <w:sz w:val="17"/>
              </w:rPr>
              <w:t>Excel/CSV export</w:t>
            </w:r>
          </w:p>
        </w:tc>
        <w:tc>
          <w:tcPr>
            <w:tcW w:type="dxa" w:w="3600"/>
            <w:vAlign w:val="center"/>
          </w:tcPr>
          <w:p>
            <w:r/>
            <w:r>
              <w:rPr>
                <w:b w:val="0"/>
                <w:sz w:val="17"/>
              </w:rPr>
              <w:t>Immediate consultant usability</w:t>
            </w:r>
          </w:p>
        </w:tc>
        <w:tc>
          <w:tcPr>
            <w:tcW w:type="dxa" w:w="1296"/>
            <w:vAlign w:val="center"/>
          </w:tcPr>
          <w:p>
            <w:r/>
            <w:r>
              <w:rPr>
                <w:b w:val="0"/>
                <w:sz w:val="17"/>
              </w:rPr>
              <w:t>Low</w:t>
            </w:r>
          </w:p>
        </w:tc>
        <w:tc>
          <w:tcPr>
            <w:tcW w:type="dxa" w:w="1440"/>
            <w:vAlign w:val="center"/>
          </w:tcPr>
          <w:p>
            <w:r/>
            <w:r>
              <w:rPr>
                <w:b w:val="0"/>
                <w:sz w:val="17"/>
              </w:rPr>
              <w:t>3–5 days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S1-09</w:t>
            </w:r>
          </w:p>
        </w:tc>
        <w:tc>
          <w:tcPr>
            <w:tcW w:type="dxa" w:w="2880"/>
            <w:vAlign w:val="center"/>
          </w:tcPr>
          <w:p>
            <w:r/>
            <w:r>
              <w:rPr>
                <w:b w:val="0"/>
                <w:sz w:val="17"/>
              </w:rPr>
              <w:t>Basic dashboard</w:t>
            </w:r>
          </w:p>
        </w:tc>
        <w:tc>
          <w:tcPr>
            <w:tcW w:type="dxa" w:w="3600"/>
            <w:vAlign w:val="center"/>
          </w:tcPr>
          <w:p>
            <w:r/>
            <w:r>
              <w:rPr>
                <w:b w:val="0"/>
                <w:sz w:val="17"/>
              </w:rPr>
              <w:t>Management visibility</w:t>
            </w:r>
          </w:p>
        </w:tc>
        <w:tc>
          <w:tcPr>
            <w:tcW w:type="dxa" w:w="1296"/>
            <w:vAlign w:val="center"/>
          </w:tcPr>
          <w:p>
            <w:r/>
            <w:r>
              <w:rPr>
                <w:b w:val="0"/>
                <w:sz w:val="17"/>
              </w:rPr>
              <w:t>Low–Medium</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P1</w:t>
            </w:r>
          </w:p>
        </w:tc>
      </w:tr>
      <w:tr>
        <w:tc>
          <w:tcPr>
            <w:tcW w:type="dxa" w:w="864"/>
            <w:vAlign w:val="center"/>
          </w:tcPr>
          <w:p>
            <w:r/>
            <w:r>
              <w:rPr>
                <w:b w:val="0"/>
                <w:sz w:val="17"/>
              </w:rPr>
              <w:t>S1-10</w:t>
            </w:r>
          </w:p>
        </w:tc>
        <w:tc>
          <w:tcPr>
            <w:tcW w:type="dxa" w:w="2880"/>
            <w:vAlign w:val="center"/>
          </w:tcPr>
          <w:p>
            <w:r/>
            <w:r>
              <w:rPr>
                <w:b w:val="0"/>
                <w:sz w:val="17"/>
              </w:rPr>
              <w:t>Scheduled extraction</w:t>
            </w:r>
          </w:p>
        </w:tc>
        <w:tc>
          <w:tcPr>
            <w:tcW w:type="dxa" w:w="3600"/>
            <w:vAlign w:val="center"/>
          </w:tcPr>
          <w:p>
            <w:r/>
            <w:r>
              <w:rPr>
                <w:b w:val="0"/>
                <w:sz w:val="17"/>
              </w:rPr>
              <w:t>Reduces repeated manual work</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Medium</w:t>
            </w:r>
          </w:p>
        </w:tc>
        <w:tc>
          <w:tcPr>
            <w:tcW w:type="dxa" w:w="864"/>
            <w:vAlign w:val="center"/>
          </w:tcPr>
          <w:p>
            <w:r/>
            <w:r>
              <w:rPr>
                <w:b w:val="0"/>
                <w:sz w:val="17"/>
              </w:rPr>
              <w:t>P1</w:t>
            </w:r>
          </w:p>
        </w:tc>
      </w:tr>
      <w:tr>
        <w:tc>
          <w:tcPr>
            <w:tcW w:type="dxa" w:w="864"/>
            <w:vAlign w:val="center"/>
          </w:tcPr>
          <w:p>
            <w:r/>
            <w:r>
              <w:rPr>
                <w:b w:val="0"/>
                <w:sz w:val="17"/>
              </w:rPr>
              <w:t>S1-11</w:t>
            </w:r>
          </w:p>
        </w:tc>
        <w:tc>
          <w:tcPr>
            <w:tcW w:type="dxa" w:w="2880"/>
            <w:vAlign w:val="center"/>
          </w:tcPr>
          <w:p>
            <w:r/>
            <w:r>
              <w:rPr>
                <w:b w:val="0"/>
                <w:sz w:val="17"/>
              </w:rPr>
              <w:t>Query/history/audit trail</w:t>
            </w:r>
          </w:p>
        </w:tc>
        <w:tc>
          <w:tcPr>
            <w:tcW w:type="dxa" w:w="3600"/>
            <w:vAlign w:val="center"/>
          </w:tcPr>
          <w:p>
            <w:r/>
            <w:r>
              <w:rPr>
                <w:b w:val="0"/>
                <w:sz w:val="17"/>
              </w:rPr>
              <w:t>Reproducibility and governance</w:t>
            </w:r>
          </w:p>
        </w:tc>
        <w:tc>
          <w:tcPr>
            <w:tcW w:type="dxa" w:w="1296"/>
            <w:vAlign w:val="center"/>
          </w:tcPr>
          <w:p>
            <w:r/>
            <w:r>
              <w:rPr>
                <w:b w:val="0"/>
                <w:sz w:val="17"/>
              </w:rPr>
              <w:t>Low–Medium</w:t>
            </w:r>
          </w:p>
        </w:tc>
        <w:tc>
          <w:tcPr>
            <w:tcW w:type="dxa" w:w="1440"/>
            <w:vAlign w:val="center"/>
          </w:tcPr>
          <w:p>
            <w:r/>
            <w:r>
              <w:rPr>
                <w:b w:val="0"/>
                <w:sz w:val="17"/>
              </w:rPr>
              <w:t>1 week</w:t>
            </w:r>
          </w:p>
        </w:tc>
        <w:tc>
          <w:tcPr>
            <w:tcW w:type="dxa" w:w="1152"/>
            <w:vAlign w:val="center"/>
          </w:tcPr>
          <w:p>
            <w:r/>
            <w:r>
              <w:rPr>
                <w:b w:val="0"/>
                <w:sz w:val="17"/>
              </w:rPr>
              <w:t>High</w:t>
            </w:r>
          </w:p>
        </w:tc>
        <w:tc>
          <w:tcPr>
            <w:tcW w:type="dxa" w:w="864"/>
            <w:vAlign w:val="center"/>
          </w:tcPr>
          <w:p>
            <w:r/>
            <w:r>
              <w:rPr>
                <w:b w:val="0"/>
                <w:sz w:val="17"/>
              </w:rPr>
              <w:t>P1</w:t>
            </w:r>
          </w:p>
        </w:tc>
      </w:tr>
      <w:tr>
        <w:tc>
          <w:tcPr>
            <w:tcW w:type="dxa" w:w="864"/>
            <w:vAlign w:val="center"/>
          </w:tcPr>
          <w:p>
            <w:r/>
            <w:r>
              <w:rPr>
                <w:b w:val="0"/>
                <w:sz w:val="17"/>
              </w:rPr>
              <w:t>S1-12</w:t>
            </w:r>
          </w:p>
        </w:tc>
        <w:tc>
          <w:tcPr>
            <w:tcW w:type="dxa" w:w="2880"/>
            <w:vAlign w:val="center"/>
          </w:tcPr>
          <w:p>
            <w:r/>
            <w:r>
              <w:rPr>
                <w:b w:val="0"/>
                <w:sz w:val="17"/>
              </w:rPr>
              <w:t>Critical transaction catalogue</w:t>
            </w:r>
          </w:p>
        </w:tc>
        <w:tc>
          <w:tcPr>
            <w:tcW w:type="dxa" w:w="3600"/>
            <w:vAlign w:val="center"/>
          </w:tcPr>
          <w:p>
            <w:r/>
            <w:r>
              <w:rPr>
                <w:b w:val="0"/>
                <w:sz w:val="17"/>
              </w:rPr>
              <w:t>Foundation for risk analytics</w:t>
            </w:r>
          </w:p>
        </w:tc>
        <w:tc>
          <w:tcPr>
            <w:tcW w:type="dxa" w:w="1296"/>
            <w:vAlign w:val="center"/>
          </w:tcPr>
          <w:p>
            <w:r/>
            <w:r>
              <w:rPr>
                <w:b w:val="0"/>
                <w:sz w:val="17"/>
              </w:rPr>
              <w:t>Low</w:t>
            </w:r>
          </w:p>
        </w:tc>
        <w:tc>
          <w:tcPr>
            <w:tcW w:type="dxa" w:w="1440"/>
            <w:vAlign w:val="center"/>
          </w:tcPr>
          <w:p>
            <w:r/>
            <w:r>
              <w:rPr>
                <w:b w:val="0"/>
                <w:sz w:val="17"/>
              </w:rPr>
              <w:t>3–5 days</w:t>
            </w:r>
          </w:p>
        </w:tc>
        <w:tc>
          <w:tcPr>
            <w:tcW w:type="dxa" w:w="1152"/>
            <w:vAlign w:val="center"/>
          </w:tcPr>
          <w:p>
            <w:r/>
            <w:r>
              <w:rPr>
                <w:b w:val="0"/>
                <w:sz w:val="17"/>
              </w:rPr>
              <w:t>High</w:t>
            </w:r>
          </w:p>
        </w:tc>
        <w:tc>
          <w:tcPr>
            <w:tcW w:type="dxa" w:w="864"/>
            <w:vAlign w:val="center"/>
          </w:tcPr>
          <w:p>
            <w:r/>
            <w:r>
              <w:rPr>
                <w:b w:val="0"/>
                <w:sz w:val="17"/>
              </w:rPr>
              <w:t>P1</w:t>
            </w:r>
          </w:p>
        </w:tc>
      </w:tr>
    </w:tbl>
    <w:p/>
    <w:p>
      <w:pPr>
        <w:pStyle w:val="Heading3"/>
      </w:pPr>
      <w:r>
        <w:t>S1-01 — SAP Connectivity &amp; Secure Configuration</w:t>
      </w:r>
    </w:p>
    <w:p>
      <w:r>
        <w:rPr>
          <w:b/>
        </w:rPr>
        <w:t xml:space="preserve">Objective: </w:t>
      </w:r>
      <w:r>
        <w:t>Create a controlled and reusable mechanism for SAL to connect to SAP systems.</w:t>
      </w:r>
    </w:p>
    <w:p>
      <w:r>
        <w:rPr>
          <w:b/>
        </w:rPr>
        <w:t xml:space="preserve">Functionality: </w:t>
      </w:r>
      <w:r>
        <w:t>Support configured SAP system profiles containing system identifier, client, connection method, technical user and non-secret connection metadata.</w:t>
      </w:r>
    </w:p>
    <w:p>
      <w:r>
        <w:rPr>
          <w:b/>
        </w:rPr>
        <w:t xml:space="preserve">Suggested implementation: </w:t>
      </w:r>
      <w:r>
        <w:t>Prefer SAP-supported connectivity. For an initial Python implementation, evaluate SAP NetWeaver RFC SDK / PyRFC or an approved internal API layer. Keep secrets outside source code, ideally in an enterprise secret store.</w:t>
      </w:r>
    </w:p>
    <w:p>
      <w:r>
        <w:rPr>
          <w:b/>
        </w:rPr>
        <w:t xml:space="preserve">Inputs / data sources: </w:t>
      </w:r>
      <w:r>
        <w:t>SAP host, system number, client, technical user, connection credentials, optional SNC/SSO parameters.</w:t>
      </w:r>
    </w:p>
    <w:p>
      <w:r>
        <w:rPr>
          <w:b/>
        </w:rPr>
        <w:t xml:space="preserve">Expected outputs: </w:t>
      </w:r>
      <w:r>
        <w:t>Connection status, system metadata, authenticated session and connector health.</w:t>
      </w:r>
    </w:p>
    <w:p>
      <w:r>
        <w:rPr>
          <w:b/>
        </w:rPr>
        <w:t xml:space="preserve">Dependencies: </w:t>
      </w:r>
      <w:r>
        <w:t>SAP RFC/API access, network/firewall rules, technical user and authorization design.</w:t>
      </w:r>
    </w:p>
    <w:p>
      <w:r>
        <w:rPr>
          <w:b/>
        </w:rPr>
        <w:t xml:space="preserve">Complexity: </w:t>
      </w:r>
      <w:r>
        <w:t>Medium</w:t>
      </w:r>
      <w:r>
        <w:t xml:space="preserve"> | </w:t>
      </w:r>
      <w:r>
        <w:rPr>
          <w:b/>
        </w:rPr>
        <w:t xml:space="preserve">Effort: </w:t>
      </w:r>
      <w:r>
        <w:t>1–2 weeks</w:t>
      </w:r>
      <w:r>
        <w:t xml:space="preserve"> | </w:t>
      </w:r>
      <w:r>
        <w:rPr>
          <w:b/>
        </w:rPr>
        <w:t xml:space="preserve">Ease of implementation: </w:t>
      </w:r>
      <w:r>
        <w:t>Medium</w:t>
      </w:r>
    </w:p>
    <w:p>
      <w:r>
        <w:rPr>
          <w:b/>
        </w:rPr>
        <w:t xml:space="preserve">Key risks / considerations: </w:t>
      </w:r>
      <w:r>
        <w:t>Credential exposure, excessive SAP authorization, connection instability, SDK compatibility and licensing/deployment constraints.</w:t>
      </w:r>
    </w:p>
    <w:p>
      <w:r>
        <w:rPr>
          <w:b/>
        </w:rPr>
        <w:t xml:space="preserve">Acceptance criteria: </w:t>
      </w:r>
      <w:r>
        <w:t>SAL connects with a least-privileged account, validates the target system/client and logs connection failures without exposing credentials.</w:t>
      </w:r>
    </w:p>
    <w:p>
      <w:pPr>
        <w:pStyle w:val="Heading3"/>
      </w:pPr>
      <w:r>
        <w:t>S1-02 — SM20 Security Audit Log Extraction</w:t>
      </w:r>
    </w:p>
    <w:p>
      <w:r>
        <w:rPr>
          <w:b/>
        </w:rPr>
        <w:t xml:space="preserve">Objective: </w:t>
      </w:r>
      <w:r>
        <w:t>Automate retrieval of Security Audit Log events currently reviewed manually in SM20.</w:t>
      </w:r>
    </w:p>
    <w:p>
      <w:r>
        <w:rPr>
          <w:b/>
        </w:rPr>
        <w:t xml:space="preserve">Functionality: </w:t>
      </w:r>
      <w:r>
        <w:t>Allow extraction by time range, user, transaction, event type, client and system. Support incremental extraction so SAL does not repeatedly download the same period.</w:t>
      </w:r>
    </w:p>
    <w:p>
      <w:r>
        <w:rPr>
          <w:b/>
        </w:rPr>
        <w:t xml:space="preserve">Suggested implementation: </w:t>
      </w:r>
      <w:r>
        <w:t>Implement a collector abstraction: request parameters → SAP query/extraction → parser → normalized event records → database. Preserve source identifiers and extraction metadata.</w:t>
      </w:r>
    </w:p>
    <w:p>
      <w:r>
        <w:rPr>
          <w:b/>
        </w:rPr>
        <w:t xml:space="preserve">Inputs / data sources: </w:t>
      </w:r>
      <w:r>
        <w:t>SM20 Security Audit Log records and extraction parameters.</w:t>
      </w:r>
    </w:p>
    <w:p>
      <w:r>
        <w:rPr>
          <w:b/>
        </w:rPr>
        <w:t xml:space="preserve">Expected outputs: </w:t>
      </w:r>
      <w:r>
        <w:t>Normalized events, extraction statistics, errors, source metadata and collection-run identifier.</w:t>
      </w:r>
    </w:p>
    <w:p>
      <w:r>
        <w:rPr>
          <w:b/>
        </w:rPr>
        <w:t xml:space="preserve">Dependencies: </w:t>
      </w:r>
      <w:r>
        <w:t>SM20 configuration, appropriate SAP authorization, SAP release-specific behavior and log availability/retention.</w:t>
      </w:r>
    </w:p>
    <w:p>
      <w:r>
        <w:rPr>
          <w:b/>
        </w:rPr>
        <w:t xml:space="preserve">Complexity: </w:t>
      </w:r>
      <w:r>
        <w:t>Medium</w:t>
      </w:r>
      <w:r>
        <w:t xml:space="preserve"> | </w:t>
      </w:r>
      <w:r>
        <w:rPr>
          <w:b/>
        </w:rPr>
        <w:t xml:space="preserve">Effort: </w:t>
      </w:r>
      <w:r>
        <w:t>2–4 weeks</w:t>
      </w:r>
      <w:r>
        <w:t xml:space="preserve"> | </w:t>
      </w:r>
      <w:r>
        <w:rPr>
          <w:b/>
        </w:rPr>
        <w:t xml:space="preserve">Ease of implementation: </w:t>
      </w:r>
      <w:r>
        <w:t>Medium</w:t>
      </w:r>
    </w:p>
    <w:p>
      <w:r>
        <w:rPr>
          <w:b/>
        </w:rPr>
        <w:t xml:space="preserve">Key risks / considerations: </w:t>
      </w:r>
      <w:r>
        <w:t>Large log volumes, SAP release differences, time-zone handling, duplicate records, incomplete logging and performance impact on source systems.</w:t>
      </w:r>
    </w:p>
    <w:p>
      <w:r>
        <w:rPr>
          <w:b/>
        </w:rPr>
        <w:t xml:space="preserve">Acceptance criteria: </w:t>
      </w:r>
      <w:r>
        <w:t>For a selected test window, SAL returns the same relevant event population as a validated SM20 extraction and records provenance for every imported record.</w:t>
      </w:r>
    </w:p>
    <w:p>
      <w:pPr>
        <w:pStyle w:val="Heading3"/>
      </w:pPr>
      <w:r>
        <w:t>S1-03 — SM19 Audit Configuration Visibility</w:t>
      </w:r>
    </w:p>
    <w:p>
      <w:r>
        <w:rPr>
          <w:b/>
        </w:rPr>
        <w:t xml:space="preserve">Objective: </w:t>
      </w:r>
      <w:r>
        <w:t>Give consultants visibility into what the Security Audit Log is configured to record.</w:t>
      </w:r>
    </w:p>
    <w:p>
      <w:r>
        <w:rPr>
          <w:b/>
        </w:rPr>
        <w:t xml:space="preserve">Functionality: </w:t>
      </w:r>
      <w:r>
        <w:t>Display active audit configuration, relevant event categories and configuration status. Where practical, compare against a SAL baseline.</w:t>
      </w:r>
    </w:p>
    <w:p>
      <w:r>
        <w:rPr>
          <w:b/>
        </w:rPr>
        <w:t xml:space="preserve">Suggested implementation: </w:t>
      </w:r>
      <w:r>
        <w:t>Create a configuration collector separate from event collection. Store configuration snapshots with timestamp and system/client identity.</w:t>
      </w:r>
    </w:p>
    <w:p>
      <w:r>
        <w:rPr>
          <w:b/>
        </w:rPr>
        <w:t xml:space="preserve">Inputs / data sources: </w:t>
      </w:r>
      <w:r>
        <w:t>SM19 configuration data and SAP system metadata.</w:t>
      </w:r>
    </w:p>
    <w:p>
      <w:r>
        <w:rPr>
          <w:b/>
        </w:rPr>
        <w:t xml:space="preserve">Expected outputs: </w:t>
      </w:r>
      <w:r>
        <w:t>Configuration snapshot, status indicators and differences from the approved baseline.</w:t>
      </w:r>
    </w:p>
    <w:p>
      <w:r>
        <w:rPr>
          <w:b/>
        </w:rPr>
        <w:t xml:space="preserve">Dependencies: </w:t>
      </w:r>
      <w:r>
        <w:t>Read access to relevant configuration information and agreement on the organization's required audit-event baseline.</w:t>
      </w:r>
    </w:p>
    <w:p>
      <w:r>
        <w:rPr>
          <w:b/>
        </w:rPr>
        <w:t xml:space="preserve">Complexity: </w:t>
      </w:r>
      <w:r>
        <w:t>Medium</w:t>
      </w:r>
      <w:r>
        <w:t xml:space="preserve"> | </w:t>
      </w:r>
      <w:r>
        <w:rPr>
          <w:b/>
        </w:rPr>
        <w:t xml:space="preserve">Effort: </w:t>
      </w:r>
      <w:r>
        <w:t>1–2 weeks</w:t>
      </w:r>
      <w:r>
        <w:t xml:space="preserve"> | </w:t>
      </w:r>
      <w:r>
        <w:rPr>
          <w:b/>
        </w:rPr>
        <w:t xml:space="preserve">Ease of implementation: </w:t>
      </w:r>
      <w:r>
        <w:t>Medium</w:t>
      </w:r>
    </w:p>
    <w:p>
      <w:r>
        <w:rPr>
          <w:b/>
        </w:rPr>
        <w:t xml:space="preserve">Key risks / considerations: </w:t>
      </w:r>
      <w:r>
        <w:t>Configuration fields vary by SAP version; not all audit configuration details may be safely or directly retrievable in the same way.</w:t>
      </w:r>
    </w:p>
    <w:p>
      <w:r>
        <w:rPr>
          <w:b/>
        </w:rPr>
        <w:t xml:space="preserve">Acceptance criteria: </w:t>
      </w:r>
      <w:r>
        <w:t>SAL can show the current audit configuration and identify missing baseline requirements with a clear source and timestamp.</w:t>
      </w:r>
    </w:p>
    <w:p>
      <w:pPr>
        <w:pStyle w:val="Heading3"/>
      </w:pPr>
      <w:r>
        <w:t>S1-04 — Normalized Audit-Event Database</w:t>
      </w:r>
    </w:p>
    <w:p>
      <w:r>
        <w:rPr>
          <w:b/>
        </w:rPr>
        <w:t xml:space="preserve">Objective: </w:t>
      </w:r>
      <w:r>
        <w:t>Create the storage layer that makes future search and analytics fast and consistent.</w:t>
      </w:r>
    </w:p>
    <w:p>
      <w:r>
        <w:rPr>
          <w:b/>
        </w:rPr>
        <w:t xml:space="preserve">Functionality: </w:t>
      </w:r>
      <w:r>
        <w:t>Store common fields such as system, client, timestamp, user, event type, transaction, source record and collection run. Add indexes for common investigations.</w:t>
      </w:r>
    </w:p>
    <w:p>
      <w:r>
        <w:rPr>
          <w:b/>
        </w:rPr>
        <w:t xml:space="preserve">Suggested implementation: </w:t>
      </w:r>
      <w:r>
        <w:t>Use a relational database initially. Partition or archive by event date if volume warrants it. Keep raw source payload only when justified by retention and security policy.</w:t>
      </w:r>
    </w:p>
    <w:p>
      <w:r>
        <w:rPr>
          <w:b/>
        </w:rPr>
        <w:t xml:space="preserve">Inputs / data sources: </w:t>
      </w:r>
      <w:r>
        <w:t>Normalized SM20 records and metadata.</w:t>
      </w:r>
    </w:p>
    <w:p>
      <w:r>
        <w:rPr>
          <w:b/>
        </w:rPr>
        <w:t xml:space="preserve">Expected outputs: </w:t>
      </w:r>
      <w:r>
        <w:t>Searchable event store with collection provenance and retention metadata.</w:t>
      </w:r>
    </w:p>
    <w:p>
      <w:r>
        <w:rPr>
          <w:b/>
        </w:rPr>
        <w:t xml:space="preserve">Dependencies: </w:t>
      </w:r>
      <w:r>
        <w:t>Database infrastructure, retention policy and data classification.</w:t>
      </w:r>
    </w:p>
    <w:p>
      <w:r>
        <w:rPr>
          <w:b/>
        </w:rPr>
        <w:t xml:space="preserve">Complexity: </w:t>
      </w:r>
      <w:r>
        <w:t>Medium</w:t>
      </w:r>
      <w:r>
        <w:t xml:space="preserve"> | </w:t>
      </w:r>
      <w:r>
        <w:rPr>
          <w:b/>
        </w:rPr>
        <w:t xml:space="preserve">Effort: </w:t>
      </w:r>
      <w:r>
        <w:t>2–3 weeks</w:t>
      </w:r>
      <w:r>
        <w:t xml:space="preserve"> | </w:t>
      </w:r>
      <w:r>
        <w:rPr>
          <w:b/>
        </w:rPr>
        <w:t xml:space="preserve">Ease of implementation: </w:t>
      </w:r>
      <w:r>
        <w:t>Medium</w:t>
      </w:r>
    </w:p>
    <w:p>
      <w:r>
        <w:rPr>
          <w:b/>
        </w:rPr>
        <w:t xml:space="preserve">Key risks / considerations: </w:t>
      </w:r>
      <w:r>
        <w:t>Data volume, indexing strategy, sensitive-data exposure, backup/restore and retention cost.</w:t>
      </w:r>
    </w:p>
    <w:p>
      <w:r>
        <w:rPr>
          <w:b/>
        </w:rPr>
        <w:t xml:space="preserve">Acceptance criteria: </w:t>
      </w:r>
      <w:r>
        <w:t>Common SAL queries return results without querying SAP live for every user interaction, while preserving source traceability.</w:t>
      </w:r>
    </w:p>
    <w:p>
      <w:pPr>
        <w:pStyle w:val="Heading3"/>
      </w:pPr>
      <w:r>
        <w:t>S1-05 — Transaction Usage Search</w:t>
      </w:r>
    </w:p>
    <w:p>
      <w:r>
        <w:rPr>
          <w:b/>
        </w:rPr>
        <w:t xml:space="preserve">Objective: </w:t>
      </w:r>
      <w:r>
        <w:t>Provide the flagship initial use case: identify who executed a transaction in a specified period.</w:t>
      </w:r>
    </w:p>
    <w:p>
      <w:r>
        <w:rPr>
          <w:b/>
        </w:rPr>
        <w:t xml:space="preserve">Functionality: </w:t>
      </w:r>
      <w:r>
        <w:t>Support queries such as: users who used FBL5N in the last 7 days; number of executions by user; first/last usage; usage by system/client.</w:t>
      </w:r>
    </w:p>
    <w:p>
      <w:r>
        <w:rPr>
          <w:b/>
        </w:rPr>
        <w:t xml:space="preserve">Suggested implementation: </w:t>
      </w:r>
      <w:r>
        <w:t>Create a query service with validated parameters and prebuilt transaction-usage query templates.</w:t>
      </w:r>
    </w:p>
    <w:p>
      <w:r>
        <w:rPr>
          <w:b/>
        </w:rPr>
        <w:t xml:space="preserve">Inputs / data sources: </w:t>
      </w:r>
      <w:r>
        <w:t>Normalized SM20 transaction events.</w:t>
      </w:r>
    </w:p>
    <w:p>
      <w:r>
        <w:rPr>
          <w:b/>
        </w:rPr>
        <w:t xml:space="preserve">Expected outputs: </w:t>
      </w:r>
      <w:r>
        <w:t>User list, counts, timestamps, system/client and exportable detail rows.</w:t>
      </w:r>
    </w:p>
    <w:p>
      <w:r>
        <w:rPr>
          <w:b/>
        </w:rPr>
        <w:t xml:space="preserve">Dependencies: </w:t>
      </w:r>
      <w:r>
        <w:t>Reliable transaction-start events and correct event classification.</w:t>
      </w:r>
    </w:p>
    <w:p>
      <w:r>
        <w:rPr>
          <w:b/>
        </w:rPr>
        <w:t xml:space="preserve">Complexity: </w:t>
      </w:r>
      <w:r>
        <w:t>Low</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Event semantics must be validated; a logged transaction start should not automatically be interpreted as successful business completion.</w:t>
      </w:r>
    </w:p>
    <w:p>
      <w:r>
        <w:rPr>
          <w:b/>
        </w:rPr>
        <w:t xml:space="preserve">Acceptance criteria: </w:t>
      </w:r>
      <w:r>
        <w:t>For a defined test dataset, the FBL5N query returns accurate users, counts and timestamps for the requested window.</w:t>
      </w:r>
    </w:p>
    <w:p>
      <w:pPr>
        <w:pStyle w:val="Heading3"/>
      </w:pPr>
      <w:r>
        <w:t>S1-06 — User Activity Search</w:t>
      </w:r>
    </w:p>
    <w:p>
      <w:r>
        <w:rPr>
          <w:b/>
        </w:rPr>
        <w:t xml:space="preserve">Objective: </w:t>
      </w:r>
      <w:r>
        <w:t>Allow consultants to search audit activity by SAP user.</w:t>
      </w:r>
    </w:p>
    <w:p>
      <w:r>
        <w:rPr>
          <w:b/>
        </w:rPr>
        <w:t xml:space="preserve">Functionality: </w:t>
      </w:r>
      <w:r>
        <w:t>Support user-centric queries, including all captured events, selected event types, transaction activity and failed/successful login events where available.</w:t>
      </w:r>
    </w:p>
    <w:p>
      <w:r>
        <w:rPr>
          <w:b/>
        </w:rPr>
        <w:t xml:space="preserve">Suggested implementation: </w:t>
      </w:r>
      <w:r>
        <w:t>Create a user investigation query template over the normalized event store.</w:t>
      </w:r>
    </w:p>
    <w:p>
      <w:r>
        <w:rPr>
          <w:b/>
        </w:rPr>
        <w:t xml:space="preserve">Inputs / data sources: </w:t>
      </w:r>
      <w:r>
        <w:t>User ID and audit events.</w:t>
      </w:r>
    </w:p>
    <w:p>
      <w:r>
        <w:rPr>
          <w:b/>
        </w:rPr>
        <w:t xml:space="preserve">Expected outputs: </w:t>
      </w:r>
      <w:r>
        <w:t>Chronological event list, counts and filtering options.</w:t>
      </w:r>
    </w:p>
    <w:p>
      <w:r>
        <w:rPr>
          <w:b/>
        </w:rPr>
        <w:t xml:space="preserve">Dependencies: </w:t>
      </w:r>
      <w:r>
        <w:t>User normalization and reliable timestamps.</w:t>
      </w:r>
    </w:p>
    <w:p>
      <w:r>
        <w:rPr>
          <w:b/>
        </w:rPr>
        <w:t xml:space="preserve">Complexity: </w:t>
      </w:r>
      <w:r>
        <w:t>Low</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User IDs can be reused or changed according to organizational practices; historical identity mapping should be considered.</w:t>
      </w:r>
    </w:p>
    <w:p>
      <w:r>
        <w:rPr>
          <w:b/>
        </w:rPr>
        <w:t xml:space="preserve">Acceptance criteria: </w:t>
      </w:r>
      <w:r>
        <w:t>A consultant can retrieve a chronological activity view for a selected user and time window.</w:t>
      </w:r>
    </w:p>
    <w:p>
      <w:pPr>
        <w:pStyle w:val="Heading3"/>
      </w:pPr>
      <w:r>
        <w:t>S1-07 — Time, System, Client and Event Filters</w:t>
      </w:r>
    </w:p>
    <w:p>
      <w:r>
        <w:rPr>
          <w:b/>
        </w:rPr>
        <w:t xml:space="preserve">Objective: </w:t>
      </w:r>
      <w:r>
        <w:t>Make the audit search practical for daily consulting work.</w:t>
      </w:r>
    </w:p>
    <w:p>
      <w:r>
        <w:rPr>
          <w:b/>
        </w:rPr>
        <w:t xml:space="preserve">Functionality: </w:t>
      </w:r>
      <w:r>
        <w:t>Filters for date range, time range, SAP system, client, user, transaction, event type and optional host/terminal attributes.</w:t>
      </w:r>
    </w:p>
    <w:p>
      <w:r>
        <w:rPr>
          <w:b/>
        </w:rPr>
        <w:t xml:space="preserve">Suggested implementation: </w:t>
      </w:r>
      <w:r>
        <w:t>Build filters into a common query object rather than implementing separate filters for every report.</w:t>
      </w:r>
    </w:p>
    <w:p>
      <w:r>
        <w:rPr>
          <w:b/>
        </w:rPr>
        <w:t xml:space="preserve">Inputs / data sources: </w:t>
      </w:r>
      <w:r>
        <w:t>Normalized event fields.</w:t>
      </w:r>
    </w:p>
    <w:p>
      <w:r>
        <w:rPr>
          <w:b/>
        </w:rPr>
        <w:t xml:space="preserve">Expected outputs: </w:t>
      </w:r>
      <w:r>
        <w:t>Fast, combinable search results.</w:t>
      </w:r>
    </w:p>
    <w:p>
      <w:r>
        <w:rPr>
          <w:b/>
        </w:rPr>
        <w:t xml:space="preserve">Dependencies: </w:t>
      </w:r>
      <w:r>
        <w:t>Indexed database fields and UI query validation.</w:t>
      </w:r>
    </w:p>
    <w:p>
      <w:r>
        <w:rPr>
          <w:b/>
        </w:rPr>
        <w:t xml:space="preserve">Complexity: </w:t>
      </w:r>
      <w:r>
        <w:t>Low</w:t>
      </w:r>
      <w:r>
        <w:t xml:space="preserve"> | </w:t>
      </w:r>
      <w:r>
        <w:rPr>
          <w:b/>
        </w:rPr>
        <w:t xml:space="preserve">Effort: </w:t>
      </w:r>
      <w:r>
        <w:t>3–5 days</w:t>
      </w:r>
      <w:r>
        <w:t xml:space="preserve"> | </w:t>
      </w:r>
      <w:r>
        <w:rPr>
          <w:b/>
        </w:rPr>
        <w:t xml:space="preserve">Ease of implementation: </w:t>
      </w:r>
      <w:r>
        <w:t>High</w:t>
      </w:r>
    </w:p>
    <w:p>
      <w:r>
        <w:rPr>
          <w:b/>
        </w:rPr>
        <w:t xml:space="preserve">Key risks / considerations: </w:t>
      </w:r>
      <w:r>
        <w:t>Incorrect time-zone interpretation is a major audit risk.</w:t>
      </w:r>
    </w:p>
    <w:p>
      <w:r>
        <w:rPr>
          <w:b/>
        </w:rPr>
        <w:t xml:space="preserve">Acceptance criteria: </w:t>
      </w:r>
      <w:r>
        <w:t>Filters are combinable, validated and consistently interpreted in the configured system time zone.</w:t>
      </w:r>
    </w:p>
    <w:p>
      <w:pPr>
        <w:pStyle w:val="Heading3"/>
      </w:pPr>
      <w:r>
        <w:t>S1-08 — Export &amp; Report Generation</w:t>
      </w:r>
    </w:p>
    <w:p>
      <w:r>
        <w:rPr>
          <w:b/>
        </w:rPr>
        <w:t xml:space="preserve">Objective: </w:t>
      </w:r>
      <w:r>
        <w:t>Make SAL outputs immediately usable by consultants and auditors.</w:t>
      </w:r>
    </w:p>
    <w:p>
      <w:r>
        <w:rPr>
          <w:b/>
        </w:rPr>
        <w:t xml:space="preserve">Functionality: </w:t>
      </w:r>
      <w:r>
        <w:t>Export filtered results to XLSX and CSV initially; add PDF summary later if useful.</w:t>
      </w:r>
    </w:p>
    <w:p>
      <w:r>
        <w:rPr>
          <w:b/>
        </w:rPr>
        <w:t xml:space="preserve">Suggested implementation: </w:t>
      </w:r>
      <w:r>
        <w:t>Use a standardized report schema including query scope, generated timestamp, source systems, record counts and evidence details.</w:t>
      </w:r>
    </w:p>
    <w:p>
      <w:r>
        <w:rPr>
          <w:b/>
        </w:rPr>
        <w:t xml:space="preserve">Inputs / data sources: </w:t>
      </w:r>
      <w:r>
        <w:t>SAL query results.</w:t>
      </w:r>
    </w:p>
    <w:p>
      <w:r>
        <w:rPr>
          <w:b/>
        </w:rPr>
        <w:t xml:space="preserve">Expected outputs: </w:t>
      </w:r>
      <w:r>
        <w:t>Audit-ready spreadsheet/CSV and optional summary report.</w:t>
      </w:r>
    </w:p>
    <w:p>
      <w:r>
        <w:rPr>
          <w:b/>
        </w:rPr>
        <w:t xml:space="preserve">Dependencies: </w:t>
      </w:r>
      <w:r>
        <w:t>Approved report formats and internal retention rules.</w:t>
      </w:r>
    </w:p>
    <w:p>
      <w:r>
        <w:rPr>
          <w:b/>
        </w:rPr>
        <w:t xml:space="preserve">Complexity: </w:t>
      </w:r>
      <w:r>
        <w:t>Low</w:t>
      </w:r>
      <w:r>
        <w:t xml:space="preserve"> | </w:t>
      </w:r>
      <w:r>
        <w:rPr>
          <w:b/>
        </w:rPr>
        <w:t xml:space="preserve">Effort: </w:t>
      </w:r>
      <w:r>
        <w:t>3–5 days</w:t>
      </w:r>
      <w:r>
        <w:t xml:space="preserve"> | </w:t>
      </w:r>
      <w:r>
        <w:rPr>
          <w:b/>
        </w:rPr>
        <w:t xml:space="preserve">Ease of implementation: </w:t>
      </w:r>
      <w:r>
        <w:t>High</w:t>
      </w:r>
    </w:p>
    <w:p>
      <w:r>
        <w:rPr>
          <w:b/>
        </w:rPr>
        <w:t xml:space="preserve">Key risks / considerations: </w:t>
      </w:r>
      <w:r>
        <w:t>Exported audit data may contain sensitive information and must inherit access controls.</w:t>
      </w:r>
    </w:p>
    <w:p>
      <w:r>
        <w:rPr>
          <w:b/>
        </w:rPr>
        <w:t xml:space="preserve">Acceptance criteria: </w:t>
      </w:r>
      <w:r>
        <w:t>Exports contain the same data as the on-screen result and clearly document scope and generation time.</w:t>
      </w:r>
    </w:p>
    <w:p>
      <w:pPr>
        <w:pStyle w:val="Heading3"/>
      </w:pPr>
      <w:r>
        <w:t>S1-09 — Basic Security Audit Dashboard</w:t>
      </w:r>
    </w:p>
    <w:p>
      <w:r>
        <w:rPr>
          <w:b/>
        </w:rPr>
        <w:t xml:space="preserve">Objective: </w:t>
      </w:r>
      <w:r>
        <w:t>Give security teams a high-level view without running individual queries.</w:t>
      </w:r>
    </w:p>
    <w:p>
      <w:r>
        <w:rPr>
          <w:b/>
        </w:rPr>
        <w:t xml:space="preserve">Functionality: </w:t>
      </w:r>
      <w:r>
        <w:t>Show total events, logon failures, transaction activity, critical-transaction usage and activity trends for selected periods.</w:t>
      </w:r>
    </w:p>
    <w:p>
      <w:r>
        <w:rPr>
          <w:b/>
        </w:rPr>
        <w:t xml:space="preserve">Suggested implementation: </w:t>
      </w:r>
      <w:r>
        <w:t>Build dashboard widgets over pre-aggregated or indexed event data.</w:t>
      </w:r>
    </w:p>
    <w:p>
      <w:r>
        <w:rPr>
          <w:b/>
        </w:rPr>
        <w:t xml:space="preserve">Inputs / data sources: </w:t>
      </w:r>
      <w:r>
        <w:t>Normalized audit events.</w:t>
      </w:r>
    </w:p>
    <w:p>
      <w:r>
        <w:rPr>
          <w:b/>
        </w:rPr>
        <w:t xml:space="preserve">Expected outputs: </w:t>
      </w:r>
      <w:r>
        <w:t>Charts, counts and drill-down links to the underlying event set.</w:t>
      </w:r>
    </w:p>
    <w:p>
      <w:r>
        <w:rPr>
          <w:b/>
        </w:rPr>
        <w:t xml:space="preserve">Dependencies: </w:t>
      </w:r>
      <w:r>
        <w:t>Database indexing and UI framework.</w:t>
      </w:r>
    </w:p>
    <w:p>
      <w:r>
        <w:rPr>
          <w:b/>
        </w:rPr>
        <w:t xml:space="preserve">Complexity: </w:t>
      </w:r>
      <w:r>
        <w:t>Low–Medium</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Dashboards can create misleading interpretations if event coverage is incomplete.</w:t>
      </w:r>
    </w:p>
    <w:p>
      <w:r>
        <w:rPr>
          <w:b/>
        </w:rPr>
        <w:t xml:space="preserve">Acceptance criteria: </w:t>
      </w:r>
      <w:r>
        <w:t>Every dashboard metric has a defined formula, time scope and data-coverage disclaimer.</w:t>
      </w:r>
    </w:p>
    <w:p>
      <w:pPr>
        <w:pStyle w:val="Heading3"/>
      </w:pPr>
      <w:r>
        <w:t>S1-10 — Scheduled Collection</w:t>
      </w:r>
    </w:p>
    <w:p>
      <w:r>
        <w:rPr>
          <w:b/>
        </w:rPr>
        <w:t xml:space="preserve">Objective: </w:t>
      </w:r>
      <w:r>
        <w:t>Move from manually triggered reports toward continuously available data.</w:t>
      </w:r>
    </w:p>
    <w:p>
      <w:r>
        <w:rPr>
          <w:b/>
        </w:rPr>
        <w:t xml:space="preserve">Functionality: </w:t>
      </w:r>
      <w:r>
        <w:t>Run incremental SM20 collection on a schedule and retry failed runs.</w:t>
      </w:r>
    </w:p>
    <w:p>
      <w:r>
        <w:rPr>
          <w:b/>
        </w:rPr>
        <w:t xml:space="preserve">Suggested implementation: </w:t>
      </w:r>
      <w:r>
        <w:t>Implement a job scheduler with collection windows, checkpoints, retries, idempotency and monitoring.</w:t>
      </w:r>
    </w:p>
    <w:p>
      <w:r>
        <w:rPr>
          <w:b/>
        </w:rPr>
        <w:t xml:space="preserve">Inputs / data sources: </w:t>
      </w:r>
      <w:r>
        <w:t>Collector configuration and previous run state.</w:t>
      </w:r>
    </w:p>
    <w:p>
      <w:r>
        <w:rPr>
          <w:b/>
        </w:rPr>
        <w:t xml:space="preserve">Expected outputs: </w:t>
      </w:r>
      <w:r>
        <w:t>Scheduled collection runs, status and error logs.</w:t>
      </w:r>
    </w:p>
    <w:p>
      <w:r>
        <w:rPr>
          <w:b/>
        </w:rPr>
        <w:t xml:space="preserve">Dependencies: </w:t>
      </w:r>
      <w:r>
        <w:t>Scheduler infrastructure and operational monitoring.</w:t>
      </w:r>
    </w:p>
    <w:p>
      <w:r>
        <w:rPr>
          <w:b/>
        </w:rPr>
        <w:t xml:space="preserve">Complexity: </w:t>
      </w:r>
      <w:r>
        <w:t>Medium</w:t>
      </w:r>
      <w:r>
        <w:t xml:space="preserve"> | </w:t>
      </w:r>
      <w:r>
        <w:rPr>
          <w:b/>
        </w:rPr>
        <w:t xml:space="preserve">Effort: </w:t>
      </w:r>
      <w:r>
        <w:t>1–2 weeks</w:t>
      </w:r>
      <w:r>
        <w:t xml:space="preserve"> | </w:t>
      </w:r>
      <w:r>
        <w:rPr>
          <w:b/>
        </w:rPr>
        <w:t xml:space="preserve">Ease of implementation: </w:t>
      </w:r>
      <w:r>
        <w:t>Medium</w:t>
      </w:r>
    </w:p>
    <w:p>
      <w:r>
        <w:rPr>
          <w:b/>
        </w:rPr>
        <w:t xml:space="preserve">Key risks / considerations: </w:t>
      </w:r>
      <w:r>
        <w:t>Missed windows, duplicate events and source-system load.</w:t>
      </w:r>
    </w:p>
    <w:p>
      <w:r>
        <w:rPr>
          <w:b/>
        </w:rPr>
        <w:t xml:space="preserve">Acceptance criteria: </w:t>
      </w:r>
      <w:r>
        <w:t>A scheduled job can resume after failure without duplicating events and provides a clear success/failure state.</w:t>
      </w:r>
    </w:p>
    <w:p>
      <w:pPr>
        <w:pStyle w:val="Heading3"/>
      </w:pPr>
      <w:r>
        <w:t>S1-11 — Query History &amp; Audit Trail</w:t>
      </w:r>
    </w:p>
    <w:p>
      <w:r>
        <w:rPr>
          <w:b/>
        </w:rPr>
        <w:t xml:space="preserve">Objective: </w:t>
      </w:r>
      <w:r>
        <w:t>Make SAL usage itself auditable.</w:t>
      </w:r>
    </w:p>
    <w:p>
      <w:r>
        <w:rPr>
          <w:b/>
        </w:rPr>
        <w:t xml:space="preserve">Functionality: </w:t>
      </w:r>
      <w:r>
        <w:t>Record who searched what, when, against which systems, and what report was generated.</w:t>
      </w:r>
    </w:p>
    <w:p>
      <w:r>
        <w:rPr>
          <w:b/>
        </w:rPr>
        <w:t xml:space="preserve">Suggested implementation: </w:t>
      </w:r>
      <w:r>
        <w:t>Implement an application audit table separate from SAP event data.</w:t>
      </w:r>
    </w:p>
    <w:p>
      <w:r>
        <w:rPr>
          <w:b/>
        </w:rPr>
        <w:t xml:space="preserve">Inputs / data sources: </w:t>
      </w:r>
      <w:r>
        <w:t>SAL user identity and query metadata.</w:t>
      </w:r>
    </w:p>
    <w:p>
      <w:r>
        <w:rPr>
          <w:b/>
        </w:rPr>
        <w:t xml:space="preserve">Expected outputs: </w:t>
      </w:r>
      <w:r>
        <w:t>Search history, report generation history and administrative audit trail.</w:t>
      </w:r>
    </w:p>
    <w:p>
      <w:r>
        <w:rPr>
          <w:b/>
        </w:rPr>
        <w:t xml:space="preserve">Dependencies: </w:t>
      </w:r>
      <w:r>
        <w:t>Authentication and RBAC.</w:t>
      </w:r>
    </w:p>
    <w:p>
      <w:r>
        <w:rPr>
          <w:b/>
        </w:rPr>
        <w:t xml:space="preserve">Complexity: </w:t>
      </w:r>
      <w:r>
        <w:t>Low–Medium</w:t>
      </w:r>
      <w:r>
        <w:t xml:space="preserve"> | </w:t>
      </w:r>
      <w:r>
        <w:rPr>
          <w:b/>
        </w:rPr>
        <w:t xml:space="preserve">Effort: </w:t>
      </w:r>
      <w:r>
        <w:t>1 week</w:t>
      </w:r>
      <w:r>
        <w:t xml:space="preserve"> | </w:t>
      </w:r>
      <w:r>
        <w:rPr>
          <w:b/>
        </w:rPr>
        <w:t xml:space="preserve">Ease of implementation: </w:t>
      </w:r>
      <w:r>
        <w:t>High</w:t>
      </w:r>
    </w:p>
    <w:p>
      <w:r>
        <w:rPr>
          <w:b/>
        </w:rPr>
        <w:t xml:space="preserve">Key risks / considerations: </w:t>
      </w:r>
      <w:r>
        <w:t>SAL itself processes sensitive security data, so its own access must be auditable.</w:t>
      </w:r>
    </w:p>
    <w:p>
      <w:r>
        <w:rPr>
          <w:b/>
        </w:rPr>
        <w:t xml:space="preserve">Acceptance criteria: </w:t>
      </w:r>
      <w:r>
        <w:t>Administrators can reconstruct who accessed sensitive audit data and when without storing unnecessary secrets.</w:t>
      </w:r>
    </w:p>
    <w:p>
      <w:pPr>
        <w:pStyle w:val="Heading3"/>
      </w:pPr>
      <w:r>
        <w:t>S1-12 — Critical Transaction Catalogue</w:t>
      </w:r>
    </w:p>
    <w:p>
      <w:r>
        <w:rPr>
          <w:b/>
        </w:rPr>
        <w:t xml:space="preserve">Objective: </w:t>
      </w:r>
      <w:r>
        <w:t>Create the baseline classification required for later risk analytics.</w:t>
      </w:r>
    </w:p>
    <w:p>
      <w:r>
        <w:rPr>
          <w:b/>
        </w:rPr>
        <w:t xml:space="preserve">Functionality: </w:t>
      </w:r>
      <w:r>
        <w:t>Maintain configurable lists such as critical, high-risk and normal transactions, with business rationale.</w:t>
      </w:r>
    </w:p>
    <w:p>
      <w:r>
        <w:rPr>
          <w:b/>
        </w:rPr>
        <w:t xml:space="preserve">Suggested implementation: </w:t>
      </w:r>
      <w:r>
        <w:t>Store classifications in a configuration table rather than hard-coding them. Support customer-specific Z transactions.</w:t>
      </w:r>
    </w:p>
    <w:p>
      <w:r>
        <w:rPr>
          <w:b/>
        </w:rPr>
        <w:t xml:space="preserve">Inputs / data sources: </w:t>
      </w:r>
      <w:r>
        <w:t>Transaction catalogue and optional business descriptions.</w:t>
      </w:r>
    </w:p>
    <w:p>
      <w:r>
        <w:rPr>
          <w:b/>
        </w:rPr>
        <w:t xml:space="preserve">Expected outputs: </w:t>
      </w:r>
      <w:r>
        <w:t>Risk category available to every transaction event.</w:t>
      </w:r>
    </w:p>
    <w:p>
      <w:r>
        <w:rPr>
          <w:b/>
        </w:rPr>
        <w:t xml:space="preserve">Dependencies: </w:t>
      </w:r>
      <w:r>
        <w:t>Security governance and customer-specific classification.</w:t>
      </w:r>
    </w:p>
    <w:p>
      <w:r>
        <w:rPr>
          <w:b/>
        </w:rPr>
        <w:t xml:space="preserve">Complexity: </w:t>
      </w:r>
      <w:r>
        <w:t>Low</w:t>
      </w:r>
      <w:r>
        <w:t xml:space="preserve"> | </w:t>
      </w:r>
      <w:r>
        <w:rPr>
          <w:b/>
        </w:rPr>
        <w:t xml:space="preserve">Effort: </w:t>
      </w:r>
      <w:r>
        <w:t>3–5 days</w:t>
      </w:r>
      <w:r>
        <w:t xml:space="preserve"> | </w:t>
      </w:r>
      <w:r>
        <w:rPr>
          <w:b/>
        </w:rPr>
        <w:t xml:space="preserve">Ease of implementation: </w:t>
      </w:r>
      <w:r>
        <w:t>High</w:t>
      </w:r>
    </w:p>
    <w:p>
      <w:r>
        <w:rPr>
          <w:b/>
        </w:rPr>
        <w:t xml:space="preserve">Key risks / considerations: </w:t>
      </w:r>
      <w:r>
        <w:t>Transaction criticality is organization-specific; classifications should not be presented as universal truth.</w:t>
      </w:r>
    </w:p>
    <w:p>
      <w:r>
        <w:rPr>
          <w:b/>
        </w:rPr>
        <w:t xml:space="preserve">Acceptance criteria: </w:t>
      </w:r>
      <w:r>
        <w:t>Administrators can add/change classifications and every risk report references the current classification version.</w:t>
      </w:r>
    </w:p>
    <w:p>
      <w:pPr>
        <w:pStyle w:val="Heading2"/>
      </w:pPr>
      <w:r>
        <w:t>Stage 1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center"/>
            <w:shd w:fill="D9EAF7"/>
          </w:tcPr>
          <w:p>
            <w:r/>
            <w:r>
              <w:rPr>
                <w:b/>
                <w:sz w:val="17"/>
              </w:rPr>
              <w:t>Area</w:t>
            </w:r>
          </w:p>
        </w:tc>
        <w:tc>
          <w:tcPr>
            <w:tcW w:type="dxa" w:w="3888"/>
            <w:vAlign w:val="center"/>
            <w:shd w:fill="D9EAF7"/>
          </w:tcPr>
          <w:p>
            <w:r/>
            <w:r>
              <w:rPr>
                <w:b/>
                <w:sz w:val="17"/>
              </w:rPr>
              <w:t>Requirement</w:t>
            </w:r>
          </w:p>
        </w:tc>
        <w:tc>
          <w:tcPr>
            <w:tcW w:type="dxa" w:w="5328"/>
            <w:vAlign w:val="center"/>
            <w:shd w:fill="D9EAF7"/>
          </w:tcPr>
          <w:p>
            <w:r/>
            <w:r>
              <w:rPr>
                <w:b/>
                <w:sz w:val="17"/>
              </w:rPr>
              <w:t>Recommendation</w:t>
            </w:r>
          </w:p>
        </w:tc>
      </w:tr>
      <w:tr>
        <w:tc>
          <w:tcPr>
            <w:tcW w:type="dxa" w:w="1728"/>
            <w:vAlign w:val="center"/>
          </w:tcPr>
          <w:p>
            <w:r/>
            <w:r>
              <w:rPr>
                <w:b w:val="0"/>
                <w:sz w:val="17"/>
              </w:rPr>
              <w:t>Authentication</w:t>
            </w:r>
          </w:p>
        </w:tc>
        <w:tc>
          <w:tcPr>
            <w:tcW w:type="dxa" w:w="3888"/>
            <w:vAlign w:val="center"/>
          </w:tcPr>
          <w:p>
            <w:r/>
            <w:r>
              <w:rPr>
                <w:b w:val="0"/>
                <w:sz w:val="17"/>
              </w:rPr>
              <w:t>Only authorized SAL users can access audit data.</w:t>
            </w:r>
          </w:p>
        </w:tc>
        <w:tc>
          <w:tcPr>
            <w:tcW w:type="dxa" w:w="5328"/>
            <w:vAlign w:val="center"/>
          </w:tcPr>
          <w:p>
            <w:r/>
            <w:r>
              <w:rPr>
                <w:b w:val="0"/>
                <w:sz w:val="17"/>
              </w:rPr>
              <w:t>Start with enterprise AD/SSO if available; otherwise secure application authentication with MFA capability planned.</w:t>
            </w:r>
          </w:p>
        </w:tc>
      </w:tr>
      <w:tr>
        <w:tc>
          <w:tcPr>
            <w:tcW w:type="dxa" w:w="1728"/>
            <w:vAlign w:val="center"/>
          </w:tcPr>
          <w:p>
            <w:r/>
            <w:r>
              <w:rPr>
                <w:b w:val="0"/>
                <w:sz w:val="17"/>
              </w:rPr>
              <w:t>Authorization</w:t>
            </w:r>
          </w:p>
        </w:tc>
        <w:tc>
          <w:tcPr>
            <w:tcW w:type="dxa" w:w="3888"/>
            <w:vAlign w:val="center"/>
          </w:tcPr>
          <w:p>
            <w:r/>
            <w:r>
              <w:rPr>
                <w:b w:val="0"/>
                <w:sz w:val="17"/>
              </w:rPr>
              <w:t>Not every consultant should see every system/client.</w:t>
            </w:r>
          </w:p>
        </w:tc>
        <w:tc>
          <w:tcPr>
            <w:tcW w:type="dxa" w:w="5328"/>
            <w:vAlign w:val="center"/>
          </w:tcPr>
          <w:p>
            <w:r/>
            <w:r>
              <w:rPr>
                <w:b w:val="0"/>
                <w:sz w:val="17"/>
              </w:rPr>
              <w:t>Implement RBAC plus system/client scope.</w:t>
            </w:r>
          </w:p>
        </w:tc>
      </w:tr>
      <w:tr>
        <w:tc>
          <w:tcPr>
            <w:tcW w:type="dxa" w:w="1728"/>
            <w:vAlign w:val="center"/>
          </w:tcPr>
          <w:p>
            <w:r/>
            <w:r>
              <w:rPr>
                <w:b w:val="0"/>
                <w:sz w:val="17"/>
              </w:rPr>
              <w:t>Secrets</w:t>
            </w:r>
          </w:p>
        </w:tc>
        <w:tc>
          <w:tcPr>
            <w:tcW w:type="dxa" w:w="3888"/>
            <w:vAlign w:val="center"/>
          </w:tcPr>
          <w:p>
            <w:r/>
            <w:r>
              <w:rPr>
                <w:b w:val="0"/>
                <w:sz w:val="17"/>
              </w:rPr>
              <w:t>SAP passwords and keys must not be in source code.</w:t>
            </w:r>
          </w:p>
        </w:tc>
        <w:tc>
          <w:tcPr>
            <w:tcW w:type="dxa" w:w="5328"/>
            <w:vAlign w:val="center"/>
          </w:tcPr>
          <w:p>
            <w:r/>
            <w:r>
              <w:rPr>
                <w:b w:val="0"/>
                <w:sz w:val="17"/>
              </w:rPr>
              <w:t>Use environment-based secrets for MVP and migrate to an enterprise vault.</w:t>
            </w:r>
          </w:p>
        </w:tc>
      </w:tr>
      <w:tr>
        <w:tc>
          <w:tcPr>
            <w:tcW w:type="dxa" w:w="1728"/>
            <w:vAlign w:val="center"/>
          </w:tcPr>
          <w:p>
            <w:r/>
            <w:r>
              <w:rPr>
                <w:b w:val="0"/>
                <w:sz w:val="17"/>
              </w:rPr>
              <w:t>Encryption</w:t>
            </w:r>
          </w:p>
        </w:tc>
        <w:tc>
          <w:tcPr>
            <w:tcW w:type="dxa" w:w="3888"/>
            <w:vAlign w:val="center"/>
          </w:tcPr>
          <w:p>
            <w:r/>
            <w:r>
              <w:rPr>
                <w:b w:val="0"/>
                <w:sz w:val="17"/>
              </w:rPr>
              <w:t>Audit data is sensitive.</w:t>
            </w:r>
          </w:p>
        </w:tc>
        <w:tc>
          <w:tcPr>
            <w:tcW w:type="dxa" w:w="5328"/>
            <w:vAlign w:val="center"/>
          </w:tcPr>
          <w:p>
            <w:r/>
            <w:r>
              <w:rPr>
                <w:b w:val="0"/>
                <w:sz w:val="17"/>
              </w:rPr>
              <w:t>TLS in transit and encryption at rest.</w:t>
            </w:r>
          </w:p>
        </w:tc>
      </w:tr>
      <w:tr>
        <w:tc>
          <w:tcPr>
            <w:tcW w:type="dxa" w:w="1728"/>
            <w:vAlign w:val="center"/>
          </w:tcPr>
          <w:p>
            <w:r/>
            <w:r>
              <w:rPr>
                <w:b w:val="0"/>
                <w:sz w:val="17"/>
              </w:rPr>
              <w:t>Retention</w:t>
            </w:r>
          </w:p>
        </w:tc>
        <w:tc>
          <w:tcPr>
            <w:tcW w:type="dxa" w:w="3888"/>
            <w:vAlign w:val="center"/>
          </w:tcPr>
          <w:p>
            <w:r/>
            <w:r>
              <w:rPr>
                <w:b w:val="0"/>
                <w:sz w:val="17"/>
              </w:rPr>
              <w:t>SM20 data can become large.</w:t>
            </w:r>
          </w:p>
        </w:tc>
        <w:tc>
          <w:tcPr>
            <w:tcW w:type="dxa" w:w="5328"/>
            <w:vAlign w:val="center"/>
          </w:tcPr>
          <w:p>
            <w:r/>
            <w:r>
              <w:rPr>
                <w:b w:val="0"/>
                <w:sz w:val="17"/>
              </w:rPr>
              <w:t>Define configurable retention and archive strategy before production.</w:t>
            </w:r>
          </w:p>
        </w:tc>
      </w:tr>
      <w:tr>
        <w:tc>
          <w:tcPr>
            <w:tcW w:type="dxa" w:w="1728"/>
            <w:vAlign w:val="center"/>
          </w:tcPr>
          <w:p>
            <w:r/>
            <w:r>
              <w:rPr>
                <w:b w:val="0"/>
                <w:sz w:val="17"/>
              </w:rPr>
              <w:t>Performance</w:t>
            </w:r>
          </w:p>
        </w:tc>
        <w:tc>
          <w:tcPr>
            <w:tcW w:type="dxa" w:w="3888"/>
            <w:vAlign w:val="center"/>
          </w:tcPr>
          <w:p>
            <w:r/>
            <w:r>
              <w:rPr>
                <w:b w:val="0"/>
                <w:sz w:val="17"/>
              </w:rPr>
              <w:t>Do not overload productive SAP systems.</w:t>
            </w:r>
          </w:p>
        </w:tc>
        <w:tc>
          <w:tcPr>
            <w:tcW w:type="dxa" w:w="5328"/>
            <w:vAlign w:val="center"/>
          </w:tcPr>
          <w:p>
            <w:r/>
            <w:r>
              <w:rPr>
                <w:b w:val="0"/>
                <w:sz w:val="17"/>
              </w:rPr>
              <w:t>Use incremental extraction, scheduling, throttling and read-only technical access.</w:t>
            </w:r>
          </w:p>
        </w:tc>
      </w:tr>
      <w:tr>
        <w:tc>
          <w:tcPr>
            <w:tcW w:type="dxa" w:w="1728"/>
            <w:vAlign w:val="center"/>
          </w:tcPr>
          <w:p>
            <w:r/>
            <w:r>
              <w:rPr>
                <w:b w:val="0"/>
                <w:sz w:val="17"/>
              </w:rPr>
              <w:t>Time</w:t>
            </w:r>
          </w:p>
        </w:tc>
        <w:tc>
          <w:tcPr>
            <w:tcW w:type="dxa" w:w="3888"/>
            <w:vAlign w:val="center"/>
          </w:tcPr>
          <w:p>
            <w:r/>
            <w:r>
              <w:rPr>
                <w:b w:val="0"/>
                <w:sz w:val="17"/>
              </w:rPr>
              <w:t>Audit investigations depend on exact timestamps.</w:t>
            </w:r>
          </w:p>
        </w:tc>
        <w:tc>
          <w:tcPr>
            <w:tcW w:type="dxa" w:w="5328"/>
            <w:vAlign w:val="center"/>
          </w:tcPr>
          <w:p>
            <w:r/>
            <w:r>
              <w:rPr>
                <w:b w:val="0"/>
                <w:sz w:val="17"/>
              </w:rPr>
              <w:t>Normalize to UTC internally and display configured system/user time zone.</w:t>
            </w:r>
          </w:p>
        </w:tc>
      </w:tr>
      <w:tr>
        <w:tc>
          <w:tcPr>
            <w:tcW w:type="dxa" w:w="1728"/>
            <w:vAlign w:val="center"/>
          </w:tcPr>
          <w:p>
            <w:r/>
            <w:r>
              <w:rPr>
                <w:b w:val="0"/>
                <w:sz w:val="17"/>
              </w:rPr>
              <w:t>Observability</w:t>
            </w:r>
          </w:p>
        </w:tc>
        <w:tc>
          <w:tcPr>
            <w:tcW w:type="dxa" w:w="3888"/>
            <w:vAlign w:val="center"/>
          </w:tcPr>
          <w:p>
            <w:r/>
            <w:r>
              <w:rPr>
                <w:b w:val="0"/>
                <w:sz w:val="17"/>
              </w:rPr>
              <w:t>Collection failures must be visible.</w:t>
            </w:r>
          </w:p>
        </w:tc>
        <w:tc>
          <w:tcPr>
            <w:tcW w:type="dxa" w:w="5328"/>
            <w:vAlign w:val="center"/>
          </w:tcPr>
          <w:p>
            <w:r/>
            <w:r>
              <w:rPr>
                <w:b w:val="0"/>
                <w:sz w:val="17"/>
              </w:rPr>
              <w:t>Application logs, collection-run status and alerts.</w:t>
            </w:r>
          </w:p>
        </w:tc>
      </w:tr>
      <w:tr>
        <w:tc>
          <w:tcPr>
            <w:tcW w:type="dxa" w:w="1728"/>
            <w:vAlign w:val="center"/>
          </w:tcPr>
          <w:p>
            <w:r/>
            <w:r>
              <w:rPr>
                <w:b w:val="0"/>
                <w:sz w:val="17"/>
              </w:rPr>
              <w:t>Testing</w:t>
            </w:r>
          </w:p>
        </w:tc>
        <w:tc>
          <w:tcPr>
            <w:tcW w:type="dxa" w:w="3888"/>
            <w:vAlign w:val="center"/>
          </w:tcPr>
          <w:p>
            <w:r/>
            <w:r>
              <w:rPr>
                <w:b w:val="0"/>
                <w:sz w:val="17"/>
              </w:rPr>
              <w:t>Audit accuracy is critical.</w:t>
            </w:r>
          </w:p>
        </w:tc>
        <w:tc>
          <w:tcPr>
            <w:tcW w:type="dxa" w:w="5328"/>
            <w:vAlign w:val="center"/>
          </w:tcPr>
          <w:p>
            <w:r/>
            <w:r>
              <w:rPr>
                <w:b w:val="0"/>
                <w:sz w:val="17"/>
              </w:rPr>
              <w:t>Build a known test dataset and reconcile SAL against SM20.</w:t>
            </w:r>
          </w:p>
        </w:tc>
      </w:tr>
    </w:tbl>
    <w:p/>
    <w:p>
      <w:r>
        <w:br w:type="page"/>
      </w:r>
    </w:p>
    <w:p>
      <w:pPr>
        <w:pStyle w:val="Heading1"/>
      </w:pPr>
      <w:r>
        <w:t>5. STAGE 2 — Security Intelligence &amp; Correlation</w:t>
      </w:r>
    </w:p>
    <w:p>
      <w:r>
        <w:t>Stage 2 builds intelligence on top of the Stage 1 event foundation. The focus shifts from "find events" to "understand events in context." This is where SAL starts becoming a security analytics platform rather than a reporting utility.</w:t>
      </w:r>
    </w:p>
    <w:p>
      <w:pPr>
        <w:pStyle w:val="Heading2"/>
      </w:pPr>
      <w:r>
        <w:t>Stage 2 feature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vAlign w:val="center"/>
            <w:shd w:fill="D9EAF7"/>
          </w:tcPr>
          <w:p>
            <w:r/>
            <w:r>
              <w:rPr>
                <w:b/>
                <w:sz w:val="17"/>
              </w:rPr>
              <w:t>ID</w:t>
            </w:r>
          </w:p>
        </w:tc>
        <w:tc>
          <w:tcPr>
            <w:tcW w:type="dxa" w:w="2880"/>
            <w:vAlign w:val="center"/>
            <w:shd w:fill="D9EAF7"/>
          </w:tcPr>
          <w:p>
            <w:r/>
            <w:r>
              <w:rPr>
                <w:b/>
                <w:sz w:val="17"/>
              </w:rPr>
              <w:t>Feature</w:t>
            </w:r>
          </w:p>
        </w:tc>
        <w:tc>
          <w:tcPr>
            <w:tcW w:type="dxa" w:w="3600"/>
            <w:vAlign w:val="center"/>
            <w:shd w:fill="D9EAF7"/>
          </w:tcPr>
          <w:p>
            <w:r/>
            <w:r>
              <w:rPr>
                <w:b/>
                <w:sz w:val="17"/>
              </w:rPr>
              <w:t>Value</w:t>
            </w:r>
          </w:p>
        </w:tc>
        <w:tc>
          <w:tcPr>
            <w:tcW w:type="dxa" w:w="1296"/>
            <w:vAlign w:val="center"/>
            <w:shd w:fill="D9EAF7"/>
          </w:tcPr>
          <w:p>
            <w:r/>
            <w:r>
              <w:rPr>
                <w:b/>
                <w:sz w:val="17"/>
              </w:rPr>
              <w:t>Complexity</w:t>
            </w:r>
          </w:p>
        </w:tc>
        <w:tc>
          <w:tcPr>
            <w:tcW w:type="dxa" w:w="1440"/>
            <w:vAlign w:val="center"/>
            <w:shd w:fill="D9EAF7"/>
          </w:tcPr>
          <w:p>
            <w:r/>
            <w:r>
              <w:rPr>
                <w:b/>
                <w:sz w:val="17"/>
              </w:rPr>
              <w:t>Effort</w:t>
            </w:r>
          </w:p>
        </w:tc>
        <w:tc>
          <w:tcPr>
            <w:tcW w:type="dxa" w:w="1152"/>
            <w:vAlign w:val="center"/>
            <w:shd w:fill="D9EAF7"/>
          </w:tcPr>
          <w:p>
            <w:r/>
            <w:r>
              <w:rPr>
                <w:b/>
                <w:sz w:val="17"/>
              </w:rPr>
              <w:t>Ease</w:t>
            </w:r>
          </w:p>
        </w:tc>
        <w:tc>
          <w:tcPr>
            <w:tcW w:type="dxa" w:w="864"/>
            <w:vAlign w:val="center"/>
            <w:shd w:fill="D9EAF7"/>
          </w:tcPr>
          <w:p>
            <w:r/>
            <w:r>
              <w:rPr>
                <w:b/>
                <w:sz w:val="17"/>
              </w:rPr>
              <w:t>Priority</w:t>
            </w:r>
          </w:p>
        </w:tc>
      </w:tr>
      <w:tr>
        <w:tc>
          <w:tcPr>
            <w:tcW w:type="dxa" w:w="864"/>
            <w:vAlign w:val="center"/>
          </w:tcPr>
          <w:p>
            <w:r/>
            <w:r>
              <w:rPr>
                <w:b w:val="0"/>
                <w:sz w:val="17"/>
              </w:rPr>
              <w:t>S2-01</w:t>
            </w:r>
          </w:p>
        </w:tc>
        <w:tc>
          <w:tcPr>
            <w:tcW w:type="dxa" w:w="2880"/>
            <w:vAlign w:val="center"/>
          </w:tcPr>
          <w:p>
            <w:r/>
            <w:r>
              <w:rPr>
                <w:b w:val="0"/>
                <w:sz w:val="17"/>
              </w:rPr>
              <w:t>User Investigation Timeline</w:t>
            </w:r>
          </w:p>
        </w:tc>
        <w:tc>
          <w:tcPr>
            <w:tcW w:type="dxa" w:w="3600"/>
            <w:vAlign w:val="center"/>
          </w:tcPr>
          <w:p>
            <w:r/>
            <w:r>
              <w:rPr>
                <w:b w:val="0"/>
                <w:sz w:val="17"/>
              </w:rPr>
              <w:t>One-click user activity investigation</w:t>
            </w:r>
          </w:p>
        </w:tc>
        <w:tc>
          <w:tcPr>
            <w:tcW w:type="dxa" w:w="1296"/>
            <w:vAlign w:val="center"/>
          </w:tcPr>
          <w:p>
            <w:r/>
            <w:r>
              <w:rPr>
                <w:b w:val="0"/>
                <w:sz w:val="17"/>
              </w:rPr>
              <w:t>Medium</w:t>
            </w:r>
          </w:p>
        </w:tc>
        <w:tc>
          <w:tcPr>
            <w:tcW w:type="dxa" w:w="1440"/>
            <w:vAlign w:val="center"/>
          </w:tcPr>
          <w:p>
            <w:r/>
            <w:r>
              <w:rPr>
                <w:b w:val="0"/>
                <w:sz w:val="17"/>
              </w:rPr>
              <w:t>2–3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S2-02</w:t>
            </w:r>
          </w:p>
        </w:tc>
        <w:tc>
          <w:tcPr>
            <w:tcW w:type="dxa" w:w="2880"/>
            <w:vAlign w:val="center"/>
          </w:tcPr>
          <w:p>
            <w:r/>
            <w:r>
              <w:rPr>
                <w:b w:val="0"/>
                <w:sz w:val="17"/>
              </w:rPr>
              <w:t>After-Hours Activity Detection</w:t>
            </w:r>
          </w:p>
        </w:tc>
        <w:tc>
          <w:tcPr>
            <w:tcW w:type="dxa" w:w="3600"/>
            <w:vAlign w:val="center"/>
          </w:tcPr>
          <w:p>
            <w:r/>
            <w:r>
              <w:rPr>
                <w:b w:val="0"/>
                <w:sz w:val="17"/>
              </w:rPr>
              <w:t>Find potentially unusual activity</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S2-03</w:t>
            </w:r>
          </w:p>
        </w:tc>
        <w:tc>
          <w:tcPr>
            <w:tcW w:type="dxa" w:w="2880"/>
            <w:vAlign w:val="center"/>
          </w:tcPr>
          <w:p>
            <w:r/>
            <w:r>
              <w:rPr>
                <w:b w:val="0"/>
                <w:sz w:val="17"/>
              </w:rPr>
              <w:t>Critical Transaction Monitoring</w:t>
            </w:r>
          </w:p>
        </w:tc>
        <w:tc>
          <w:tcPr>
            <w:tcW w:type="dxa" w:w="3600"/>
            <w:vAlign w:val="center"/>
          </w:tcPr>
          <w:p>
            <w:r/>
            <w:r>
              <w:rPr>
                <w:b w:val="0"/>
                <w:sz w:val="17"/>
              </w:rPr>
              <w:t>Focus analysts on high-risk activity</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S2-04</w:t>
            </w:r>
          </w:p>
        </w:tc>
        <w:tc>
          <w:tcPr>
            <w:tcW w:type="dxa" w:w="2880"/>
            <w:vAlign w:val="center"/>
          </w:tcPr>
          <w:p>
            <w:r/>
            <w:r>
              <w:rPr>
                <w:b w:val="0"/>
                <w:sz w:val="17"/>
              </w:rPr>
              <w:t>User + Role Correlation</w:t>
            </w:r>
          </w:p>
        </w:tc>
        <w:tc>
          <w:tcPr>
            <w:tcW w:type="dxa" w:w="3600"/>
            <w:vAlign w:val="center"/>
          </w:tcPr>
          <w:p>
            <w:r/>
            <w:r>
              <w:rPr>
                <w:b w:val="0"/>
                <w:sz w:val="17"/>
              </w:rPr>
              <w:t>Compare actual usage with assigned access</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S2-05</w:t>
            </w:r>
          </w:p>
        </w:tc>
        <w:tc>
          <w:tcPr>
            <w:tcW w:type="dxa" w:w="2880"/>
            <w:vAlign w:val="center"/>
          </w:tcPr>
          <w:p>
            <w:r/>
            <w:r>
              <w:rPr>
                <w:b w:val="0"/>
                <w:sz w:val="17"/>
              </w:rPr>
              <w:t>SU01/PFCG/SUIM Integration</w:t>
            </w:r>
          </w:p>
        </w:tc>
        <w:tc>
          <w:tcPr>
            <w:tcW w:type="dxa" w:w="3600"/>
            <w:vAlign w:val="center"/>
          </w:tcPr>
          <w:p>
            <w:r/>
            <w:r>
              <w:rPr>
                <w:b w:val="0"/>
                <w:sz w:val="17"/>
              </w:rPr>
              <w:t>Add identity/access context</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S2-06</w:t>
            </w:r>
          </w:p>
        </w:tc>
        <w:tc>
          <w:tcPr>
            <w:tcW w:type="dxa" w:w="2880"/>
            <w:vAlign w:val="center"/>
          </w:tcPr>
          <w:p>
            <w:r/>
            <w:r>
              <w:rPr>
                <w:b w:val="0"/>
                <w:sz w:val="17"/>
              </w:rPr>
              <w:t>GRC Firefighter Integration</w:t>
            </w:r>
          </w:p>
        </w:tc>
        <w:tc>
          <w:tcPr>
            <w:tcW w:type="dxa" w:w="3600"/>
            <w:vAlign w:val="center"/>
          </w:tcPr>
          <w:p>
            <w:r/>
            <w:r>
              <w:rPr>
                <w:b w:val="0"/>
                <w:sz w:val="17"/>
              </w:rPr>
              <w:t>Correlate emergency access with activity</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S2-07</w:t>
            </w:r>
          </w:p>
        </w:tc>
        <w:tc>
          <w:tcPr>
            <w:tcW w:type="dxa" w:w="2880"/>
            <w:vAlign w:val="center"/>
          </w:tcPr>
          <w:p>
            <w:r/>
            <w:r>
              <w:rPr>
                <w:b w:val="0"/>
                <w:sz w:val="17"/>
              </w:rPr>
              <w:t>GRC ARM/ARA Context</w:t>
            </w:r>
          </w:p>
        </w:tc>
        <w:tc>
          <w:tcPr>
            <w:tcW w:type="dxa" w:w="3600"/>
            <w:vAlign w:val="center"/>
          </w:tcPr>
          <w:p>
            <w:r/>
            <w:r>
              <w:rPr>
                <w:b w:val="0"/>
                <w:sz w:val="17"/>
              </w:rPr>
              <w:t>Connect activity with requests and SoD</w:t>
            </w:r>
          </w:p>
        </w:tc>
        <w:tc>
          <w:tcPr>
            <w:tcW w:type="dxa" w:w="1296"/>
            <w:vAlign w:val="center"/>
          </w:tcPr>
          <w:p>
            <w:r/>
            <w:r>
              <w:rPr>
                <w:b w:val="0"/>
                <w:sz w:val="17"/>
              </w:rPr>
              <w:t>High</w:t>
            </w:r>
          </w:p>
        </w:tc>
        <w:tc>
          <w:tcPr>
            <w:tcW w:type="dxa" w:w="1440"/>
            <w:vAlign w:val="center"/>
          </w:tcPr>
          <w:p>
            <w:r/>
            <w:r>
              <w:rPr>
                <w:b w:val="0"/>
                <w:sz w:val="17"/>
              </w:rPr>
              <w:t>4–6 weeks</w:t>
            </w:r>
          </w:p>
        </w:tc>
        <w:tc>
          <w:tcPr>
            <w:tcW w:type="dxa" w:w="1152"/>
            <w:vAlign w:val="center"/>
          </w:tcPr>
          <w:p>
            <w:r/>
            <w:r>
              <w:rPr>
                <w:b w:val="0"/>
                <w:sz w:val="17"/>
              </w:rPr>
              <w:t>Medium–Low</w:t>
            </w:r>
          </w:p>
        </w:tc>
        <w:tc>
          <w:tcPr>
            <w:tcW w:type="dxa" w:w="864"/>
            <w:vAlign w:val="center"/>
          </w:tcPr>
          <w:p>
            <w:r/>
            <w:r>
              <w:rPr>
                <w:b w:val="0"/>
                <w:sz w:val="17"/>
              </w:rPr>
              <w:t>P1</w:t>
            </w:r>
          </w:p>
        </w:tc>
      </w:tr>
      <w:tr>
        <w:tc>
          <w:tcPr>
            <w:tcW w:type="dxa" w:w="864"/>
            <w:vAlign w:val="center"/>
          </w:tcPr>
          <w:p>
            <w:r/>
            <w:r>
              <w:rPr>
                <w:b w:val="0"/>
                <w:sz w:val="17"/>
              </w:rPr>
              <w:t>S2-08</w:t>
            </w:r>
          </w:p>
        </w:tc>
        <w:tc>
          <w:tcPr>
            <w:tcW w:type="dxa" w:w="2880"/>
            <w:vAlign w:val="center"/>
          </w:tcPr>
          <w:p>
            <w:r/>
            <w:r>
              <w:rPr>
                <w:b w:val="0"/>
                <w:sz w:val="17"/>
              </w:rPr>
              <w:t>Cross-System Investigation</w:t>
            </w:r>
          </w:p>
        </w:tc>
        <w:tc>
          <w:tcPr>
            <w:tcW w:type="dxa" w:w="3600"/>
            <w:vAlign w:val="center"/>
          </w:tcPr>
          <w:p>
            <w:r/>
            <w:r>
              <w:rPr>
                <w:b w:val="0"/>
                <w:sz w:val="17"/>
              </w:rPr>
              <w:t>Single investigation across landscape</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S2-09</w:t>
            </w:r>
          </w:p>
        </w:tc>
        <w:tc>
          <w:tcPr>
            <w:tcW w:type="dxa" w:w="2880"/>
            <w:vAlign w:val="center"/>
          </w:tcPr>
          <w:p>
            <w:r/>
            <w:r>
              <w:rPr>
                <w:b w:val="0"/>
                <w:sz w:val="17"/>
              </w:rPr>
              <w:t>Dormant/Unused Access Analysis</w:t>
            </w:r>
          </w:p>
        </w:tc>
        <w:tc>
          <w:tcPr>
            <w:tcW w:type="dxa" w:w="3600"/>
            <w:vAlign w:val="center"/>
          </w:tcPr>
          <w:p>
            <w:r/>
            <w:r>
              <w:rPr>
                <w:b w:val="0"/>
                <w:sz w:val="17"/>
              </w:rPr>
              <w:t>Identify potentially excessive access</w:t>
            </w:r>
          </w:p>
        </w:tc>
        <w:tc>
          <w:tcPr>
            <w:tcW w:type="dxa" w:w="1296"/>
            <w:vAlign w:val="center"/>
          </w:tcPr>
          <w:p>
            <w:r/>
            <w:r>
              <w:rPr>
                <w:b w:val="0"/>
                <w:sz w:val="17"/>
              </w:rPr>
              <w:t>Medium–High</w:t>
            </w:r>
          </w:p>
        </w:tc>
        <w:tc>
          <w:tcPr>
            <w:tcW w:type="dxa" w:w="1440"/>
            <w:vAlign w:val="center"/>
          </w:tcPr>
          <w:p>
            <w:r/>
            <w:r>
              <w:rPr>
                <w:b w:val="0"/>
                <w:sz w:val="17"/>
              </w:rPr>
              <w:t>2–4 weeks</w:t>
            </w:r>
          </w:p>
        </w:tc>
        <w:tc>
          <w:tcPr>
            <w:tcW w:type="dxa" w:w="1152"/>
            <w:vAlign w:val="center"/>
          </w:tcPr>
          <w:p>
            <w:r/>
            <w:r>
              <w:rPr>
                <w:b w:val="0"/>
                <w:sz w:val="17"/>
              </w:rPr>
              <w:t>Medium</w:t>
            </w:r>
          </w:p>
        </w:tc>
        <w:tc>
          <w:tcPr>
            <w:tcW w:type="dxa" w:w="864"/>
            <w:vAlign w:val="center"/>
          </w:tcPr>
          <w:p>
            <w:r/>
            <w:r>
              <w:rPr>
                <w:b w:val="0"/>
                <w:sz w:val="17"/>
              </w:rPr>
              <w:t>P1</w:t>
            </w:r>
          </w:p>
        </w:tc>
      </w:tr>
      <w:tr>
        <w:tc>
          <w:tcPr>
            <w:tcW w:type="dxa" w:w="864"/>
            <w:vAlign w:val="center"/>
          </w:tcPr>
          <w:p>
            <w:r/>
            <w:r>
              <w:rPr>
                <w:b w:val="0"/>
                <w:sz w:val="17"/>
              </w:rPr>
              <w:t>S2-10</w:t>
            </w:r>
          </w:p>
        </w:tc>
        <w:tc>
          <w:tcPr>
            <w:tcW w:type="dxa" w:w="2880"/>
            <w:vAlign w:val="center"/>
          </w:tcPr>
          <w:p>
            <w:r/>
            <w:r>
              <w:rPr>
                <w:b w:val="0"/>
                <w:sz w:val="17"/>
              </w:rPr>
              <w:t>Terminated User Monitoring</w:t>
            </w:r>
          </w:p>
        </w:tc>
        <w:tc>
          <w:tcPr>
            <w:tcW w:type="dxa" w:w="3600"/>
            <w:vAlign w:val="center"/>
          </w:tcPr>
          <w:p>
            <w:r/>
            <w:r>
              <w:rPr>
                <w:b w:val="0"/>
                <w:sz w:val="17"/>
              </w:rPr>
              <w:t>Detect post-termination activity</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P0</w:t>
            </w:r>
          </w:p>
        </w:tc>
      </w:tr>
      <w:tr>
        <w:tc>
          <w:tcPr>
            <w:tcW w:type="dxa" w:w="864"/>
            <w:vAlign w:val="center"/>
          </w:tcPr>
          <w:p>
            <w:r/>
            <w:r>
              <w:rPr>
                <w:b w:val="0"/>
                <w:sz w:val="17"/>
              </w:rPr>
              <w:t>S2-11</w:t>
            </w:r>
          </w:p>
        </w:tc>
        <w:tc>
          <w:tcPr>
            <w:tcW w:type="dxa" w:w="2880"/>
            <w:vAlign w:val="center"/>
          </w:tcPr>
          <w:p>
            <w:r/>
            <w:r>
              <w:rPr>
                <w:b w:val="0"/>
                <w:sz w:val="17"/>
              </w:rPr>
              <w:t>Basic Anomaly Rules</w:t>
            </w:r>
          </w:p>
        </w:tc>
        <w:tc>
          <w:tcPr>
            <w:tcW w:type="dxa" w:w="3600"/>
            <w:vAlign w:val="center"/>
          </w:tcPr>
          <w:p>
            <w:r/>
            <w:r>
              <w:rPr>
                <w:b w:val="0"/>
                <w:sz w:val="17"/>
              </w:rPr>
              <w:t>Detect unusual behavior patterns</w:t>
            </w:r>
          </w:p>
        </w:tc>
        <w:tc>
          <w:tcPr>
            <w:tcW w:type="dxa" w:w="1296"/>
            <w:vAlign w:val="center"/>
          </w:tcPr>
          <w:p>
            <w:r/>
            <w:r>
              <w:rPr>
                <w:b w:val="0"/>
                <w:sz w:val="17"/>
              </w:rPr>
              <w:t>Medium</w:t>
            </w:r>
          </w:p>
        </w:tc>
        <w:tc>
          <w:tcPr>
            <w:tcW w:type="dxa" w:w="1440"/>
            <w:vAlign w:val="center"/>
          </w:tcPr>
          <w:p>
            <w:r/>
            <w:r>
              <w:rPr>
                <w:b w:val="0"/>
                <w:sz w:val="17"/>
              </w:rPr>
              <w:t>2–4 weeks</w:t>
            </w:r>
          </w:p>
        </w:tc>
        <w:tc>
          <w:tcPr>
            <w:tcW w:type="dxa" w:w="1152"/>
            <w:vAlign w:val="center"/>
          </w:tcPr>
          <w:p>
            <w:r/>
            <w:r>
              <w:rPr>
                <w:b w:val="0"/>
                <w:sz w:val="17"/>
              </w:rPr>
              <w:t>Medium</w:t>
            </w:r>
          </w:p>
        </w:tc>
        <w:tc>
          <w:tcPr>
            <w:tcW w:type="dxa" w:w="864"/>
            <w:vAlign w:val="center"/>
          </w:tcPr>
          <w:p>
            <w:r/>
            <w:r>
              <w:rPr>
                <w:b w:val="0"/>
                <w:sz w:val="17"/>
              </w:rPr>
              <w:t>P1</w:t>
            </w:r>
          </w:p>
        </w:tc>
      </w:tr>
      <w:tr>
        <w:tc>
          <w:tcPr>
            <w:tcW w:type="dxa" w:w="864"/>
            <w:vAlign w:val="center"/>
          </w:tcPr>
          <w:p>
            <w:r/>
            <w:r>
              <w:rPr>
                <w:b w:val="0"/>
                <w:sz w:val="17"/>
              </w:rPr>
              <w:t>S2-12</w:t>
            </w:r>
          </w:p>
        </w:tc>
        <w:tc>
          <w:tcPr>
            <w:tcW w:type="dxa" w:w="2880"/>
            <w:vAlign w:val="center"/>
          </w:tcPr>
          <w:p>
            <w:r/>
            <w:r>
              <w:rPr>
                <w:b w:val="0"/>
                <w:sz w:val="17"/>
              </w:rPr>
              <w:t>Investigation Report Generator</w:t>
            </w:r>
          </w:p>
        </w:tc>
        <w:tc>
          <w:tcPr>
            <w:tcW w:type="dxa" w:w="3600"/>
            <w:vAlign w:val="center"/>
          </w:tcPr>
          <w:p>
            <w:r/>
            <w:r>
              <w:rPr>
                <w:b w:val="0"/>
                <w:sz w:val="17"/>
              </w:rPr>
              <w:t>Produce structured findings</w:t>
            </w:r>
          </w:p>
        </w:tc>
        <w:tc>
          <w:tcPr>
            <w:tcW w:type="dxa" w:w="1296"/>
            <w:vAlign w:val="center"/>
          </w:tcPr>
          <w:p>
            <w:r/>
            <w:r>
              <w:rPr>
                <w:b w:val="0"/>
                <w:sz w:val="17"/>
              </w:rPr>
              <w:t>Medium</w:t>
            </w:r>
          </w:p>
        </w:tc>
        <w:tc>
          <w:tcPr>
            <w:tcW w:type="dxa" w:w="1440"/>
            <w:vAlign w:val="center"/>
          </w:tcPr>
          <w:p>
            <w:r/>
            <w:r>
              <w:rPr>
                <w:b w:val="0"/>
                <w:sz w:val="17"/>
              </w:rPr>
              <w:t>1–2 weeks</w:t>
            </w:r>
          </w:p>
        </w:tc>
        <w:tc>
          <w:tcPr>
            <w:tcW w:type="dxa" w:w="1152"/>
            <w:vAlign w:val="center"/>
          </w:tcPr>
          <w:p>
            <w:r/>
            <w:r>
              <w:rPr>
                <w:b w:val="0"/>
                <w:sz w:val="17"/>
              </w:rPr>
              <w:t>High</w:t>
            </w:r>
          </w:p>
        </w:tc>
        <w:tc>
          <w:tcPr>
            <w:tcW w:type="dxa" w:w="864"/>
            <w:vAlign w:val="center"/>
          </w:tcPr>
          <w:p>
            <w:r/>
            <w:r>
              <w:rPr>
                <w:b w:val="0"/>
                <w:sz w:val="17"/>
              </w:rPr>
              <w:t>P1</w:t>
            </w:r>
          </w:p>
        </w:tc>
      </w:tr>
    </w:tbl>
    <w:p/>
    <w:p>
      <w:pPr>
        <w:pStyle w:val="Heading3"/>
      </w:pPr>
      <w:r>
        <w:t>S2-01 — User Investigation Timeline</w:t>
      </w:r>
    </w:p>
    <w:p>
      <w:r>
        <w:rPr>
          <w:b/>
        </w:rPr>
        <w:t xml:space="preserve">Objective: </w:t>
      </w:r>
      <w:r>
        <w:t>Provide a single chronological view of a user's captured security activity.</w:t>
      </w:r>
    </w:p>
    <w:p>
      <w:r>
        <w:rPr>
          <w:b/>
        </w:rPr>
        <w:t xml:space="preserve">Functionality: </w:t>
      </w:r>
      <w:r>
        <w:t>Combine logons, transactions, security events and other Stage 2 signals into a timeline.</w:t>
      </w:r>
    </w:p>
    <w:p>
      <w:r>
        <w:rPr>
          <w:b/>
        </w:rPr>
        <w:t xml:space="preserve">Suggested implementation: </w:t>
      </w:r>
      <w:r>
        <w:t>Create an investigation service that queries multiple event types and presents a normalized timeline. Allow drill-down to raw evidence.</w:t>
      </w:r>
    </w:p>
    <w:p>
      <w:r>
        <w:rPr>
          <w:b/>
        </w:rPr>
        <w:t xml:space="preserve">Inputs / data sources: </w:t>
      </w:r>
      <w:r>
        <w:t>User identity and time window.</w:t>
      </w:r>
    </w:p>
    <w:p>
      <w:r>
        <w:rPr>
          <w:b/>
        </w:rPr>
        <w:t xml:space="preserve">Expected outputs: </w:t>
      </w:r>
      <w:r>
        <w:t>Timeline, event counts, unusual-event indicators and evidence details.</w:t>
      </w:r>
    </w:p>
    <w:p>
      <w:r>
        <w:rPr>
          <w:b/>
        </w:rPr>
        <w:t xml:space="preserve">Dependencies: </w:t>
      </w:r>
      <w:r>
        <w:t>Stage 1 event store and user normalization.</w:t>
      </w:r>
    </w:p>
    <w:p>
      <w:r>
        <w:rPr>
          <w:b/>
        </w:rPr>
        <w:t xml:space="preserve">Complexity: </w:t>
      </w:r>
      <w:r>
        <w:t>Medium</w:t>
      </w:r>
      <w:r>
        <w:t xml:space="preserve"> | </w:t>
      </w:r>
      <w:r>
        <w:rPr>
          <w:b/>
        </w:rPr>
        <w:t xml:space="preserve">Effort: </w:t>
      </w:r>
      <w:r>
        <w:t>2–3 weeks</w:t>
      </w:r>
      <w:r>
        <w:t xml:space="preserve"> | </w:t>
      </w:r>
      <w:r>
        <w:rPr>
          <w:b/>
        </w:rPr>
        <w:t xml:space="preserve">Ease of implementation: </w:t>
      </w:r>
      <w:r>
        <w:t>Medium</w:t>
      </w:r>
    </w:p>
    <w:p>
      <w:r>
        <w:rPr>
          <w:b/>
        </w:rPr>
        <w:t xml:space="preserve">Key risks / considerations: </w:t>
      </w:r>
      <w:r>
        <w:t>Timeline completeness must be communicated; absence of an event does not prove that activity did not occur.</w:t>
      </w:r>
    </w:p>
    <w:p>
      <w:r>
        <w:rPr>
          <w:b/>
        </w:rPr>
        <w:t xml:space="preserve">Acceptance criteria: </w:t>
      </w:r>
      <w:r>
        <w:t>The timeline is reproducible and each displayed event links to its source record.</w:t>
      </w:r>
    </w:p>
    <w:p>
      <w:pPr>
        <w:pStyle w:val="Heading3"/>
      </w:pPr>
      <w:r>
        <w:t>S2-02 — After-Hours Activity Detection</w:t>
      </w:r>
    </w:p>
    <w:p>
      <w:r>
        <w:rPr>
          <w:b/>
        </w:rPr>
        <w:t xml:space="preserve">Objective: </w:t>
      </w:r>
      <w:r>
        <w:t>Identify events occurring outside configurable business hours.</w:t>
      </w:r>
    </w:p>
    <w:p>
      <w:r>
        <w:rPr>
          <w:b/>
        </w:rPr>
        <w:t xml:space="preserve">Functionality: </w:t>
      </w:r>
      <w:r>
        <w:t>Flag activity based on working hours, weekends and holidays. Support per-system or per-organization calendars.</w:t>
      </w:r>
    </w:p>
    <w:p>
      <w:r>
        <w:rPr>
          <w:b/>
        </w:rPr>
        <w:t xml:space="preserve">Suggested implementation: </w:t>
      </w:r>
      <w:r>
        <w:t>Create a rule engine using event timestamp + business calendar + event criticality.</w:t>
      </w:r>
    </w:p>
    <w:p>
      <w:r>
        <w:rPr>
          <w:b/>
        </w:rPr>
        <w:t xml:space="preserve">Inputs / data sources: </w:t>
      </w:r>
      <w:r>
        <w:t>Event timestamp, user/system scope and business calendar.</w:t>
      </w:r>
    </w:p>
    <w:p>
      <w:r>
        <w:rPr>
          <w:b/>
        </w:rPr>
        <w:t xml:space="preserve">Expected outputs: </w:t>
      </w:r>
      <w:r>
        <w:t>Flagged events with explanation such as "Sunday 02:14" or "Outside configured business hours."</w:t>
      </w:r>
    </w:p>
    <w:p>
      <w:r>
        <w:rPr>
          <w:b/>
        </w:rPr>
        <w:t xml:space="preserve">Dependencies: </w:t>
      </w:r>
      <w:r>
        <w:t>Business calendar and time-zone configuration.</w:t>
      </w:r>
    </w:p>
    <w:p>
      <w:r>
        <w:rPr>
          <w:b/>
        </w:rPr>
        <w:t xml:space="preserve">Complexity: </w:t>
      </w:r>
      <w:r>
        <w:t>Medium</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After-hours activity is not inherently malicious; it must be treated as a risk indicator, not a verdict.</w:t>
      </w:r>
    </w:p>
    <w:p>
      <w:r>
        <w:rPr>
          <w:b/>
        </w:rPr>
        <w:t xml:space="preserve">Acceptance criteria: </w:t>
      </w:r>
      <w:r>
        <w:t>Rules correctly classify test events across time zones, weekends and holidays.</w:t>
      </w:r>
    </w:p>
    <w:p>
      <w:pPr>
        <w:pStyle w:val="Heading3"/>
      </w:pPr>
      <w:r>
        <w:t>S2-03 — Critical Transaction Monitoring</w:t>
      </w:r>
    </w:p>
    <w:p>
      <w:r>
        <w:rPr>
          <w:b/>
        </w:rPr>
        <w:t xml:space="preserve">Objective: </w:t>
      </w:r>
      <w:r>
        <w:t>Automatically identify activity involving transactions classified as critical/high risk.</w:t>
      </w:r>
    </w:p>
    <w:p>
      <w:r>
        <w:rPr>
          <w:b/>
        </w:rPr>
        <w:t xml:space="preserve">Functionality: </w:t>
      </w:r>
      <w:r>
        <w:t>Create dashboards and alerts for transactions such as SU01, PFCG, SE16N, SM19, SM20, SCC4, STMS and customer-defined transactions.</w:t>
      </w:r>
    </w:p>
    <w:p>
      <w:r>
        <w:rPr>
          <w:b/>
        </w:rPr>
        <w:t xml:space="preserve">Suggested implementation: </w:t>
      </w:r>
      <w:r>
        <w:t>Use the Stage 1 transaction catalogue and build configurable detection rules.</w:t>
      </w:r>
    </w:p>
    <w:p>
      <w:r>
        <w:rPr>
          <w:b/>
        </w:rPr>
        <w:t xml:space="preserve">Inputs / data sources: </w:t>
      </w:r>
      <w:r>
        <w:t>Normalized transaction events + transaction risk catalogue.</w:t>
      </w:r>
    </w:p>
    <w:p>
      <w:r>
        <w:rPr>
          <w:b/>
        </w:rPr>
        <w:t xml:space="preserve">Expected outputs: </w:t>
      </w:r>
      <w:r>
        <w:t>Critical-activity feed, trend reports and drill-down.</w:t>
      </w:r>
    </w:p>
    <w:p>
      <w:r>
        <w:rPr>
          <w:b/>
        </w:rPr>
        <w:t xml:space="preserve">Dependencies: </w:t>
      </w:r>
      <w:r>
        <w:t>Transaction catalogue and governance.</w:t>
      </w:r>
    </w:p>
    <w:p>
      <w:r>
        <w:rPr>
          <w:b/>
        </w:rPr>
        <w:t xml:space="preserve">Complexity: </w:t>
      </w:r>
      <w:r>
        <w:t>Medium</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False positives and organization-specific definitions of criticality.</w:t>
      </w:r>
    </w:p>
    <w:p>
      <w:r>
        <w:rPr>
          <w:b/>
        </w:rPr>
        <w:t xml:space="preserve">Acceptance criteria: </w:t>
      </w:r>
      <w:r>
        <w:t>Every alert identifies the transaction classification and rule that caused it.</w:t>
      </w:r>
    </w:p>
    <w:p>
      <w:pPr>
        <w:pStyle w:val="Heading3"/>
      </w:pPr>
      <w:r>
        <w:t>S2-04 — User + Role Correlation</w:t>
      </w:r>
    </w:p>
    <w:p>
      <w:r>
        <w:rPr>
          <w:b/>
        </w:rPr>
        <w:t xml:space="preserve">Objective: </w:t>
      </w:r>
      <w:r>
        <w:t>Compare observed activity with the user's assigned access.</w:t>
      </w:r>
    </w:p>
    <w:p>
      <w:r>
        <w:rPr>
          <w:b/>
        </w:rPr>
        <w:t xml:space="preserve">Functionality: </w:t>
      </w:r>
      <w:r>
        <w:t>Answer questions such as which users execute critical transactions, what roles they have, and whether the expected authorization context exists.</w:t>
      </w:r>
    </w:p>
    <w:p>
      <w:r>
        <w:rPr>
          <w:b/>
        </w:rPr>
        <w:t xml:space="preserve">Suggested implementation: </w:t>
      </w:r>
      <w:r>
        <w:t>Extract user-role assignments and role transaction/menu data. Correlate with normalized activity. Clearly distinguish transaction execution from authorization proof.</w:t>
      </w:r>
    </w:p>
    <w:p>
      <w:r>
        <w:rPr>
          <w:b/>
        </w:rPr>
        <w:t xml:space="preserve">Inputs / data sources: </w:t>
      </w:r>
      <w:r>
        <w:t>SU01/PFCG/SUIM data plus SM20 events.</w:t>
      </w:r>
    </w:p>
    <w:p>
      <w:r>
        <w:rPr>
          <w:b/>
        </w:rPr>
        <w:t xml:space="preserve">Expected outputs: </w:t>
      </w:r>
      <w:r>
        <w:t>Combined user/access/activity view.</w:t>
      </w:r>
    </w:p>
    <w:p>
      <w:r>
        <w:rPr>
          <w:b/>
        </w:rPr>
        <w:t xml:space="preserve">Dependencies: </w:t>
      </w:r>
      <w:r>
        <w:t>SAP role-read access, role parsing and system-specific authorization semantics.</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Transaction menu data is not equivalent to effective authorization. Derived roles, composite roles, generated profiles and indirect access require careful modeling.</w:t>
      </w:r>
    </w:p>
    <w:p>
      <w:r>
        <w:rPr>
          <w:b/>
        </w:rPr>
        <w:t xml:space="preserve">Acceptance criteria: </w:t>
      </w:r>
      <w:r>
        <w:t>The system can show the relationship between activity and role data without making unsupported authorization conclusions.</w:t>
      </w:r>
    </w:p>
    <w:p>
      <w:pPr>
        <w:pStyle w:val="Heading3"/>
      </w:pPr>
      <w:r>
        <w:t>S2-05 — SU01 / PFCG / SUIM Integration</w:t>
      </w:r>
    </w:p>
    <w:p>
      <w:r>
        <w:rPr>
          <w:b/>
        </w:rPr>
        <w:t xml:space="preserve">Objective: </w:t>
      </w:r>
      <w:r>
        <w:t>Add identity and access context to audit events.</w:t>
      </w:r>
    </w:p>
    <w:p>
      <w:r>
        <w:rPr>
          <w:b/>
        </w:rPr>
        <w:t xml:space="preserve">Functionality: </w:t>
      </w:r>
      <w:r>
        <w:t>Retrieve user type/status/validity, role assignments, profiles and selected authorization metadata.</w:t>
      </w:r>
    </w:p>
    <w:p>
      <w:r>
        <w:rPr>
          <w:b/>
        </w:rPr>
        <w:t xml:space="preserve">Suggested implementation: </w:t>
      </w:r>
      <w:r>
        <w:t>Create separate read-only connectors and normalize identity/access objects into SAL entities.</w:t>
      </w:r>
    </w:p>
    <w:p>
      <w:r>
        <w:rPr>
          <w:b/>
        </w:rPr>
        <w:t xml:space="preserve">Inputs / data sources: </w:t>
      </w:r>
      <w:r>
        <w:t>SU01, PFCG and SUIM-readable information.</w:t>
      </w:r>
    </w:p>
    <w:p>
      <w:r>
        <w:rPr>
          <w:b/>
        </w:rPr>
        <w:t xml:space="preserve">Expected outputs: </w:t>
      </w:r>
      <w:r>
        <w:t>User profile, role profile and access context available from investigation screens.</w:t>
      </w:r>
    </w:p>
    <w:p>
      <w:r>
        <w:rPr>
          <w:b/>
        </w:rPr>
        <w:t xml:space="preserve">Dependencies: </w:t>
      </w:r>
      <w:r>
        <w:t>SAP authorizations and version-specific extraction logic.</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Sensitive authorization data and complex SAP role structures.</w:t>
      </w:r>
    </w:p>
    <w:p>
      <w:r>
        <w:rPr>
          <w:b/>
        </w:rPr>
        <w:t xml:space="preserve">Acceptance criteria: </w:t>
      </w:r>
      <w:r>
        <w:t>SAL can retrieve and timestamp access context and clearly state when the context was captured.</w:t>
      </w:r>
    </w:p>
    <w:p>
      <w:pPr>
        <w:pStyle w:val="Heading3"/>
      </w:pPr>
      <w:r>
        <w:t>S2-06 — GRC Firefighter Integration</w:t>
      </w:r>
    </w:p>
    <w:p>
      <w:r>
        <w:rPr>
          <w:b/>
        </w:rPr>
        <w:t xml:space="preserve">Objective: </w:t>
      </w:r>
      <w:r>
        <w:t>Correlate emergency access sessions with actual audit activity.</w:t>
      </w:r>
    </w:p>
    <w:p>
      <w:r>
        <w:rPr>
          <w:b/>
        </w:rPr>
        <w:t xml:space="preserve">Functionality: </w:t>
      </w:r>
      <w:r>
        <w:t>Show Firefighter user, FFID, session, reason, approver/reviewer context where available and transactions performed during the session.</w:t>
      </w:r>
    </w:p>
    <w:p>
      <w:r>
        <w:rPr>
          <w:b/>
        </w:rPr>
        <w:t xml:space="preserve">Suggested implementation: </w:t>
      </w:r>
      <w:r>
        <w:t>Integrate approved GRC sources/tables or APIs, normalize FF sessions, then correlate time/user/system dimensions with SM20 activity.</w:t>
      </w:r>
    </w:p>
    <w:p>
      <w:r>
        <w:rPr>
          <w:b/>
        </w:rPr>
        <w:t xml:space="preserve">Inputs / data sources: </w:t>
      </w:r>
      <w:r>
        <w:t>GRC Firefighter data + SM20.</w:t>
      </w:r>
    </w:p>
    <w:p>
      <w:r>
        <w:rPr>
          <w:b/>
        </w:rPr>
        <w:t xml:space="preserve">Expected outputs: </w:t>
      </w:r>
      <w:r>
        <w:t>Firefighter investigation timeline and exception reports.</w:t>
      </w:r>
    </w:p>
    <w:p>
      <w:r>
        <w:rPr>
          <w:b/>
        </w:rPr>
        <w:t xml:space="preserve">Dependencies: </w:t>
      </w:r>
      <w:r>
        <w:t>GRC architecture, table/API access, FF session synchronization and customer-specific configuration.</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Decentralized GRC architectures and data synchronization can complicate correlation.</w:t>
      </w:r>
    </w:p>
    <w:p>
      <w:r>
        <w:rPr>
          <w:b/>
        </w:rPr>
        <w:t xml:space="preserve">Acceptance criteria: </w:t>
      </w:r>
      <w:r>
        <w:t>SAL can trace a selected FF session to the relevant captured activity and distinguish exact matches from inferred correlations.</w:t>
      </w:r>
    </w:p>
    <w:p>
      <w:pPr>
        <w:pStyle w:val="Heading3"/>
      </w:pPr>
      <w:r>
        <w:t>S2-07 — GRC ARM / ARA Context</w:t>
      </w:r>
    </w:p>
    <w:p>
      <w:r>
        <w:rPr>
          <w:b/>
        </w:rPr>
        <w:t xml:space="preserve">Objective: </w:t>
      </w:r>
      <w:r>
        <w:t>Connect actual activity with access requests and SoD information.</w:t>
      </w:r>
    </w:p>
    <w:p>
      <w:r>
        <w:rPr>
          <w:b/>
        </w:rPr>
        <w:t xml:space="preserve">Functionality: </w:t>
      </w:r>
      <w:r>
        <w:t>Support queries such as whether a user's critical access was recently requested/approved and whether relevant SoD conflicts exist.</w:t>
      </w:r>
    </w:p>
    <w:p>
      <w:r>
        <w:rPr>
          <w:b/>
        </w:rPr>
        <w:t xml:space="preserve">Suggested implementation: </w:t>
      </w:r>
      <w:r>
        <w:t>Integrate approved GRC data sources, create identity/request/role relationships and expose evidence with timestamps.</w:t>
      </w:r>
    </w:p>
    <w:p>
      <w:r>
        <w:rPr>
          <w:b/>
        </w:rPr>
        <w:t xml:space="preserve">Inputs / data sources: </w:t>
      </w:r>
      <w:r>
        <w:t>GRC ARM/ARA data, user/role data and audit events.</w:t>
      </w:r>
    </w:p>
    <w:p>
      <w:r>
        <w:rPr>
          <w:b/>
        </w:rPr>
        <w:t xml:space="preserve">Expected outputs: </w:t>
      </w:r>
      <w:r>
        <w:t>Investigation context linking access requests, conflicts and actual activity.</w:t>
      </w:r>
    </w:p>
    <w:p>
      <w:r>
        <w:rPr>
          <w:b/>
        </w:rPr>
        <w:t xml:space="preserve">Dependencies: </w:t>
      </w:r>
      <w:r>
        <w:t>GRC configuration, connector permissions and data-model complexity.</w:t>
      </w:r>
    </w:p>
    <w:p>
      <w:r>
        <w:rPr>
          <w:b/>
        </w:rPr>
        <w:t xml:space="preserve">Complexity: </w:t>
      </w:r>
      <w:r>
        <w:t>High</w:t>
      </w:r>
      <w:r>
        <w:t xml:space="preserve"> | </w:t>
      </w:r>
      <w:r>
        <w:rPr>
          <w:b/>
        </w:rPr>
        <w:t xml:space="preserve">Effort: </w:t>
      </w:r>
      <w:r>
        <w:t>4–6 weeks</w:t>
      </w:r>
      <w:r>
        <w:t xml:space="preserve"> | </w:t>
      </w:r>
      <w:r>
        <w:rPr>
          <w:b/>
        </w:rPr>
        <w:t xml:space="preserve">Ease of implementation: </w:t>
      </w:r>
      <w:r>
        <w:t>Medium–Low</w:t>
      </w:r>
    </w:p>
    <w:p>
      <w:r>
        <w:rPr>
          <w:b/>
        </w:rPr>
        <w:t xml:space="preserve">Key risks / considerations: </w:t>
      </w:r>
      <w:r>
        <w:t>Large scope, connector complexity and differences between GRC deployments.</w:t>
      </w:r>
    </w:p>
    <w:p>
      <w:r>
        <w:rPr>
          <w:b/>
        </w:rPr>
        <w:t xml:space="preserve">Acceptance criteria: </w:t>
      </w:r>
      <w:r>
        <w:t>SAL displays GRC context without treating an SoD conflict or access request as proof of improper activity.</w:t>
      </w:r>
    </w:p>
    <w:p>
      <w:pPr>
        <w:pStyle w:val="Heading3"/>
      </w:pPr>
      <w:r>
        <w:t>S2-08 — Cross-System Investigation</w:t>
      </w:r>
    </w:p>
    <w:p>
      <w:r>
        <w:rPr>
          <w:b/>
        </w:rPr>
        <w:t xml:space="preserve">Objective: </w:t>
      </w:r>
      <w:r>
        <w:t>Allow one query to search multiple SAP systems and clients.</w:t>
      </w:r>
    </w:p>
    <w:p>
      <w:r>
        <w:rPr>
          <w:b/>
        </w:rPr>
        <w:t xml:space="preserve">Functionality: </w:t>
      </w:r>
      <w:r>
        <w:t>Example: "Show all FBL5N usage by USER123 across the SAP landscape for the last 30 days."</w:t>
      </w:r>
    </w:p>
    <w:p>
      <w:r>
        <w:rPr>
          <w:b/>
        </w:rPr>
        <w:t xml:space="preserve">Suggested implementation: </w:t>
      </w:r>
      <w:r>
        <w:t>Maintain a system registry and execute the same normalized query across eligible connectors, then merge and tag results.</w:t>
      </w:r>
    </w:p>
    <w:p>
      <w:r>
        <w:rPr>
          <w:b/>
        </w:rPr>
        <w:t xml:space="preserve">Inputs / data sources: </w:t>
      </w:r>
      <w:r>
        <w:t>System registry + normalized event stores.</w:t>
      </w:r>
    </w:p>
    <w:p>
      <w:r>
        <w:rPr>
          <w:b/>
        </w:rPr>
        <w:t xml:space="preserve">Expected outputs: </w:t>
      </w:r>
      <w:r>
        <w:t>Landscape-wide results with system/client columns.</w:t>
      </w:r>
    </w:p>
    <w:p>
      <w:r>
        <w:rPr>
          <w:b/>
        </w:rPr>
        <w:t xml:space="preserve">Dependencies: </w:t>
      </w:r>
      <w:r>
        <w:t>Multiple SAP connectors and normalized schemas.</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Time zones, system clocks, duplicate identities and inconsistent audit configuration.</w:t>
      </w:r>
    </w:p>
    <w:p>
      <w:r>
        <w:rPr>
          <w:b/>
        </w:rPr>
        <w:t xml:space="preserve">Acceptance criteria: </w:t>
      </w:r>
      <w:r>
        <w:t>A cross-system query produces clearly separated and correctly attributed results.</w:t>
      </w:r>
    </w:p>
    <w:p>
      <w:pPr>
        <w:pStyle w:val="Heading3"/>
      </w:pPr>
      <w:r>
        <w:t>S2-09 — Dormant / Unused Access Analysis</w:t>
      </w:r>
    </w:p>
    <w:p>
      <w:r>
        <w:rPr>
          <w:b/>
        </w:rPr>
        <w:t xml:space="preserve">Objective: </w:t>
      </w:r>
      <w:r>
        <w:t>Identify potentially unnecessary access by comparing assigned access with observed usage.</w:t>
      </w:r>
    </w:p>
    <w:p>
      <w:r>
        <w:rPr>
          <w:b/>
        </w:rPr>
        <w:t xml:space="preserve">Functionality: </w:t>
      </w:r>
      <w:r>
        <w:t>Show critical transactions/roles with no observed usage over a configurable period.</w:t>
      </w:r>
    </w:p>
    <w:p>
      <w:r>
        <w:rPr>
          <w:b/>
        </w:rPr>
        <w:t xml:space="preserve">Suggested implementation: </w:t>
      </w:r>
      <w:r>
        <w:t>Correlate access inventory with transaction usage and apply inactivity rules.</w:t>
      </w:r>
    </w:p>
    <w:p>
      <w:r>
        <w:rPr>
          <w:b/>
        </w:rPr>
        <w:t xml:space="preserve">Inputs / data sources: </w:t>
      </w:r>
      <w:r>
        <w:t>Role/access data + audit usage data.</w:t>
      </w:r>
    </w:p>
    <w:p>
      <w:r>
        <w:rPr>
          <w:b/>
        </w:rPr>
        <w:t xml:space="preserve">Expected outputs: </w:t>
      </w:r>
      <w:r>
        <w:t>Unused-access reports and candidate review lists.</w:t>
      </w:r>
    </w:p>
    <w:p>
      <w:r>
        <w:rPr>
          <w:b/>
        </w:rPr>
        <w:t xml:space="preserve">Dependencies: </w:t>
      </w:r>
      <w:r>
        <w:t>Reliable role-to-transaction mapping and adequate log coverage.</w:t>
      </w:r>
    </w:p>
    <w:p>
      <w:r>
        <w:rPr>
          <w:b/>
        </w:rPr>
        <w:t xml:space="preserve">Complexity: </w:t>
      </w:r>
      <w:r>
        <w:t>Medium–High</w:t>
      </w:r>
      <w:r>
        <w:t xml:space="preserve"> | </w:t>
      </w:r>
      <w:r>
        <w:rPr>
          <w:b/>
        </w:rPr>
        <w:t xml:space="preserve">Effort: </w:t>
      </w:r>
      <w:r>
        <w:t>2–4 weeks</w:t>
      </w:r>
      <w:r>
        <w:t xml:space="preserve"> | </w:t>
      </w:r>
      <w:r>
        <w:rPr>
          <w:b/>
        </w:rPr>
        <w:t xml:space="preserve">Ease of implementation: </w:t>
      </w:r>
      <w:r>
        <w:t>Medium</w:t>
      </w:r>
    </w:p>
    <w:p>
      <w:r>
        <w:rPr>
          <w:b/>
        </w:rPr>
        <w:t xml:space="preserve">Key risks / considerations: </w:t>
      </w:r>
      <w:r>
        <w:t>No observed usage does not always mean no business need; logging gaps can create false conclusions.</w:t>
      </w:r>
    </w:p>
    <w:p>
      <w:r>
        <w:rPr>
          <w:b/>
        </w:rPr>
        <w:t xml:space="preserve">Acceptance criteria: </w:t>
      </w:r>
      <w:r>
        <w:t>Reports clearly distinguish "no observed usage" from "proven unused."</w:t>
      </w:r>
    </w:p>
    <w:p>
      <w:pPr>
        <w:pStyle w:val="Heading3"/>
      </w:pPr>
      <w:r>
        <w:t>S2-10 — Terminated User Monitoring</w:t>
      </w:r>
    </w:p>
    <w:p>
      <w:r>
        <w:rPr>
          <w:b/>
        </w:rPr>
        <w:t xml:space="preserve">Objective: </w:t>
      </w:r>
      <w:r>
        <w:t>Detect activity after a user's effective termination time.</w:t>
      </w:r>
    </w:p>
    <w:p>
      <w:r>
        <w:rPr>
          <w:b/>
        </w:rPr>
        <w:t xml:space="preserve">Functionality: </w:t>
      </w:r>
      <w:r>
        <w:t>Compare HR/identity termination records with SAP events and highlight activity after termination.</w:t>
      </w:r>
    </w:p>
    <w:p>
      <w:r>
        <w:rPr>
          <w:b/>
        </w:rPr>
        <w:t xml:space="preserve">Suggested implementation: </w:t>
      </w:r>
      <w:r>
        <w:t>Import a trusted termination feed or connector, store effective timestamps and correlate against audit events.</w:t>
      </w:r>
    </w:p>
    <w:p>
      <w:r>
        <w:rPr>
          <w:b/>
        </w:rPr>
        <w:t xml:space="preserve">Inputs / data sources: </w:t>
      </w:r>
      <w:r>
        <w:t>User termination feed + SAP audit events.</w:t>
      </w:r>
    </w:p>
    <w:p>
      <w:r>
        <w:rPr>
          <w:b/>
        </w:rPr>
        <w:t xml:space="preserve">Expected outputs: </w:t>
      </w:r>
      <w:r>
        <w:t>Post-termination activity alerts and evidence.</w:t>
      </w:r>
    </w:p>
    <w:p>
      <w:r>
        <w:rPr>
          <w:b/>
        </w:rPr>
        <w:t xml:space="preserve">Dependencies: </w:t>
      </w:r>
      <w:r>
        <w:t>Authoritative termination source and identity mapping.</w:t>
      </w:r>
    </w:p>
    <w:p>
      <w:r>
        <w:rPr>
          <w:b/>
        </w:rPr>
        <w:t xml:space="preserve">Complexity: </w:t>
      </w:r>
      <w:r>
        <w:t>Medium</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Delayed HR feeds, time-zone differences and legitimate administrative actions after termination.</w:t>
      </w:r>
    </w:p>
    <w:p>
      <w:r>
        <w:rPr>
          <w:b/>
        </w:rPr>
        <w:t xml:space="preserve">Acceptance criteria: </w:t>
      </w:r>
      <w:r>
        <w:t>The rule uses an explicit effective termination timestamp and records exceptions.</w:t>
      </w:r>
    </w:p>
    <w:p>
      <w:pPr>
        <w:pStyle w:val="Heading3"/>
      </w:pPr>
      <w:r>
        <w:t>S2-11 — Basic Anomaly Rules</w:t>
      </w:r>
    </w:p>
    <w:p>
      <w:r>
        <w:rPr>
          <w:b/>
        </w:rPr>
        <w:t xml:space="preserve">Objective: </w:t>
      </w:r>
      <w:r>
        <w:t>Detect simple deviations from expected behavior without requiring ML.</w:t>
      </w:r>
    </w:p>
    <w:p>
      <w:r>
        <w:rPr>
          <w:b/>
        </w:rPr>
        <w:t xml:space="preserve">Functionality: </w:t>
      </w:r>
      <w:r>
        <w:t>Examples: unusual transaction for user, critical transaction at unusual time, sudden increase in activity, technical user showing interactive behavior.</w:t>
      </w:r>
    </w:p>
    <w:p>
      <w:r>
        <w:rPr>
          <w:b/>
        </w:rPr>
        <w:t xml:space="preserve">Suggested implementation: </w:t>
      </w:r>
      <w:r>
        <w:t>Build a configurable rule engine with thresholds and user/system baselines.</w:t>
      </w:r>
    </w:p>
    <w:p>
      <w:r>
        <w:rPr>
          <w:b/>
        </w:rPr>
        <w:t xml:space="preserve">Inputs / data sources: </w:t>
      </w:r>
      <w:r>
        <w:t>Historical audit events + user/access context.</w:t>
      </w:r>
    </w:p>
    <w:p>
      <w:r>
        <w:rPr>
          <w:b/>
        </w:rPr>
        <w:t xml:space="preserve">Expected outputs: </w:t>
      </w:r>
      <w:r>
        <w:t>Anomaly flags with rule explanations.</w:t>
      </w:r>
    </w:p>
    <w:p>
      <w:r>
        <w:rPr>
          <w:b/>
        </w:rPr>
        <w:t xml:space="preserve">Dependencies: </w:t>
      </w:r>
      <w:r>
        <w:t>Historical data volume and rule governance.</w:t>
      </w:r>
    </w:p>
    <w:p>
      <w:r>
        <w:rPr>
          <w:b/>
        </w:rPr>
        <w:t xml:space="preserve">Complexity: </w:t>
      </w:r>
      <w:r>
        <w:t>Medium</w:t>
      </w:r>
      <w:r>
        <w:t xml:space="preserve"> | </w:t>
      </w:r>
      <w:r>
        <w:rPr>
          <w:b/>
        </w:rPr>
        <w:t xml:space="preserve">Effort: </w:t>
      </w:r>
      <w:r>
        <w:t>2–4 weeks</w:t>
      </w:r>
      <w:r>
        <w:t xml:space="preserve"> | </w:t>
      </w:r>
      <w:r>
        <w:rPr>
          <w:b/>
        </w:rPr>
        <w:t xml:space="preserve">Ease of implementation: </w:t>
      </w:r>
      <w:r>
        <w:t>Medium</w:t>
      </w:r>
    </w:p>
    <w:p>
      <w:r>
        <w:rPr>
          <w:b/>
        </w:rPr>
        <w:t xml:space="preserve">Key risks / considerations: </w:t>
      </w:r>
      <w:r>
        <w:t>False positives, weak baselines and over-alerting.</w:t>
      </w:r>
    </w:p>
    <w:p>
      <w:r>
        <w:rPr>
          <w:b/>
        </w:rPr>
        <w:t xml:space="preserve">Acceptance criteria: </w:t>
      </w:r>
      <w:r>
        <w:t>Every anomaly includes a deterministic reason and tunable threshold.</w:t>
      </w:r>
    </w:p>
    <w:p>
      <w:pPr>
        <w:pStyle w:val="Heading3"/>
      </w:pPr>
      <w:r>
        <w:t>S2-12 — Investigation Report Generator</w:t>
      </w:r>
    </w:p>
    <w:p>
      <w:r>
        <w:rPr>
          <w:b/>
        </w:rPr>
        <w:t xml:space="preserve">Objective: </w:t>
      </w:r>
      <w:r>
        <w:t>Turn investigation results into a standardized report.</w:t>
      </w:r>
    </w:p>
    <w:p>
      <w:r>
        <w:rPr>
          <w:b/>
        </w:rPr>
        <w:t xml:space="preserve">Functionality: </w:t>
      </w:r>
      <w:r>
        <w:t>Generate scope, evidence, findings, timeline, risk indicators and conclusion sections.</w:t>
      </w:r>
    </w:p>
    <w:p>
      <w:r>
        <w:rPr>
          <w:b/>
        </w:rPr>
        <w:t xml:space="preserve">Suggested implementation: </w:t>
      </w:r>
      <w:r>
        <w:t>Use report templates and retain the underlying query definition and evidence identifiers.</w:t>
      </w:r>
    </w:p>
    <w:p>
      <w:r>
        <w:rPr>
          <w:b/>
        </w:rPr>
        <w:t xml:space="preserve">Inputs / data sources: </w:t>
      </w:r>
      <w:r>
        <w:t>Investigation results and evidence metadata.</w:t>
      </w:r>
    </w:p>
    <w:p>
      <w:r>
        <w:rPr>
          <w:b/>
        </w:rPr>
        <w:t xml:space="preserve">Expected outputs: </w:t>
      </w:r>
      <w:r>
        <w:t>Consistent report for auditors, managers and security reviewers.</w:t>
      </w:r>
    </w:p>
    <w:p>
      <w:r>
        <w:rPr>
          <w:b/>
        </w:rPr>
        <w:t xml:space="preserve">Dependencies: </w:t>
      </w:r>
      <w:r>
        <w:t>Approved report template and document generation library.</w:t>
      </w:r>
    </w:p>
    <w:p>
      <w:r>
        <w:rPr>
          <w:b/>
        </w:rPr>
        <w:t xml:space="preserve">Complexity: </w:t>
      </w:r>
      <w:r>
        <w:t>Medium</w:t>
      </w:r>
      <w:r>
        <w:t xml:space="preserve"> | </w:t>
      </w:r>
      <w:r>
        <w:rPr>
          <w:b/>
        </w:rPr>
        <w:t xml:space="preserve">Effort: </w:t>
      </w:r>
      <w:r>
        <w:t>1–2 weeks</w:t>
      </w:r>
      <w:r>
        <w:t xml:space="preserve"> | </w:t>
      </w:r>
      <w:r>
        <w:rPr>
          <w:b/>
        </w:rPr>
        <w:t xml:space="preserve">Ease of implementation: </w:t>
      </w:r>
      <w:r>
        <w:t>High</w:t>
      </w:r>
    </w:p>
    <w:p>
      <w:r>
        <w:rPr>
          <w:b/>
        </w:rPr>
        <w:t xml:space="preserve">Key risks / considerations: </w:t>
      </w:r>
      <w:r>
        <w:t>Generated narratives must not invent facts.</w:t>
      </w:r>
    </w:p>
    <w:p>
      <w:r>
        <w:rPr>
          <w:b/>
        </w:rPr>
        <w:t xml:space="preserve">Acceptance criteria: </w:t>
      </w:r>
      <w:r>
        <w:t>Every finding is traceable to one or more evidence records.</w:t>
      </w:r>
    </w:p>
    <w:p>
      <w:pPr>
        <w:pStyle w:val="Heading2"/>
      </w:pPr>
      <w:r>
        <w:t>Stage 2 detection rule examples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7"/>
              </w:rPr>
              <w:t>Rule</w:t>
            </w:r>
          </w:p>
        </w:tc>
        <w:tc>
          <w:tcPr>
            <w:tcW w:type="dxa" w:w="4464"/>
            <w:vAlign w:val="center"/>
            <w:shd w:fill="D9EAF7"/>
          </w:tcPr>
          <w:p>
            <w:r/>
            <w:r>
              <w:rPr>
                <w:b/>
                <w:sz w:val="17"/>
              </w:rPr>
              <w:t>Logic</w:t>
            </w:r>
          </w:p>
        </w:tc>
        <w:tc>
          <w:tcPr>
            <w:tcW w:type="dxa" w:w="3456"/>
            <w:vAlign w:val="center"/>
            <w:shd w:fill="D9EAF7"/>
          </w:tcPr>
          <w:p>
            <w:r/>
            <w:r>
              <w:rPr>
                <w:b/>
                <w:sz w:val="17"/>
              </w:rPr>
              <w:t>Output</w:t>
            </w:r>
          </w:p>
        </w:tc>
        <w:tc>
          <w:tcPr>
            <w:tcW w:type="dxa" w:w="1440"/>
            <w:vAlign w:val="center"/>
            <w:shd w:fill="D9EAF7"/>
          </w:tcPr>
          <w:p>
            <w:r/>
            <w:r>
              <w:rPr>
                <w:b/>
                <w:sz w:val="17"/>
              </w:rPr>
              <w:t>Risk</w:t>
            </w:r>
          </w:p>
        </w:tc>
      </w:tr>
      <w:tr>
        <w:tc>
          <w:tcPr>
            <w:tcW w:type="dxa" w:w="2160"/>
            <w:vAlign w:val="center"/>
          </w:tcPr>
          <w:p>
            <w:r/>
            <w:r>
              <w:rPr>
                <w:b w:val="0"/>
                <w:sz w:val="17"/>
              </w:rPr>
              <w:t>After-hours critical transaction</w:t>
            </w:r>
          </w:p>
        </w:tc>
        <w:tc>
          <w:tcPr>
            <w:tcW w:type="dxa" w:w="4464"/>
            <w:vAlign w:val="center"/>
          </w:tcPr>
          <w:p>
            <w:r/>
            <w:r>
              <w:rPr>
                <w:b w:val="0"/>
                <w:sz w:val="17"/>
              </w:rPr>
              <w:t>Critical transaction AND outside business hours</w:t>
            </w:r>
          </w:p>
        </w:tc>
        <w:tc>
          <w:tcPr>
            <w:tcW w:type="dxa" w:w="3456"/>
            <w:vAlign w:val="center"/>
          </w:tcPr>
          <w:p>
            <w:r/>
            <w:r>
              <w:rPr>
                <w:b w:val="0"/>
                <w:sz w:val="17"/>
              </w:rPr>
              <w:t>Flag event + user + timestamp</w:t>
            </w:r>
          </w:p>
        </w:tc>
        <w:tc>
          <w:tcPr>
            <w:tcW w:type="dxa" w:w="1440"/>
            <w:vAlign w:val="center"/>
          </w:tcPr>
          <w:p>
            <w:r/>
            <w:r>
              <w:rPr>
                <w:b w:val="0"/>
                <w:sz w:val="17"/>
              </w:rPr>
              <w:t>Medium/High</w:t>
            </w:r>
          </w:p>
        </w:tc>
      </w:tr>
      <w:tr>
        <w:tc>
          <w:tcPr>
            <w:tcW w:type="dxa" w:w="2160"/>
            <w:vAlign w:val="center"/>
          </w:tcPr>
          <w:p>
            <w:r/>
            <w:r>
              <w:rPr>
                <w:b w:val="0"/>
                <w:sz w:val="17"/>
              </w:rPr>
              <w:t>Privileged activity</w:t>
            </w:r>
          </w:p>
        </w:tc>
        <w:tc>
          <w:tcPr>
            <w:tcW w:type="dxa" w:w="4464"/>
            <w:vAlign w:val="center"/>
          </w:tcPr>
          <w:p>
            <w:r/>
            <w:r>
              <w:rPr>
                <w:b w:val="0"/>
                <w:sz w:val="17"/>
              </w:rPr>
              <w:t>Privileged role/user AND critical transaction</w:t>
            </w:r>
          </w:p>
        </w:tc>
        <w:tc>
          <w:tcPr>
            <w:tcW w:type="dxa" w:w="3456"/>
            <w:vAlign w:val="center"/>
          </w:tcPr>
          <w:p>
            <w:r/>
            <w:r>
              <w:rPr>
                <w:b w:val="0"/>
                <w:sz w:val="17"/>
              </w:rPr>
              <w:t>Flag + access context</w:t>
            </w:r>
          </w:p>
        </w:tc>
        <w:tc>
          <w:tcPr>
            <w:tcW w:type="dxa" w:w="1440"/>
            <w:vAlign w:val="center"/>
          </w:tcPr>
          <w:p>
            <w:r/>
            <w:r>
              <w:rPr>
                <w:b w:val="0"/>
                <w:sz w:val="17"/>
              </w:rPr>
              <w:t>High</w:t>
            </w:r>
          </w:p>
        </w:tc>
      </w:tr>
      <w:tr>
        <w:tc>
          <w:tcPr>
            <w:tcW w:type="dxa" w:w="2160"/>
            <w:vAlign w:val="center"/>
          </w:tcPr>
          <w:p>
            <w:r/>
            <w:r>
              <w:rPr>
                <w:b w:val="0"/>
                <w:sz w:val="17"/>
              </w:rPr>
              <w:t>Unusual transaction</w:t>
            </w:r>
          </w:p>
        </w:tc>
        <w:tc>
          <w:tcPr>
            <w:tcW w:type="dxa" w:w="4464"/>
            <w:vAlign w:val="center"/>
          </w:tcPr>
          <w:p>
            <w:r/>
            <w:r>
              <w:rPr>
                <w:b w:val="0"/>
                <w:sz w:val="17"/>
              </w:rPr>
              <w:t>Transaction rarely/never used by user historically</w:t>
            </w:r>
          </w:p>
        </w:tc>
        <w:tc>
          <w:tcPr>
            <w:tcW w:type="dxa" w:w="3456"/>
            <w:vAlign w:val="center"/>
          </w:tcPr>
          <w:p>
            <w:r/>
            <w:r>
              <w:rPr>
                <w:b w:val="0"/>
                <w:sz w:val="17"/>
              </w:rPr>
              <w:t>Deviation indicator</w:t>
            </w:r>
          </w:p>
        </w:tc>
        <w:tc>
          <w:tcPr>
            <w:tcW w:type="dxa" w:w="1440"/>
            <w:vAlign w:val="center"/>
          </w:tcPr>
          <w:p>
            <w:r/>
            <w:r>
              <w:rPr>
                <w:b w:val="0"/>
                <w:sz w:val="17"/>
              </w:rPr>
              <w:t>Medium</w:t>
            </w:r>
          </w:p>
        </w:tc>
      </w:tr>
      <w:tr>
        <w:tc>
          <w:tcPr>
            <w:tcW w:type="dxa" w:w="2160"/>
            <w:vAlign w:val="center"/>
          </w:tcPr>
          <w:p>
            <w:r/>
            <w:r>
              <w:rPr>
                <w:b w:val="0"/>
                <w:sz w:val="17"/>
              </w:rPr>
              <w:t>Technical user interactive activity</w:t>
            </w:r>
          </w:p>
        </w:tc>
        <w:tc>
          <w:tcPr>
            <w:tcW w:type="dxa" w:w="4464"/>
            <w:vAlign w:val="center"/>
          </w:tcPr>
          <w:p>
            <w:r/>
            <w:r>
              <w:rPr>
                <w:b w:val="0"/>
                <w:sz w:val="17"/>
              </w:rPr>
              <w:t>Technical user + interactive login/transaction activity</w:t>
            </w:r>
          </w:p>
        </w:tc>
        <w:tc>
          <w:tcPr>
            <w:tcW w:type="dxa" w:w="3456"/>
            <w:vAlign w:val="center"/>
          </w:tcPr>
          <w:p>
            <w:r/>
            <w:r>
              <w:rPr>
                <w:b w:val="0"/>
                <w:sz w:val="17"/>
              </w:rPr>
              <w:t>Investigation candidate</w:t>
            </w:r>
          </w:p>
        </w:tc>
        <w:tc>
          <w:tcPr>
            <w:tcW w:type="dxa" w:w="1440"/>
            <w:vAlign w:val="center"/>
          </w:tcPr>
          <w:p>
            <w:r/>
            <w:r>
              <w:rPr>
                <w:b w:val="0"/>
                <w:sz w:val="17"/>
              </w:rPr>
              <w:t>High</w:t>
            </w:r>
          </w:p>
        </w:tc>
      </w:tr>
      <w:tr>
        <w:tc>
          <w:tcPr>
            <w:tcW w:type="dxa" w:w="2160"/>
            <w:vAlign w:val="center"/>
          </w:tcPr>
          <w:p>
            <w:r/>
            <w:r>
              <w:rPr>
                <w:b w:val="0"/>
                <w:sz w:val="17"/>
              </w:rPr>
              <w:t>Post-termination activity</w:t>
            </w:r>
          </w:p>
        </w:tc>
        <w:tc>
          <w:tcPr>
            <w:tcW w:type="dxa" w:w="4464"/>
            <w:vAlign w:val="center"/>
          </w:tcPr>
          <w:p>
            <w:r/>
            <w:r>
              <w:rPr>
                <w:b w:val="0"/>
                <w:sz w:val="17"/>
              </w:rPr>
              <w:t>Event timestamp &gt; termination effective timestamp</w:t>
            </w:r>
          </w:p>
        </w:tc>
        <w:tc>
          <w:tcPr>
            <w:tcW w:type="dxa" w:w="3456"/>
            <w:vAlign w:val="center"/>
          </w:tcPr>
          <w:p>
            <w:r/>
            <w:r>
              <w:rPr>
                <w:b w:val="0"/>
                <w:sz w:val="17"/>
              </w:rPr>
              <w:t>Exception</w:t>
            </w:r>
          </w:p>
        </w:tc>
        <w:tc>
          <w:tcPr>
            <w:tcW w:type="dxa" w:w="1440"/>
            <w:vAlign w:val="center"/>
          </w:tcPr>
          <w:p>
            <w:r/>
            <w:r>
              <w:rPr>
                <w:b w:val="0"/>
                <w:sz w:val="17"/>
              </w:rPr>
              <w:t>High</w:t>
            </w:r>
          </w:p>
        </w:tc>
      </w:tr>
      <w:tr>
        <w:tc>
          <w:tcPr>
            <w:tcW w:type="dxa" w:w="2160"/>
            <w:vAlign w:val="center"/>
          </w:tcPr>
          <w:p>
            <w:r/>
            <w:r>
              <w:rPr>
                <w:b w:val="0"/>
                <w:sz w:val="17"/>
              </w:rPr>
              <w:t>FF session + sensitive transaction</w:t>
            </w:r>
          </w:p>
        </w:tc>
        <w:tc>
          <w:tcPr>
            <w:tcW w:type="dxa" w:w="4464"/>
            <w:vAlign w:val="center"/>
          </w:tcPr>
          <w:p>
            <w:r/>
            <w:r>
              <w:rPr>
                <w:b w:val="0"/>
                <w:sz w:val="17"/>
              </w:rPr>
              <w:t>FF session window overlaps critical transaction event</w:t>
            </w:r>
          </w:p>
        </w:tc>
        <w:tc>
          <w:tcPr>
            <w:tcW w:type="dxa" w:w="3456"/>
            <w:vAlign w:val="center"/>
          </w:tcPr>
          <w:p>
            <w:r/>
            <w:r>
              <w:rPr>
                <w:b w:val="0"/>
                <w:sz w:val="17"/>
              </w:rPr>
              <w:t>Correlated FF finding</w:t>
            </w:r>
          </w:p>
        </w:tc>
        <w:tc>
          <w:tcPr>
            <w:tcW w:type="dxa" w:w="1440"/>
            <w:vAlign w:val="center"/>
          </w:tcPr>
          <w:p>
            <w:r/>
            <w:r>
              <w:rPr>
                <w:b w:val="0"/>
                <w:sz w:val="17"/>
              </w:rPr>
              <w:t>High</w:t>
            </w:r>
          </w:p>
        </w:tc>
      </w:tr>
      <w:tr>
        <w:tc>
          <w:tcPr>
            <w:tcW w:type="dxa" w:w="2160"/>
            <w:vAlign w:val="center"/>
          </w:tcPr>
          <w:p>
            <w:r/>
            <w:r>
              <w:rPr>
                <w:b w:val="0"/>
                <w:sz w:val="17"/>
              </w:rPr>
              <w:t>Sudden activity spike</w:t>
            </w:r>
          </w:p>
        </w:tc>
        <w:tc>
          <w:tcPr>
            <w:tcW w:type="dxa" w:w="4464"/>
            <w:vAlign w:val="center"/>
          </w:tcPr>
          <w:p>
            <w:r/>
            <w:r>
              <w:rPr>
                <w:b w:val="0"/>
                <w:sz w:val="17"/>
              </w:rPr>
              <w:t>Current activity exceeds configurable baseline</w:t>
            </w:r>
          </w:p>
        </w:tc>
        <w:tc>
          <w:tcPr>
            <w:tcW w:type="dxa" w:w="3456"/>
            <w:vAlign w:val="center"/>
          </w:tcPr>
          <w:p>
            <w:r/>
            <w:r>
              <w:rPr>
                <w:b w:val="0"/>
                <w:sz w:val="17"/>
              </w:rPr>
              <w:t>Anomaly indicator</w:t>
            </w:r>
          </w:p>
        </w:tc>
        <w:tc>
          <w:tcPr>
            <w:tcW w:type="dxa" w:w="1440"/>
            <w:vAlign w:val="center"/>
          </w:tcPr>
          <w:p>
            <w:r/>
            <w:r>
              <w:rPr>
                <w:b w:val="0"/>
                <w:sz w:val="17"/>
              </w:rPr>
              <w:t>Medium</w:t>
            </w:r>
          </w:p>
        </w:tc>
      </w:tr>
    </w:tbl>
    <w:p/>
    <w:p>
      <w:r>
        <w:br w:type="page"/>
      </w:r>
    </w:p>
    <w:p>
      <w:pPr>
        <w:pStyle w:val="Heading1"/>
      </w:pPr>
      <w:r>
        <w:t>6. STAGE 3 — Full SAL Security Investigation Platform</w:t>
      </w:r>
    </w:p>
    <w:p>
      <w:r>
        <w:t>Stage 3 represents the target product vision. At this point SAL should be able to combine multiple SAP security sources, perform guided or natural-language investigations, correlate evidence, assign explainable risk indicators and produce audit-ready investigation packages. Advanced AI is introduced only after the underlying data, controls and evidence model are mature.</w:t>
      </w:r>
    </w:p>
    <w:p>
      <w:pPr>
        <w:pStyle w:val="Heading2"/>
      </w:pPr>
      <w:r>
        <w:t>Stage 3 feature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vAlign w:val="center"/>
            <w:shd w:fill="D9EAF7"/>
          </w:tcPr>
          <w:p>
            <w:r/>
            <w:r>
              <w:rPr>
                <w:b/>
                <w:sz w:val="17"/>
              </w:rPr>
              <w:t>ID</w:t>
            </w:r>
          </w:p>
        </w:tc>
        <w:tc>
          <w:tcPr>
            <w:tcW w:type="dxa" w:w="2880"/>
            <w:vAlign w:val="center"/>
            <w:shd w:fill="D9EAF7"/>
          </w:tcPr>
          <w:p>
            <w:r/>
            <w:r>
              <w:rPr>
                <w:b/>
                <w:sz w:val="17"/>
              </w:rPr>
              <w:t>Feature</w:t>
            </w:r>
          </w:p>
        </w:tc>
        <w:tc>
          <w:tcPr>
            <w:tcW w:type="dxa" w:w="3600"/>
            <w:vAlign w:val="center"/>
            <w:shd w:fill="D9EAF7"/>
          </w:tcPr>
          <w:p>
            <w:r/>
            <w:r>
              <w:rPr>
                <w:b/>
                <w:sz w:val="17"/>
              </w:rPr>
              <w:t>Value</w:t>
            </w:r>
          </w:p>
        </w:tc>
        <w:tc>
          <w:tcPr>
            <w:tcW w:type="dxa" w:w="1296"/>
            <w:vAlign w:val="center"/>
            <w:shd w:fill="D9EAF7"/>
          </w:tcPr>
          <w:p>
            <w:r/>
            <w:r>
              <w:rPr>
                <w:b/>
                <w:sz w:val="17"/>
              </w:rPr>
              <w:t>Complexity</w:t>
            </w:r>
          </w:p>
        </w:tc>
        <w:tc>
          <w:tcPr>
            <w:tcW w:type="dxa" w:w="1440"/>
            <w:vAlign w:val="center"/>
            <w:shd w:fill="D9EAF7"/>
          </w:tcPr>
          <w:p>
            <w:r/>
            <w:r>
              <w:rPr>
                <w:b/>
                <w:sz w:val="17"/>
              </w:rPr>
              <w:t>Effort</w:t>
            </w:r>
          </w:p>
        </w:tc>
        <w:tc>
          <w:tcPr>
            <w:tcW w:type="dxa" w:w="1152"/>
            <w:vAlign w:val="center"/>
            <w:shd w:fill="D9EAF7"/>
          </w:tcPr>
          <w:p>
            <w:r/>
            <w:r>
              <w:rPr>
                <w:b/>
                <w:sz w:val="17"/>
              </w:rPr>
              <w:t>Ease</w:t>
            </w:r>
          </w:p>
        </w:tc>
        <w:tc>
          <w:tcPr>
            <w:tcW w:type="dxa" w:w="864"/>
            <w:vAlign w:val="center"/>
            <w:shd w:fill="D9EAF7"/>
          </w:tcPr>
          <w:p>
            <w:r/>
            <w:r>
              <w:rPr>
                <w:b/>
                <w:sz w:val="17"/>
              </w:rPr>
              <w:t>Priority</w:t>
            </w:r>
          </w:p>
        </w:tc>
      </w:tr>
      <w:tr>
        <w:tc>
          <w:tcPr>
            <w:tcW w:type="dxa" w:w="864"/>
            <w:vAlign w:val="center"/>
          </w:tcPr>
          <w:p>
            <w:r/>
            <w:r>
              <w:rPr>
                <w:b w:val="0"/>
                <w:sz w:val="17"/>
              </w:rPr>
              <w:t>S3-01</w:t>
            </w:r>
          </w:p>
        </w:tc>
        <w:tc>
          <w:tcPr>
            <w:tcW w:type="dxa" w:w="2880"/>
            <w:vAlign w:val="center"/>
          </w:tcPr>
          <w:p>
            <w:r/>
            <w:r>
              <w:rPr>
                <w:b w:val="0"/>
                <w:sz w:val="17"/>
              </w:rPr>
              <w:t>Natural-Language Security Assistant</w:t>
            </w:r>
          </w:p>
        </w:tc>
        <w:tc>
          <w:tcPr>
            <w:tcW w:type="dxa" w:w="3600"/>
            <w:vAlign w:val="center"/>
          </w:tcPr>
          <w:p>
            <w:r/>
            <w:r>
              <w:rPr>
                <w:b w:val="0"/>
                <w:sz w:val="17"/>
              </w:rPr>
              <w:t>Ask security questions conversationally</w:t>
            </w:r>
          </w:p>
        </w:tc>
        <w:tc>
          <w:tcPr>
            <w:tcW w:type="dxa" w:w="1296"/>
            <w:vAlign w:val="center"/>
          </w:tcPr>
          <w:p>
            <w:r/>
            <w:r>
              <w:rPr>
                <w:b w:val="0"/>
                <w:sz w:val="17"/>
              </w:rPr>
              <w:t>Very High</w:t>
            </w:r>
          </w:p>
        </w:tc>
        <w:tc>
          <w:tcPr>
            <w:tcW w:type="dxa" w:w="1440"/>
            <w:vAlign w:val="center"/>
          </w:tcPr>
          <w:p>
            <w:r/>
            <w:r>
              <w:rPr>
                <w:b w:val="0"/>
                <w:sz w:val="17"/>
              </w:rPr>
              <w:t>5–8 weeks</w:t>
            </w:r>
          </w:p>
        </w:tc>
        <w:tc>
          <w:tcPr>
            <w:tcW w:type="dxa" w:w="1152"/>
            <w:vAlign w:val="center"/>
          </w:tcPr>
          <w:p>
            <w:r/>
            <w:r>
              <w:rPr>
                <w:b w:val="0"/>
                <w:sz w:val="17"/>
              </w:rPr>
              <w:t>Low</w:t>
            </w:r>
          </w:p>
        </w:tc>
        <w:tc>
          <w:tcPr>
            <w:tcW w:type="dxa" w:w="864"/>
            <w:vAlign w:val="center"/>
          </w:tcPr>
          <w:p>
            <w:r/>
            <w:r>
              <w:rPr>
                <w:b w:val="0"/>
                <w:sz w:val="17"/>
              </w:rPr>
              <w:t>P0</w:t>
            </w:r>
          </w:p>
        </w:tc>
      </w:tr>
      <w:tr>
        <w:tc>
          <w:tcPr>
            <w:tcW w:type="dxa" w:w="864"/>
            <w:vAlign w:val="center"/>
          </w:tcPr>
          <w:p>
            <w:r/>
            <w:r>
              <w:rPr>
                <w:b w:val="0"/>
                <w:sz w:val="17"/>
              </w:rPr>
              <w:t>S3-02</w:t>
            </w:r>
          </w:p>
        </w:tc>
        <w:tc>
          <w:tcPr>
            <w:tcW w:type="dxa" w:w="2880"/>
            <w:vAlign w:val="center"/>
          </w:tcPr>
          <w:p>
            <w:r/>
            <w:r>
              <w:rPr>
                <w:b w:val="0"/>
                <w:sz w:val="17"/>
              </w:rPr>
              <w:t>Investigation Playbooks</w:t>
            </w:r>
          </w:p>
        </w:tc>
        <w:tc>
          <w:tcPr>
            <w:tcW w:type="dxa" w:w="3600"/>
            <w:vAlign w:val="center"/>
          </w:tcPr>
          <w:p>
            <w:r/>
            <w:r>
              <w:rPr>
                <w:b w:val="0"/>
                <w:sz w:val="17"/>
              </w:rPr>
              <w:t>Automate repeatable investigations</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S3-03</w:t>
            </w:r>
          </w:p>
        </w:tc>
        <w:tc>
          <w:tcPr>
            <w:tcW w:type="dxa" w:w="2880"/>
            <w:vAlign w:val="center"/>
          </w:tcPr>
          <w:p>
            <w:r/>
            <w:r>
              <w:rPr>
                <w:b w:val="0"/>
                <w:sz w:val="17"/>
              </w:rPr>
              <w:t>Explainable Risk Scoring</w:t>
            </w:r>
          </w:p>
        </w:tc>
        <w:tc>
          <w:tcPr>
            <w:tcW w:type="dxa" w:w="3600"/>
            <w:vAlign w:val="center"/>
          </w:tcPr>
          <w:p>
            <w:r/>
            <w:r>
              <w:rPr>
                <w:b w:val="0"/>
                <w:sz w:val="17"/>
              </w:rPr>
              <w:t>Prioritize investigations</w:t>
            </w:r>
          </w:p>
        </w:tc>
        <w:tc>
          <w:tcPr>
            <w:tcW w:type="dxa" w:w="1296"/>
            <w:vAlign w:val="center"/>
          </w:tcPr>
          <w:p>
            <w:r/>
            <w:r>
              <w:rPr>
                <w:b w:val="0"/>
                <w:sz w:val="17"/>
              </w:rPr>
              <w:t>High</w:t>
            </w:r>
          </w:p>
        </w:tc>
        <w:tc>
          <w:tcPr>
            <w:tcW w:type="dxa" w:w="1440"/>
            <w:vAlign w:val="center"/>
          </w:tcPr>
          <w:p>
            <w:r/>
            <w:r>
              <w:rPr>
                <w:b w:val="0"/>
                <w:sz w:val="17"/>
              </w:rPr>
              <w:t>4–6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S3-04</w:t>
            </w:r>
          </w:p>
        </w:tc>
        <w:tc>
          <w:tcPr>
            <w:tcW w:type="dxa" w:w="2880"/>
            <w:vAlign w:val="center"/>
          </w:tcPr>
          <w:p>
            <w:r/>
            <w:r>
              <w:rPr>
                <w:b w:val="0"/>
                <w:sz w:val="17"/>
              </w:rPr>
              <w:t>Security Case Management</w:t>
            </w:r>
          </w:p>
        </w:tc>
        <w:tc>
          <w:tcPr>
            <w:tcW w:type="dxa" w:w="3600"/>
            <w:vAlign w:val="center"/>
          </w:tcPr>
          <w:p>
            <w:r/>
            <w:r>
              <w:rPr>
                <w:b w:val="0"/>
                <w:sz w:val="17"/>
              </w:rPr>
              <w:t>Track findings from discovery to closure</w:t>
            </w:r>
          </w:p>
        </w:tc>
        <w:tc>
          <w:tcPr>
            <w:tcW w:type="dxa" w:w="1296"/>
            <w:vAlign w:val="center"/>
          </w:tcPr>
          <w:p>
            <w:r/>
            <w:r>
              <w:rPr>
                <w:b w:val="0"/>
                <w:sz w:val="17"/>
              </w:rPr>
              <w:t>High</w:t>
            </w:r>
          </w:p>
        </w:tc>
        <w:tc>
          <w:tcPr>
            <w:tcW w:type="dxa" w:w="1440"/>
            <w:vAlign w:val="center"/>
          </w:tcPr>
          <w:p>
            <w:r/>
            <w:r>
              <w:rPr>
                <w:b w:val="0"/>
                <w:sz w:val="17"/>
              </w:rPr>
              <w:t>4–6 weeks</w:t>
            </w:r>
          </w:p>
        </w:tc>
        <w:tc>
          <w:tcPr>
            <w:tcW w:type="dxa" w:w="1152"/>
            <w:vAlign w:val="center"/>
          </w:tcPr>
          <w:p>
            <w:r/>
            <w:r>
              <w:rPr>
                <w:b w:val="0"/>
                <w:sz w:val="17"/>
              </w:rPr>
              <w:t>Medium</w:t>
            </w:r>
          </w:p>
        </w:tc>
        <w:tc>
          <w:tcPr>
            <w:tcW w:type="dxa" w:w="864"/>
            <w:vAlign w:val="center"/>
          </w:tcPr>
          <w:p>
            <w:r/>
            <w:r>
              <w:rPr>
                <w:b w:val="0"/>
                <w:sz w:val="17"/>
              </w:rPr>
              <w:t>P1</w:t>
            </w:r>
          </w:p>
        </w:tc>
      </w:tr>
      <w:tr>
        <w:tc>
          <w:tcPr>
            <w:tcW w:type="dxa" w:w="864"/>
            <w:vAlign w:val="center"/>
          </w:tcPr>
          <w:p>
            <w:r/>
            <w:r>
              <w:rPr>
                <w:b w:val="0"/>
                <w:sz w:val="17"/>
              </w:rPr>
              <w:t>S3-05</w:t>
            </w:r>
          </w:p>
        </w:tc>
        <w:tc>
          <w:tcPr>
            <w:tcW w:type="dxa" w:w="2880"/>
            <w:vAlign w:val="center"/>
          </w:tcPr>
          <w:p>
            <w:r/>
            <w:r>
              <w:rPr>
                <w:b w:val="0"/>
                <w:sz w:val="17"/>
              </w:rPr>
              <w:t>Multi-Source Correlation Engine</w:t>
            </w:r>
          </w:p>
        </w:tc>
        <w:tc>
          <w:tcPr>
            <w:tcW w:type="dxa" w:w="3600"/>
            <w:vAlign w:val="center"/>
          </w:tcPr>
          <w:p>
            <w:r/>
            <w:r>
              <w:rPr>
                <w:b w:val="0"/>
                <w:sz w:val="17"/>
              </w:rPr>
              <w:t>Combine SAP/GRC/BTP/HANA signals</w:t>
            </w:r>
          </w:p>
        </w:tc>
        <w:tc>
          <w:tcPr>
            <w:tcW w:type="dxa" w:w="1296"/>
            <w:vAlign w:val="center"/>
          </w:tcPr>
          <w:p>
            <w:r/>
            <w:r>
              <w:rPr>
                <w:b w:val="0"/>
                <w:sz w:val="17"/>
              </w:rPr>
              <w:t>Very High</w:t>
            </w:r>
          </w:p>
        </w:tc>
        <w:tc>
          <w:tcPr>
            <w:tcW w:type="dxa" w:w="1440"/>
            <w:vAlign w:val="center"/>
          </w:tcPr>
          <w:p>
            <w:r/>
            <w:r>
              <w:rPr>
                <w:b w:val="0"/>
                <w:sz w:val="17"/>
              </w:rPr>
              <w:t>6–10+ weeks</w:t>
            </w:r>
          </w:p>
        </w:tc>
        <w:tc>
          <w:tcPr>
            <w:tcW w:type="dxa" w:w="1152"/>
            <w:vAlign w:val="center"/>
          </w:tcPr>
          <w:p>
            <w:r/>
            <w:r>
              <w:rPr>
                <w:b w:val="0"/>
                <w:sz w:val="17"/>
              </w:rPr>
              <w:t>Low</w:t>
            </w:r>
          </w:p>
        </w:tc>
        <w:tc>
          <w:tcPr>
            <w:tcW w:type="dxa" w:w="864"/>
            <w:vAlign w:val="center"/>
          </w:tcPr>
          <w:p>
            <w:r/>
            <w:r>
              <w:rPr>
                <w:b w:val="0"/>
                <w:sz w:val="17"/>
              </w:rPr>
              <w:t>P0</w:t>
            </w:r>
          </w:p>
        </w:tc>
      </w:tr>
      <w:tr>
        <w:tc>
          <w:tcPr>
            <w:tcW w:type="dxa" w:w="864"/>
            <w:vAlign w:val="center"/>
          </w:tcPr>
          <w:p>
            <w:r/>
            <w:r>
              <w:rPr>
                <w:b w:val="0"/>
                <w:sz w:val="17"/>
              </w:rPr>
              <w:t>S3-06</w:t>
            </w:r>
          </w:p>
        </w:tc>
        <w:tc>
          <w:tcPr>
            <w:tcW w:type="dxa" w:w="2880"/>
            <w:vAlign w:val="center"/>
          </w:tcPr>
          <w:p>
            <w:r/>
            <w:r>
              <w:rPr>
                <w:b w:val="0"/>
                <w:sz w:val="17"/>
              </w:rPr>
              <w:t>AI Investigation Summary</w:t>
            </w:r>
          </w:p>
        </w:tc>
        <w:tc>
          <w:tcPr>
            <w:tcW w:type="dxa" w:w="3600"/>
            <w:vAlign w:val="center"/>
          </w:tcPr>
          <w:p>
            <w:r/>
            <w:r>
              <w:rPr>
                <w:b w:val="0"/>
                <w:sz w:val="17"/>
              </w:rPr>
              <w:t>Generate evidence-grounded narratives</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S3-07</w:t>
            </w:r>
          </w:p>
        </w:tc>
        <w:tc>
          <w:tcPr>
            <w:tcW w:type="dxa" w:w="2880"/>
            <w:vAlign w:val="center"/>
          </w:tcPr>
          <w:p>
            <w:r/>
            <w:r>
              <w:rPr>
                <w:b w:val="0"/>
                <w:sz w:val="17"/>
              </w:rPr>
              <w:t>Continuous Monitoring &amp; Alerts</w:t>
            </w:r>
          </w:p>
        </w:tc>
        <w:tc>
          <w:tcPr>
            <w:tcW w:type="dxa" w:w="3600"/>
            <w:vAlign w:val="center"/>
          </w:tcPr>
          <w:p>
            <w:r/>
            <w:r>
              <w:rPr>
                <w:b w:val="0"/>
                <w:sz w:val="17"/>
              </w:rPr>
              <w:t>Move from periodic reports to proactive detection</w:t>
            </w:r>
          </w:p>
        </w:tc>
        <w:tc>
          <w:tcPr>
            <w:tcW w:type="dxa" w:w="1296"/>
            <w:vAlign w:val="center"/>
          </w:tcPr>
          <w:p>
            <w:r/>
            <w:r>
              <w:rPr>
                <w:b w:val="0"/>
                <w:sz w:val="17"/>
              </w:rPr>
              <w:t>High</w:t>
            </w:r>
          </w:p>
        </w:tc>
        <w:tc>
          <w:tcPr>
            <w:tcW w:type="dxa" w:w="1440"/>
            <w:vAlign w:val="center"/>
          </w:tcPr>
          <w:p>
            <w:r/>
            <w:r>
              <w:rPr>
                <w:b w:val="0"/>
                <w:sz w:val="17"/>
              </w:rPr>
              <w:t>4–6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S3-08</w:t>
            </w:r>
          </w:p>
        </w:tc>
        <w:tc>
          <w:tcPr>
            <w:tcW w:type="dxa" w:w="2880"/>
            <w:vAlign w:val="center"/>
          </w:tcPr>
          <w:p>
            <w:r/>
            <w:r>
              <w:rPr>
                <w:b w:val="0"/>
                <w:sz w:val="17"/>
              </w:rPr>
              <w:t>Audit Evidence Packs</w:t>
            </w:r>
          </w:p>
        </w:tc>
        <w:tc>
          <w:tcPr>
            <w:tcW w:type="dxa" w:w="3600"/>
            <w:vAlign w:val="center"/>
          </w:tcPr>
          <w:p>
            <w:r/>
            <w:r>
              <w:rPr>
                <w:b w:val="0"/>
                <w:sz w:val="17"/>
              </w:rPr>
              <w:t>Produce defensible evidence packages</w:t>
            </w:r>
          </w:p>
        </w:tc>
        <w:tc>
          <w:tcPr>
            <w:tcW w:type="dxa" w:w="1296"/>
            <w:vAlign w:val="center"/>
          </w:tcPr>
          <w:p>
            <w:r/>
            <w:r>
              <w:rPr>
                <w:b w:val="0"/>
                <w:sz w:val="17"/>
              </w:rPr>
              <w:t>Medium–High</w:t>
            </w:r>
          </w:p>
        </w:tc>
        <w:tc>
          <w:tcPr>
            <w:tcW w:type="dxa" w:w="1440"/>
            <w:vAlign w:val="center"/>
          </w:tcPr>
          <w:p>
            <w:r/>
            <w:r>
              <w:rPr>
                <w:b w:val="0"/>
                <w:sz w:val="17"/>
              </w:rPr>
              <w:t>2–4 weeks</w:t>
            </w:r>
          </w:p>
        </w:tc>
        <w:tc>
          <w:tcPr>
            <w:tcW w:type="dxa" w:w="1152"/>
            <w:vAlign w:val="center"/>
          </w:tcPr>
          <w:p>
            <w:r/>
            <w:r>
              <w:rPr>
                <w:b w:val="0"/>
                <w:sz w:val="17"/>
              </w:rPr>
              <w:t>Medium</w:t>
            </w:r>
          </w:p>
        </w:tc>
        <w:tc>
          <w:tcPr>
            <w:tcW w:type="dxa" w:w="864"/>
            <w:vAlign w:val="center"/>
          </w:tcPr>
          <w:p>
            <w:r/>
            <w:r>
              <w:rPr>
                <w:b w:val="0"/>
                <w:sz w:val="17"/>
              </w:rPr>
              <w:t>P0</w:t>
            </w:r>
          </w:p>
        </w:tc>
      </w:tr>
      <w:tr>
        <w:tc>
          <w:tcPr>
            <w:tcW w:type="dxa" w:w="864"/>
            <w:vAlign w:val="center"/>
          </w:tcPr>
          <w:p>
            <w:r/>
            <w:r>
              <w:rPr>
                <w:b w:val="0"/>
                <w:sz w:val="17"/>
              </w:rPr>
              <w:t>S3-09</w:t>
            </w:r>
          </w:p>
        </w:tc>
        <w:tc>
          <w:tcPr>
            <w:tcW w:type="dxa" w:w="2880"/>
            <w:vAlign w:val="center"/>
          </w:tcPr>
          <w:p>
            <w:r/>
            <w:r>
              <w:rPr>
                <w:b w:val="0"/>
                <w:sz w:val="17"/>
              </w:rPr>
              <w:t>BTP / HANA / IAS / IPS Integrations</w:t>
            </w:r>
          </w:p>
        </w:tc>
        <w:tc>
          <w:tcPr>
            <w:tcW w:type="dxa" w:w="3600"/>
            <w:vAlign w:val="center"/>
          </w:tcPr>
          <w:p>
            <w:r/>
            <w:r>
              <w:rPr>
                <w:b w:val="0"/>
                <w:sz w:val="17"/>
              </w:rPr>
              <w:t>Extend beyond ABAP audit logs</w:t>
            </w:r>
          </w:p>
        </w:tc>
        <w:tc>
          <w:tcPr>
            <w:tcW w:type="dxa" w:w="1296"/>
            <w:vAlign w:val="center"/>
          </w:tcPr>
          <w:p>
            <w:r/>
            <w:r>
              <w:rPr>
                <w:b w:val="0"/>
                <w:sz w:val="17"/>
              </w:rPr>
              <w:t>Very High</w:t>
            </w:r>
          </w:p>
        </w:tc>
        <w:tc>
          <w:tcPr>
            <w:tcW w:type="dxa" w:w="1440"/>
            <w:vAlign w:val="center"/>
          </w:tcPr>
          <w:p>
            <w:r/>
            <w:r>
              <w:rPr>
                <w:b w:val="0"/>
                <w:sz w:val="17"/>
              </w:rPr>
              <w:t>6–12+ weeks</w:t>
            </w:r>
          </w:p>
        </w:tc>
        <w:tc>
          <w:tcPr>
            <w:tcW w:type="dxa" w:w="1152"/>
            <w:vAlign w:val="center"/>
          </w:tcPr>
          <w:p>
            <w:r/>
            <w:r>
              <w:rPr>
                <w:b w:val="0"/>
                <w:sz w:val="17"/>
              </w:rPr>
              <w:t>Low</w:t>
            </w:r>
          </w:p>
        </w:tc>
        <w:tc>
          <w:tcPr>
            <w:tcW w:type="dxa" w:w="864"/>
            <w:vAlign w:val="center"/>
          </w:tcPr>
          <w:p>
            <w:r/>
            <w:r>
              <w:rPr>
                <w:b w:val="0"/>
                <w:sz w:val="17"/>
              </w:rPr>
              <w:t>P1</w:t>
            </w:r>
          </w:p>
        </w:tc>
      </w:tr>
      <w:tr>
        <w:tc>
          <w:tcPr>
            <w:tcW w:type="dxa" w:w="864"/>
            <w:vAlign w:val="center"/>
          </w:tcPr>
          <w:p>
            <w:r/>
            <w:r>
              <w:rPr>
                <w:b w:val="0"/>
                <w:sz w:val="17"/>
              </w:rPr>
              <w:t>S3-10</w:t>
            </w:r>
          </w:p>
        </w:tc>
        <w:tc>
          <w:tcPr>
            <w:tcW w:type="dxa" w:w="2880"/>
            <w:vAlign w:val="center"/>
          </w:tcPr>
          <w:p>
            <w:r/>
            <w:r>
              <w:rPr>
                <w:b w:val="0"/>
                <w:sz w:val="17"/>
              </w:rPr>
              <w:t>Security Operations / SIEM Integration</w:t>
            </w:r>
          </w:p>
        </w:tc>
        <w:tc>
          <w:tcPr>
            <w:tcW w:type="dxa" w:w="3600"/>
            <w:vAlign w:val="center"/>
          </w:tcPr>
          <w:p>
            <w:r/>
            <w:r>
              <w:rPr>
                <w:b w:val="0"/>
                <w:sz w:val="17"/>
              </w:rPr>
              <w:t>Integrate SAL into enterprise monitoring</w:t>
            </w:r>
          </w:p>
        </w:tc>
        <w:tc>
          <w:tcPr>
            <w:tcW w:type="dxa" w:w="1296"/>
            <w:vAlign w:val="center"/>
          </w:tcPr>
          <w:p>
            <w:r/>
            <w:r>
              <w:rPr>
                <w:b w:val="0"/>
                <w:sz w:val="17"/>
              </w:rPr>
              <w:t>High</w:t>
            </w:r>
          </w:p>
        </w:tc>
        <w:tc>
          <w:tcPr>
            <w:tcW w:type="dxa" w:w="1440"/>
            <w:vAlign w:val="center"/>
          </w:tcPr>
          <w:p>
            <w:r/>
            <w:r>
              <w:rPr>
                <w:b w:val="0"/>
                <w:sz w:val="17"/>
              </w:rPr>
              <w:t>3–6 weeks</w:t>
            </w:r>
          </w:p>
        </w:tc>
        <w:tc>
          <w:tcPr>
            <w:tcW w:type="dxa" w:w="1152"/>
            <w:vAlign w:val="center"/>
          </w:tcPr>
          <w:p>
            <w:r/>
            <w:r>
              <w:rPr>
                <w:b w:val="0"/>
                <w:sz w:val="17"/>
              </w:rPr>
              <w:t>Medium</w:t>
            </w:r>
          </w:p>
        </w:tc>
        <w:tc>
          <w:tcPr>
            <w:tcW w:type="dxa" w:w="864"/>
            <w:vAlign w:val="center"/>
          </w:tcPr>
          <w:p>
            <w:r/>
            <w:r>
              <w:rPr>
                <w:b w:val="0"/>
                <w:sz w:val="17"/>
              </w:rPr>
              <w:t>P1</w:t>
            </w:r>
          </w:p>
        </w:tc>
      </w:tr>
      <w:tr>
        <w:tc>
          <w:tcPr>
            <w:tcW w:type="dxa" w:w="864"/>
            <w:vAlign w:val="center"/>
          </w:tcPr>
          <w:p>
            <w:r/>
            <w:r>
              <w:rPr>
                <w:b w:val="0"/>
                <w:sz w:val="17"/>
              </w:rPr>
              <w:t>S3-11</w:t>
            </w:r>
          </w:p>
        </w:tc>
        <w:tc>
          <w:tcPr>
            <w:tcW w:type="dxa" w:w="2880"/>
            <w:vAlign w:val="center"/>
          </w:tcPr>
          <w:p>
            <w:r/>
            <w:r>
              <w:rPr>
                <w:b w:val="0"/>
                <w:sz w:val="17"/>
              </w:rPr>
              <w:t>Advanced Behavioral Analytics</w:t>
            </w:r>
          </w:p>
        </w:tc>
        <w:tc>
          <w:tcPr>
            <w:tcW w:type="dxa" w:w="3600"/>
            <w:vAlign w:val="center"/>
          </w:tcPr>
          <w:p>
            <w:r/>
            <w:r>
              <w:rPr>
                <w:b w:val="0"/>
                <w:sz w:val="17"/>
              </w:rPr>
              <w:t>Detect complex behavior patterns</w:t>
            </w:r>
          </w:p>
        </w:tc>
        <w:tc>
          <w:tcPr>
            <w:tcW w:type="dxa" w:w="1296"/>
            <w:vAlign w:val="center"/>
          </w:tcPr>
          <w:p>
            <w:r/>
            <w:r>
              <w:rPr>
                <w:b w:val="0"/>
                <w:sz w:val="17"/>
              </w:rPr>
              <w:t>Very High</w:t>
            </w:r>
          </w:p>
        </w:tc>
        <w:tc>
          <w:tcPr>
            <w:tcW w:type="dxa" w:w="1440"/>
            <w:vAlign w:val="center"/>
          </w:tcPr>
          <w:p>
            <w:r/>
            <w:r>
              <w:rPr>
                <w:b w:val="0"/>
                <w:sz w:val="17"/>
              </w:rPr>
              <w:t>8–12+ weeks</w:t>
            </w:r>
          </w:p>
        </w:tc>
        <w:tc>
          <w:tcPr>
            <w:tcW w:type="dxa" w:w="1152"/>
            <w:vAlign w:val="center"/>
          </w:tcPr>
          <w:p>
            <w:r/>
            <w:r>
              <w:rPr>
                <w:b w:val="0"/>
                <w:sz w:val="17"/>
              </w:rPr>
              <w:t>Low</w:t>
            </w:r>
          </w:p>
        </w:tc>
        <w:tc>
          <w:tcPr>
            <w:tcW w:type="dxa" w:w="864"/>
            <w:vAlign w:val="center"/>
          </w:tcPr>
          <w:p>
            <w:r/>
            <w:r>
              <w:rPr>
                <w:b w:val="0"/>
                <w:sz w:val="17"/>
              </w:rPr>
              <w:t>P2</w:t>
            </w:r>
          </w:p>
        </w:tc>
      </w:tr>
      <w:tr>
        <w:tc>
          <w:tcPr>
            <w:tcW w:type="dxa" w:w="864"/>
            <w:vAlign w:val="center"/>
          </w:tcPr>
          <w:p>
            <w:r/>
            <w:r>
              <w:rPr>
                <w:b w:val="0"/>
                <w:sz w:val="17"/>
              </w:rPr>
              <w:t>S3-12</w:t>
            </w:r>
          </w:p>
        </w:tc>
        <w:tc>
          <w:tcPr>
            <w:tcW w:type="dxa" w:w="2880"/>
            <w:vAlign w:val="center"/>
          </w:tcPr>
          <w:p>
            <w:r/>
            <w:r>
              <w:rPr>
                <w:b w:val="0"/>
                <w:sz w:val="17"/>
              </w:rPr>
              <w:t>Governance / Configuration Compliance</w:t>
            </w:r>
          </w:p>
        </w:tc>
        <w:tc>
          <w:tcPr>
            <w:tcW w:type="dxa" w:w="3600"/>
            <w:vAlign w:val="center"/>
          </w:tcPr>
          <w:p>
            <w:r/>
            <w:r>
              <w:rPr>
                <w:b w:val="0"/>
                <w:sz w:val="17"/>
              </w:rPr>
              <w:t>Continuously assess security logging controls</w:t>
            </w:r>
          </w:p>
        </w:tc>
        <w:tc>
          <w:tcPr>
            <w:tcW w:type="dxa" w:w="1296"/>
            <w:vAlign w:val="center"/>
          </w:tcPr>
          <w:p>
            <w:r/>
            <w:r>
              <w:rPr>
                <w:b w:val="0"/>
                <w:sz w:val="17"/>
              </w:rPr>
              <w:t>High</w:t>
            </w:r>
          </w:p>
        </w:tc>
        <w:tc>
          <w:tcPr>
            <w:tcW w:type="dxa" w:w="1440"/>
            <w:vAlign w:val="center"/>
          </w:tcPr>
          <w:p>
            <w:r/>
            <w:r>
              <w:rPr>
                <w:b w:val="0"/>
                <w:sz w:val="17"/>
              </w:rPr>
              <w:t>3–5 weeks</w:t>
            </w:r>
          </w:p>
        </w:tc>
        <w:tc>
          <w:tcPr>
            <w:tcW w:type="dxa" w:w="1152"/>
            <w:vAlign w:val="center"/>
          </w:tcPr>
          <w:p>
            <w:r/>
            <w:r>
              <w:rPr>
                <w:b w:val="0"/>
                <w:sz w:val="17"/>
              </w:rPr>
              <w:t>Medium</w:t>
            </w:r>
          </w:p>
        </w:tc>
        <w:tc>
          <w:tcPr>
            <w:tcW w:type="dxa" w:w="864"/>
            <w:vAlign w:val="center"/>
          </w:tcPr>
          <w:p>
            <w:r/>
            <w:r>
              <w:rPr>
                <w:b w:val="0"/>
                <w:sz w:val="17"/>
              </w:rPr>
              <w:t>P1</w:t>
            </w:r>
          </w:p>
        </w:tc>
      </w:tr>
    </w:tbl>
    <w:p/>
    <w:p>
      <w:pPr>
        <w:pStyle w:val="Heading3"/>
      </w:pPr>
      <w:r>
        <w:t>S3-01 — Natural-Language Security Assistant</w:t>
      </w:r>
    </w:p>
    <w:p>
      <w:r>
        <w:rPr>
          <w:b/>
        </w:rPr>
        <w:t xml:space="preserve">Objective: </w:t>
      </w:r>
      <w:r>
        <w:t>Allow consultants to ask SAL questions in natural language.</w:t>
      </w:r>
    </w:p>
    <w:p>
      <w:r>
        <w:rPr>
          <w:b/>
        </w:rPr>
        <w:t xml:space="preserve">Functionality: </w:t>
      </w:r>
      <w:r>
        <w:t>Examples: "Who used FBL5N in the last 7 days?", "Show critical activity outside business hours", "Investigate USER123", "Which users used SE16N this month?"</w:t>
      </w:r>
    </w:p>
    <w:p>
      <w:r>
        <w:rPr>
          <w:b/>
        </w:rPr>
        <w:t xml:space="preserve">Suggested implementation: </w:t>
      </w:r>
      <w:r>
        <w:t>Use an LLM only as an intent/planning layer. Convert natural language into a constrained SAL query object; validate the query; execute it through approved services; provide evidence-backed results.</w:t>
      </w:r>
    </w:p>
    <w:p>
      <w:r>
        <w:rPr>
          <w:b/>
        </w:rPr>
        <w:t xml:space="preserve">Inputs / data sources: </w:t>
      </w:r>
      <w:r>
        <w:t>User prompt + SAL metadata/catalogue + normalized event store.</w:t>
      </w:r>
    </w:p>
    <w:p>
      <w:r>
        <w:rPr>
          <w:b/>
        </w:rPr>
        <w:t xml:space="preserve">Expected outputs: </w:t>
      </w:r>
      <w:r>
        <w:t>Structured result, explanation, filters applied and evidence references.</w:t>
      </w:r>
    </w:p>
    <w:p>
      <w:r>
        <w:rPr>
          <w:b/>
        </w:rPr>
        <w:t xml:space="preserve">Dependencies: </w:t>
      </w:r>
      <w:r>
        <w:t>Stage 1/2 query services, secure LLM integration, prompt governance and access control.</w:t>
      </w:r>
    </w:p>
    <w:p>
      <w:r>
        <w:rPr>
          <w:b/>
        </w:rPr>
        <w:t xml:space="preserve">Complexity: </w:t>
      </w:r>
      <w:r>
        <w:t>Very High</w:t>
      </w:r>
      <w:r>
        <w:t xml:space="preserve"> | </w:t>
      </w:r>
      <w:r>
        <w:rPr>
          <w:b/>
        </w:rPr>
        <w:t xml:space="preserve">Effort: </w:t>
      </w:r>
      <w:r>
        <w:t>5–8 weeks</w:t>
      </w:r>
      <w:r>
        <w:t xml:space="preserve"> | </w:t>
      </w:r>
      <w:r>
        <w:rPr>
          <w:b/>
        </w:rPr>
        <w:t xml:space="preserve">Ease of implementation: </w:t>
      </w:r>
      <w:r>
        <w:t>Low</w:t>
      </w:r>
    </w:p>
    <w:p>
      <w:r>
        <w:rPr>
          <w:b/>
        </w:rPr>
        <w:t xml:space="preserve">Key risks / considerations: </w:t>
      </w:r>
      <w:r>
        <w:t>Prompt injection, hallucination, unauthorized data access, ambiguous time periods and unsafe query generation.</w:t>
      </w:r>
    </w:p>
    <w:p>
      <w:r>
        <w:rPr>
          <w:b/>
        </w:rPr>
        <w:t xml:space="preserve">Acceptance criteria: </w:t>
      </w:r>
      <w:r>
        <w:t>The assistant cannot bypass RBAC, only generates supported query types, shows applied filters and never fabricates evidence.</w:t>
      </w:r>
    </w:p>
    <w:p>
      <w:pPr>
        <w:pStyle w:val="Heading3"/>
      </w:pPr>
      <w:r>
        <w:t>S3-02 — Investigation Playbooks</w:t>
      </w:r>
    </w:p>
    <w:p>
      <w:r>
        <w:rPr>
          <w:b/>
        </w:rPr>
        <w:t xml:space="preserve">Objective: </w:t>
      </w:r>
      <w:r>
        <w:t>Automate repeatable security investigations.</w:t>
      </w:r>
    </w:p>
    <w:p>
      <w:r>
        <w:rPr>
          <w:b/>
        </w:rPr>
        <w:t xml:space="preserve">Functionality: </w:t>
      </w:r>
      <w:r>
        <w:t>Playbooks such as Terminated User, Privileged User, Firefighter Session, Suspicious Transaction, Critical Transaction and User Investigation.</w:t>
      </w:r>
    </w:p>
    <w:p>
      <w:r>
        <w:rPr>
          <w:b/>
        </w:rPr>
        <w:t xml:space="preserve">Suggested implementation: </w:t>
      </w:r>
      <w:r>
        <w:t>Represent playbooks as versioned workflows containing input parameters, query steps, rules and report templates.</w:t>
      </w:r>
    </w:p>
    <w:p>
      <w:r>
        <w:rPr>
          <w:b/>
        </w:rPr>
        <w:t xml:space="preserve">Inputs / data sources: </w:t>
      </w:r>
      <w:r>
        <w:t>Playbook parameters and connected data sources.</w:t>
      </w:r>
    </w:p>
    <w:p>
      <w:r>
        <w:rPr>
          <w:b/>
        </w:rPr>
        <w:t xml:space="preserve">Expected outputs: </w:t>
      </w:r>
      <w:r>
        <w:t>Repeatable investigation results and evidence packages.</w:t>
      </w:r>
    </w:p>
    <w:p>
      <w:r>
        <w:rPr>
          <w:b/>
        </w:rPr>
        <w:t xml:space="preserve">Dependencies: </w:t>
      </w:r>
      <w:r>
        <w:t>Stage 2 connectors and rule engine.</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Playbook logic must be versioned and reviewed; data-source gaps must be explicit.</w:t>
      </w:r>
    </w:p>
    <w:p>
      <w:r>
        <w:rPr>
          <w:b/>
        </w:rPr>
        <w:t xml:space="preserve">Acceptance criteria: </w:t>
      </w:r>
      <w:r>
        <w:t>A playbook executes all defined steps, records failures and produces a reproducible evidence trail.</w:t>
      </w:r>
    </w:p>
    <w:p>
      <w:pPr>
        <w:pStyle w:val="Heading3"/>
      </w:pPr>
      <w:r>
        <w:t>S3-03 — Explainable Risk Scoring</w:t>
      </w:r>
    </w:p>
    <w:p>
      <w:r>
        <w:rPr>
          <w:b/>
        </w:rPr>
        <w:t xml:space="preserve">Objective: </w:t>
      </w:r>
      <w:r>
        <w:t>Prioritize users/events/cases based on multiple evidence-backed indicators.</w:t>
      </w:r>
    </w:p>
    <w:p>
      <w:r>
        <w:rPr>
          <w:b/>
        </w:rPr>
        <w:t xml:space="preserve">Functionality: </w:t>
      </w:r>
      <w:r>
        <w:t>Calculate scores from configurable factors such as privileged access, critical transaction use, after-hours activity, unusual behavior, Firefighter usage and post-termination activity.</w:t>
      </w:r>
    </w:p>
    <w:p>
      <w:r>
        <w:rPr>
          <w:b/>
        </w:rPr>
        <w:t xml:space="preserve">Suggested implementation: </w:t>
      </w:r>
      <w:r>
        <w:t>Use deterministic weighted scoring initially. Store the rule/version that produced each score. Introduce ML only after the rule-based model is stable.</w:t>
      </w:r>
    </w:p>
    <w:p>
      <w:r>
        <w:rPr>
          <w:b/>
        </w:rPr>
        <w:t xml:space="preserve">Inputs / data sources: </w:t>
      </w:r>
      <w:r>
        <w:t>Correlated events, access context and rule results.</w:t>
      </w:r>
    </w:p>
    <w:p>
      <w:r>
        <w:rPr>
          <w:b/>
        </w:rPr>
        <w:t xml:space="preserve">Expected outputs: </w:t>
      </w:r>
      <w:r>
        <w:t>Risk score with factor-by-factor explanation.</w:t>
      </w:r>
    </w:p>
    <w:p>
      <w:r>
        <w:rPr>
          <w:b/>
        </w:rPr>
        <w:t xml:space="preserve">Dependencies: </w:t>
      </w:r>
      <w:r>
        <w:t>Mature Stage 2 rules and governance.</w:t>
      </w:r>
    </w:p>
    <w:p>
      <w:r>
        <w:rPr>
          <w:b/>
        </w:rPr>
        <w:t xml:space="preserve">Complexity: </w:t>
      </w:r>
      <w:r>
        <w:t>High</w:t>
      </w:r>
      <w:r>
        <w:t xml:space="preserve"> | </w:t>
      </w:r>
      <w:r>
        <w:rPr>
          <w:b/>
        </w:rPr>
        <w:t xml:space="preserve">Effort: </w:t>
      </w:r>
      <w:r>
        <w:t>4–6 weeks</w:t>
      </w:r>
      <w:r>
        <w:t xml:space="preserve"> | </w:t>
      </w:r>
      <w:r>
        <w:rPr>
          <w:b/>
        </w:rPr>
        <w:t xml:space="preserve">Ease of implementation: </w:t>
      </w:r>
      <w:r>
        <w:t>Medium</w:t>
      </w:r>
    </w:p>
    <w:p>
      <w:r>
        <w:rPr>
          <w:b/>
        </w:rPr>
        <w:t xml:space="preserve">Key risks / considerations: </w:t>
      </w:r>
      <w:r>
        <w:t>Risk scores can create false confidence; scores should prioritize review rather than make final security decisions.</w:t>
      </w:r>
    </w:p>
    <w:p>
      <w:r>
        <w:rPr>
          <w:b/>
        </w:rPr>
        <w:t xml:space="preserve">Acceptance criteria: </w:t>
      </w:r>
      <w:r>
        <w:t>Every score is explainable, versioned and reproducible.</w:t>
      </w:r>
    </w:p>
    <w:p>
      <w:pPr>
        <w:pStyle w:val="Heading3"/>
      </w:pPr>
      <w:r>
        <w:t>S3-04 — Security Case Management</w:t>
      </w:r>
    </w:p>
    <w:p>
      <w:r>
        <w:rPr>
          <w:b/>
        </w:rPr>
        <w:t xml:space="preserve">Objective: </w:t>
      </w:r>
      <w:r>
        <w:t>Track investigations from discovery to resolution.</w:t>
      </w:r>
    </w:p>
    <w:p>
      <w:r>
        <w:rPr>
          <w:b/>
        </w:rPr>
        <w:t xml:space="preserve">Functionality: </w:t>
      </w:r>
      <w:r>
        <w:t>Create cases, assign investigators, add evidence, notes, findings, reviewers, status and closure reasons.</w:t>
      </w:r>
    </w:p>
    <w:p>
      <w:r>
        <w:rPr>
          <w:b/>
        </w:rPr>
        <w:t xml:space="preserve">Suggested implementation: </w:t>
      </w:r>
      <w:r>
        <w:t>Build a case entity linked to immutable evidence references and investigation runs.</w:t>
      </w:r>
    </w:p>
    <w:p>
      <w:r>
        <w:rPr>
          <w:b/>
        </w:rPr>
        <w:t xml:space="preserve">Inputs / data sources: </w:t>
      </w:r>
      <w:r>
        <w:t>Investigation findings and user-entered case metadata.</w:t>
      </w:r>
    </w:p>
    <w:p>
      <w:r>
        <w:rPr>
          <w:b/>
        </w:rPr>
        <w:t xml:space="preserve">Expected outputs: </w:t>
      </w:r>
      <w:r>
        <w:t>Case dashboard, status history and evidence package.</w:t>
      </w:r>
    </w:p>
    <w:p>
      <w:r>
        <w:rPr>
          <w:b/>
        </w:rPr>
        <w:t xml:space="preserve">Dependencies: </w:t>
      </w:r>
      <w:r>
        <w:t>RBAC, retention and audit trail.</w:t>
      </w:r>
    </w:p>
    <w:p>
      <w:r>
        <w:rPr>
          <w:b/>
        </w:rPr>
        <w:t xml:space="preserve">Complexity: </w:t>
      </w:r>
      <w:r>
        <w:t>High</w:t>
      </w:r>
      <w:r>
        <w:t xml:space="preserve"> | </w:t>
      </w:r>
      <w:r>
        <w:rPr>
          <w:b/>
        </w:rPr>
        <w:t xml:space="preserve">Effort: </w:t>
      </w:r>
      <w:r>
        <w:t>4–6 weeks</w:t>
      </w:r>
      <w:r>
        <w:t xml:space="preserve"> | </w:t>
      </w:r>
      <w:r>
        <w:rPr>
          <w:b/>
        </w:rPr>
        <w:t xml:space="preserve">Ease of implementation: </w:t>
      </w:r>
      <w:r>
        <w:t>Medium</w:t>
      </w:r>
    </w:p>
    <w:p>
      <w:r>
        <w:rPr>
          <w:b/>
        </w:rPr>
        <w:t xml:space="preserve">Key risks / considerations: </w:t>
      </w:r>
      <w:r>
        <w:t>Case data may contain sensitive personal and security information; retention and access must be tightly controlled.</w:t>
      </w:r>
    </w:p>
    <w:p>
      <w:r>
        <w:rPr>
          <w:b/>
        </w:rPr>
        <w:t xml:space="preserve">Acceptance criteria: </w:t>
      </w:r>
      <w:r>
        <w:t>Every case has a complete lifecycle and immutable evidence references.</w:t>
      </w:r>
    </w:p>
    <w:p>
      <w:pPr>
        <w:pStyle w:val="Heading3"/>
      </w:pPr>
      <w:r>
        <w:t>S3-05 — Multi-Source Correlation Engine</w:t>
      </w:r>
    </w:p>
    <w:p>
      <w:r>
        <w:rPr>
          <w:b/>
        </w:rPr>
        <w:t xml:space="preserve">Objective: </w:t>
      </w:r>
      <w:r>
        <w:t>Correlate events from SAP ABAP, GRC and eventually cloud/security sources.</w:t>
      </w:r>
    </w:p>
    <w:p>
      <w:r>
        <w:rPr>
          <w:b/>
        </w:rPr>
        <w:t xml:space="preserve">Functionality: </w:t>
      </w:r>
      <w:r>
        <w:t>Join signals using user identity, system, client, timestamp, session and related object identifiers.</w:t>
      </w:r>
    </w:p>
    <w:p>
      <w:r>
        <w:rPr>
          <w:b/>
        </w:rPr>
        <w:t xml:space="preserve">Suggested implementation: </w:t>
      </w:r>
      <w:r>
        <w:t>Use a correlation service with a common entity/event model. Apply confidence levels to correlations and preserve exact vs inferred relationships.</w:t>
      </w:r>
    </w:p>
    <w:p>
      <w:r>
        <w:rPr>
          <w:b/>
        </w:rPr>
        <w:t xml:space="preserve">Inputs / data sources: </w:t>
      </w:r>
      <w:r>
        <w:t>SM20, GRC, SU01/PFCG/SUIM and future sources.</w:t>
      </w:r>
    </w:p>
    <w:p>
      <w:r>
        <w:rPr>
          <w:b/>
        </w:rPr>
        <w:t xml:space="preserve">Expected outputs: </w:t>
      </w:r>
      <w:r>
        <w:t>Unified investigation graph/timeline.</w:t>
      </w:r>
    </w:p>
    <w:p>
      <w:r>
        <w:rPr>
          <w:b/>
        </w:rPr>
        <w:t xml:space="preserve">Dependencies: </w:t>
      </w:r>
      <w:r>
        <w:t>Mature connectors, identity mapping and event normalization.</w:t>
      </w:r>
    </w:p>
    <w:p>
      <w:r>
        <w:rPr>
          <w:b/>
        </w:rPr>
        <w:t xml:space="preserve">Complexity: </w:t>
      </w:r>
      <w:r>
        <w:t>Very High</w:t>
      </w:r>
      <w:r>
        <w:t xml:space="preserve"> | </w:t>
      </w:r>
      <w:r>
        <w:rPr>
          <w:b/>
        </w:rPr>
        <w:t xml:space="preserve">Effort: </w:t>
      </w:r>
      <w:r>
        <w:t>6–10+ weeks</w:t>
      </w:r>
      <w:r>
        <w:t xml:space="preserve"> | </w:t>
      </w:r>
      <w:r>
        <w:rPr>
          <w:b/>
        </w:rPr>
        <w:t xml:space="preserve">Ease of implementation: </w:t>
      </w:r>
      <w:r>
        <w:t>Low</w:t>
      </w:r>
    </w:p>
    <w:p>
      <w:r>
        <w:rPr>
          <w:b/>
        </w:rPr>
        <w:t xml:space="preserve">Key risks / considerations: </w:t>
      </w:r>
      <w:r>
        <w:t>Identity mismatches, clock drift, incomplete logs and false correlations.</w:t>
      </w:r>
    </w:p>
    <w:p>
      <w:r>
        <w:rPr>
          <w:b/>
        </w:rPr>
        <w:t xml:space="preserve">Acceptance criteria: </w:t>
      </w:r>
      <w:r>
        <w:t>Every correlation identifies the join criteria and confidence; inferred relationships are never presented as exact evidence.</w:t>
      </w:r>
    </w:p>
    <w:p>
      <w:pPr>
        <w:pStyle w:val="Heading3"/>
      </w:pPr>
      <w:r>
        <w:t>S3-06 — AI Investigation Summary</w:t>
      </w:r>
    </w:p>
    <w:p>
      <w:r>
        <w:rPr>
          <w:b/>
        </w:rPr>
        <w:t xml:space="preserve">Objective: </w:t>
      </w:r>
      <w:r>
        <w:t>Summarize investigation evidence into consultant-friendly language.</w:t>
      </w:r>
    </w:p>
    <w:p>
      <w:r>
        <w:rPr>
          <w:b/>
        </w:rPr>
        <w:t xml:space="preserve">Functionality: </w:t>
      </w:r>
      <w:r>
        <w:t>Generate executive summary, key findings, timeline highlights, anomalies and recommended review points.</w:t>
      </w:r>
    </w:p>
    <w:p>
      <w:r>
        <w:rPr>
          <w:b/>
        </w:rPr>
        <w:t xml:space="preserve">Suggested implementation: </w:t>
      </w:r>
      <w:r>
        <w:t>Feed only retrieved and permission-checked evidence to the model. Require citations/references to SAL evidence records in the generated output.</w:t>
      </w:r>
    </w:p>
    <w:p>
      <w:r>
        <w:rPr>
          <w:b/>
        </w:rPr>
        <w:t xml:space="preserve">Inputs / data sources: </w:t>
      </w:r>
      <w:r>
        <w:t>Evidence set + investigation metadata.</w:t>
      </w:r>
    </w:p>
    <w:p>
      <w:r>
        <w:rPr>
          <w:b/>
        </w:rPr>
        <w:t xml:space="preserve">Expected outputs: </w:t>
      </w:r>
      <w:r>
        <w:t>Evidence-grounded summary and report draft.</w:t>
      </w:r>
    </w:p>
    <w:p>
      <w:r>
        <w:rPr>
          <w:b/>
        </w:rPr>
        <w:t xml:space="preserve">Dependencies: </w:t>
      </w:r>
      <w:r>
        <w:t>Secure LLM integration and evidence-reference mechanism.</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Hallucination, unsupported conclusions and leakage of sensitive data to external AI services.</w:t>
      </w:r>
    </w:p>
    <w:p>
      <w:r>
        <w:rPr>
          <w:b/>
        </w:rPr>
        <w:t xml:space="preserve">Acceptance criteria: </w:t>
      </w:r>
      <w:r>
        <w:t>The summary contains no material claim without a corresponding SAL evidence reference.</w:t>
      </w:r>
    </w:p>
    <w:p>
      <w:pPr>
        <w:pStyle w:val="Heading3"/>
      </w:pPr>
      <w:r>
        <w:t>S3-07 — Continuous Monitoring &amp; Alerts</w:t>
      </w:r>
    </w:p>
    <w:p>
      <w:r>
        <w:rPr>
          <w:b/>
        </w:rPr>
        <w:t xml:space="preserve">Objective: </w:t>
      </w:r>
      <w:r>
        <w:t>Move from on-demand investigations to proactive detection.</w:t>
      </w:r>
    </w:p>
    <w:p>
      <w:r>
        <w:rPr>
          <w:b/>
        </w:rPr>
        <w:t xml:space="preserve">Functionality: </w:t>
      </w:r>
      <w:r>
        <w:t>Alert on high-risk events, post-termination activity, critical after-hours activity, suspicious privilege changes and selected anomaly patterns.</w:t>
      </w:r>
    </w:p>
    <w:p>
      <w:r>
        <w:rPr>
          <w:b/>
        </w:rPr>
        <w:t xml:space="preserve">Suggested implementation: </w:t>
      </w:r>
      <w:r>
        <w:t>Run detection rules continuously or in scheduled batches. Add alert deduplication, severity and notification channels.</w:t>
      </w:r>
    </w:p>
    <w:p>
      <w:r>
        <w:rPr>
          <w:b/>
        </w:rPr>
        <w:t xml:space="preserve">Inputs / data sources: </w:t>
      </w:r>
      <w:r>
        <w:t>Streaming/incremental events and detection rules.</w:t>
      </w:r>
    </w:p>
    <w:p>
      <w:r>
        <w:rPr>
          <w:b/>
        </w:rPr>
        <w:t xml:space="preserve">Expected outputs: </w:t>
      </w:r>
      <w:r>
        <w:t>Alert queue, notifications and linked investigations.</w:t>
      </w:r>
    </w:p>
    <w:p>
      <w:r>
        <w:rPr>
          <w:b/>
        </w:rPr>
        <w:t xml:space="preserve">Dependencies: </w:t>
      </w:r>
      <w:r>
        <w:t>Scheduler/event ingestion, alerting and operations.</w:t>
      </w:r>
    </w:p>
    <w:p>
      <w:r>
        <w:rPr>
          <w:b/>
        </w:rPr>
        <w:t xml:space="preserve">Complexity: </w:t>
      </w:r>
      <w:r>
        <w:t>High</w:t>
      </w:r>
      <w:r>
        <w:t xml:space="preserve"> | </w:t>
      </w:r>
      <w:r>
        <w:rPr>
          <w:b/>
        </w:rPr>
        <w:t xml:space="preserve">Effort: </w:t>
      </w:r>
      <w:r>
        <w:t>4–6 weeks</w:t>
      </w:r>
      <w:r>
        <w:t xml:space="preserve"> | </w:t>
      </w:r>
      <w:r>
        <w:rPr>
          <w:b/>
        </w:rPr>
        <w:t xml:space="preserve">Ease of implementation: </w:t>
      </w:r>
      <w:r>
        <w:t>Medium</w:t>
      </w:r>
    </w:p>
    <w:p>
      <w:r>
        <w:rPr>
          <w:b/>
        </w:rPr>
        <w:t xml:space="preserve">Key risks / considerations: </w:t>
      </w:r>
      <w:r>
        <w:t>Alert fatigue and operational support requirements.</w:t>
      </w:r>
    </w:p>
    <w:p>
      <w:r>
        <w:rPr>
          <w:b/>
        </w:rPr>
        <w:t xml:space="preserve">Acceptance criteria: </w:t>
      </w:r>
      <w:r>
        <w:t>Alerts are actionable, deduplicated and linked to the exact evidence that triggered them.</w:t>
      </w:r>
    </w:p>
    <w:p>
      <w:pPr>
        <w:pStyle w:val="Heading3"/>
      </w:pPr>
      <w:r>
        <w:t>S3-08 — Audit Evidence Packs</w:t>
      </w:r>
    </w:p>
    <w:p>
      <w:r>
        <w:rPr>
          <w:b/>
        </w:rPr>
        <w:t xml:space="preserve">Objective: </w:t>
      </w:r>
      <w:r>
        <w:t>Create a defensible package for audit/compliance investigations.</w:t>
      </w:r>
    </w:p>
    <w:p>
      <w:r>
        <w:rPr>
          <w:b/>
        </w:rPr>
        <w:t xml:space="preserve">Functionality: </w:t>
      </w:r>
      <w:r>
        <w:t>Bundle query scope, source systems, raw/normalized evidence references, timestamps, findings, investigator actions and report.</w:t>
      </w:r>
    </w:p>
    <w:p>
      <w:r>
        <w:rPr>
          <w:b/>
        </w:rPr>
        <w:t xml:space="preserve">Suggested implementation: </w:t>
      </w:r>
      <w:r>
        <w:t>Generate a versioned evidence package with integrity metadata and controlled export.</w:t>
      </w:r>
    </w:p>
    <w:p>
      <w:r>
        <w:rPr>
          <w:b/>
        </w:rPr>
        <w:t xml:space="preserve">Inputs / data sources: </w:t>
      </w:r>
      <w:r>
        <w:t>Investigation case and evidence records.</w:t>
      </w:r>
    </w:p>
    <w:p>
      <w:r>
        <w:rPr>
          <w:b/>
        </w:rPr>
        <w:t xml:space="preserve">Expected outputs: </w:t>
      </w:r>
      <w:r>
        <w:t>Audit-ready evidence package.</w:t>
      </w:r>
    </w:p>
    <w:p>
      <w:r>
        <w:rPr>
          <w:b/>
        </w:rPr>
        <w:t xml:space="preserve">Dependencies: </w:t>
      </w:r>
      <w:r>
        <w:t>Retention, encryption and access-control policies.</w:t>
      </w:r>
    </w:p>
    <w:p>
      <w:r>
        <w:rPr>
          <w:b/>
        </w:rPr>
        <w:t xml:space="preserve">Complexity: </w:t>
      </w:r>
      <w:r>
        <w:t>Medium–High</w:t>
      </w:r>
      <w:r>
        <w:t xml:space="preserve"> | </w:t>
      </w:r>
      <w:r>
        <w:rPr>
          <w:b/>
        </w:rPr>
        <w:t xml:space="preserve">Effort: </w:t>
      </w:r>
      <w:r>
        <w:t>2–4 weeks</w:t>
      </w:r>
      <w:r>
        <w:t xml:space="preserve"> | </w:t>
      </w:r>
      <w:r>
        <w:rPr>
          <w:b/>
        </w:rPr>
        <w:t xml:space="preserve">Ease of implementation: </w:t>
      </w:r>
      <w:r>
        <w:t>Medium</w:t>
      </w:r>
    </w:p>
    <w:p>
      <w:r>
        <w:rPr>
          <w:b/>
        </w:rPr>
        <w:t xml:space="preserve">Key risks / considerations: </w:t>
      </w:r>
      <w:r>
        <w:t>Evidence tampering, incomplete chain of custody and over-retention.</w:t>
      </w:r>
    </w:p>
    <w:p>
      <w:r>
        <w:rPr>
          <w:b/>
        </w:rPr>
        <w:t xml:space="preserve">Acceptance criteria: </w:t>
      </w:r>
      <w:r>
        <w:t>A reviewer can determine what was queried, when, by whom and which evidence supported each finding.</w:t>
      </w:r>
    </w:p>
    <w:p>
      <w:pPr>
        <w:pStyle w:val="Heading3"/>
      </w:pPr>
      <w:r>
        <w:t>S3-09 — BTP / HANA / IAS / IPS Integrations</w:t>
      </w:r>
    </w:p>
    <w:p>
      <w:r>
        <w:rPr>
          <w:b/>
        </w:rPr>
        <w:t xml:space="preserve">Objective: </w:t>
      </w:r>
      <w:r>
        <w:t>Extend SAL beyond traditional ABAP Security Audit Log sources.</w:t>
      </w:r>
    </w:p>
    <w:p>
      <w:r>
        <w:rPr>
          <w:b/>
        </w:rPr>
        <w:t xml:space="preserve">Functionality: </w:t>
      </w:r>
      <w:r>
        <w:t>Potential sources include HANA audit logs, SAP BTP audit logs, SAP Cloud Identity Services logs and identity lifecycle events.</w:t>
      </w:r>
    </w:p>
    <w:p>
      <w:r>
        <w:rPr>
          <w:b/>
        </w:rPr>
        <w:t xml:space="preserve">Suggested implementation: </w:t>
      </w:r>
      <w:r>
        <w:t>Implement each source as a separate connector using APIs/export mechanisms appropriate to the platform. Normalize into the SAL event model.</w:t>
      </w:r>
    </w:p>
    <w:p>
      <w:r>
        <w:rPr>
          <w:b/>
        </w:rPr>
        <w:t xml:space="preserve">Inputs / data sources: </w:t>
      </w:r>
      <w:r>
        <w:t>Cloud audit/security events.</w:t>
      </w:r>
    </w:p>
    <w:p>
      <w:r>
        <w:rPr>
          <w:b/>
        </w:rPr>
        <w:t xml:space="preserve">Expected outputs: </w:t>
      </w:r>
      <w:r>
        <w:t>Cross-platform investigation results.</w:t>
      </w:r>
    </w:p>
    <w:p>
      <w:r>
        <w:rPr>
          <w:b/>
        </w:rPr>
        <w:t xml:space="preserve">Dependencies: </w:t>
      </w:r>
      <w:r>
        <w:t>Tenant permissions, APIs, network/security architecture and customer licensing.</w:t>
      </w:r>
    </w:p>
    <w:p>
      <w:r>
        <w:rPr>
          <w:b/>
        </w:rPr>
        <w:t xml:space="preserve">Complexity: </w:t>
      </w:r>
      <w:r>
        <w:t>Very High</w:t>
      </w:r>
      <w:r>
        <w:t xml:space="preserve"> | </w:t>
      </w:r>
      <w:r>
        <w:rPr>
          <w:b/>
        </w:rPr>
        <w:t xml:space="preserve">Effort: </w:t>
      </w:r>
      <w:r>
        <w:t>6–12+ weeks</w:t>
      </w:r>
      <w:r>
        <w:t xml:space="preserve"> | </w:t>
      </w:r>
      <w:r>
        <w:rPr>
          <w:b/>
        </w:rPr>
        <w:t xml:space="preserve">Ease of implementation: </w:t>
      </w:r>
      <w:r>
        <w:t>Low</w:t>
      </w:r>
    </w:p>
    <w:p>
      <w:r>
        <w:rPr>
          <w:b/>
        </w:rPr>
        <w:t xml:space="preserve">Key risks / considerations: </w:t>
      </w:r>
      <w:r>
        <w:t>Each platform has different identity models, APIs and retention behavior.</w:t>
      </w:r>
    </w:p>
    <w:p>
      <w:r>
        <w:rPr>
          <w:b/>
        </w:rPr>
        <w:t xml:space="preserve">Acceptance criteria: </w:t>
      </w:r>
      <w:r>
        <w:t>New connectors do not require redesign of the core investigation engine.</w:t>
      </w:r>
    </w:p>
    <w:p>
      <w:pPr>
        <w:pStyle w:val="Heading3"/>
      </w:pPr>
      <w:r>
        <w:t>S3-10 — SIEM / Security Operations Integration</w:t>
      </w:r>
    </w:p>
    <w:p>
      <w:r>
        <w:rPr>
          <w:b/>
        </w:rPr>
        <w:t xml:space="preserve">Objective: </w:t>
      </w:r>
      <w:r>
        <w:t>Allow SAL findings to feed enterprise security monitoring.</w:t>
      </w:r>
    </w:p>
    <w:p>
      <w:r>
        <w:rPr>
          <w:b/>
        </w:rPr>
        <w:t xml:space="preserve">Functionality: </w:t>
      </w:r>
      <w:r>
        <w:t>Forward selected alerts/findings to approved SIEM/SOC platforms and optionally accept incident references back into SAL.</w:t>
      </w:r>
    </w:p>
    <w:p>
      <w:r>
        <w:rPr>
          <w:b/>
        </w:rPr>
        <w:t xml:space="preserve">Suggested implementation: </w:t>
      </w:r>
      <w:r>
        <w:t>Implement outbound integrations using REST, syslog, message bus or approved enterprise mechanisms.</w:t>
      </w:r>
    </w:p>
    <w:p>
      <w:r>
        <w:rPr>
          <w:b/>
        </w:rPr>
        <w:t xml:space="preserve">Inputs / data sources: </w:t>
      </w:r>
      <w:r>
        <w:t>SAL alerts and case metadata.</w:t>
      </w:r>
    </w:p>
    <w:p>
      <w:r>
        <w:rPr>
          <w:b/>
        </w:rPr>
        <w:t xml:space="preserve">Expected outputs: </w:t>
      </w:r>
      <w:r>
        <w:t>SIEM events/incidents with SAL references.</w:t>
      </w:r>
    </w:p>
    <w:p>
      <w:r>
        <w:rPr>
          <w:b/>
        </w:rPr>
        <w:t xml:space="preserve">Dependencies: </w:t>
      </w:r>
      <w:r>
        <w:t>Enterprise security architecture and API access.</w:t>
      </w:r>
    </w:p>
    <w:p>
      <w:r>
        <w:rPr>
          <w:b/>
        </w:rPr>
        <w:t xml:space="preserve">Complexity: </w:t>
      </w:r>
      <w:r>
        <w:t>High</w:t>
      </w:r>
      <w:r>
        <w:t xml:space="preserve"> | </w:t>
      </w:r>
      <w:r>
        <w:rPr>
          <w:b/>
        </w:rPr>
        <w:t xml:space="preserve">Effort: </w:t>
      </w:r>
      <w:r>
        <w:t>3–6 weeks</w:t>
      </w:r>
      <w:r>
        <w:t xml:space="preserve"> | </w:t>
      </w:r>
      <w:r>
        <w:rPr>
          <w:b/>
        </w:rPr>
        <w:t xml:space="preserve">Ease of implementation: </w:t>
      </w:r>
      <w:r>
        <w:t>Medium</w:t>
      </w:r>
    </w:p>
    <w:p>
      <w:r>
        <w:rPr>
          <w:b/>
        </w:rPr>
        <w:t xml:space="preserve">Key risks / considerations: </w:t>
      </w:r>
      <w:r>
        <w:t>Sensitive SAP data leaving SAL; payload minimization and access control are essential.</w:t>
      </w:r>
    </w:p>
    <w:p>
      <w:r>
        <w:rPr>
          <w:b/>
        </w:rPr>
        <w:t xml:space="preserve">Acceptance criteria: </w:t>
      </w:r>
      <w:r>
        <w:t>SIEM records retain a stable reference back to the SAL evidence/case.</w:t>
      </w:r>
    </w:p>
    <w:p>
      <w:pPr>
        <w:pStyle w:val="Heading3"/>
      </w:pPr>
      <w:r>
        <w:t>S3-11 — Advanced Behavioral Analytics</w:t>
      </w:r>
    </w:p>
    <w:p>
      <w:r>
        <w:rPr>
          <w:b/>
        </w:rPr>
        <w:t xml:space="preserve">Objective: </w:t>
      </w:r>
      <w:r>
        <w:t>Identify complex deviations that are difficult to express with simple rules.</w:t>
      </w:r>
    </w:p>
    <w:p>
      <w:r>
        <w:rPr>
          <w:b/>
        </w:rPr>
        <w:t xml:space="preserve">Functionality: </w:t>
      </w:r>
      <w:r>
        <w:t>Potential models include peer-group analysis, user behavior baselines, transaction sequence anomalies and activity-volume anomalies.</w:t>
      </w:r>
    </w:p>
    <w:p>
      <w:r>
        <w:rPr>
          <w:b/>
        </w:rPr>
        <w:t xml:space="preserve">Suggested implementation: </w:t>
      </w:r>
      <w:r>
        <w:t>Start with statistical baselines. Introduce supervised/unsupervised ML only when data quality, labeling and governance are sufficient.</w:t>
      </w:r>
    </w:p>
    <w:p>
      <w:r>
        <w:rPr>
          <w:b/>
        </w:rPr>
        <w:t xml:space="preserve">Inputs / data sources: </w:t>
      </w:r>
      <w:r>
        <w:t>Historical normalized events and user/access context.</w:t>
      </w:r>
    </w:p>
    <w:p>
      <w:r>
        <w:rPr>
          <w:b/>
        </w:rPr>
        <w:t xml:space="preserve">Expected outputs: </w:t>
      </w:r>
      <w:r>
        <w:t>Anomaly scores, contributing features and analyst review workflow.</w:t>
      </w:r>
    </w:p>
    <w:p>
      <w:r>
        <w:rPr>
          <w:b/>
        </w:rPr>
        <w:t xml:space="preserve">Dependencies: </w:t>
      </w:r>
      <w:r>
        <w:t>Large historical dataset, feature engineering, model governance and monitoring.</w:t>
      </w:r>
    </w:p>
    <w:p>
      <w:r>
        <w:rPr>
          <w:b/>
        </w:rPr>
        <w:t xml:space="preserve">Complexity: </w:t>
      </w:r>
      <w:r>
        <w:t>Very High</w:t>
      </w:r>
      <w:r>
        <w:t xml:space="preserve"> | </w:t>
      </w:r>
      <w:r>
        <w:rPr>
          <w:b/>
        </w:rPr>
        <w:t xml:space="preserve">Effort: </w:t>
      </w:r>
      <w:r>
        <w:t>8–12+ weeks</w:t>
      </w:r>
      <w:r>
        <w:t xml:space="preserve"> | </w:t>
      </w:r>
      <w:r>
        <w:rPr>
          <w:b/>
        </w:rPr>
        <w:t xml:space="preserve">Ease of implementation: </w:t>
      </w:r>
      <w:r>
        <w:t>Low</w:t>
      </w:r>
    </w:p>
    <w:p>
      <w:r>
        <w:rPr>
          <w:b/>
        </w:rPr>
        <w:t xml:space="preserve">Key risks / considerations: </w:t>
      </w:r>
      <w:r>
        <w:t>Model drift, bias, false positives and explainability.</w:t>
      </w:r>
    </w:p>
    <w:p>
      <w:r>
        <w:rPr>
          <w:b/>
        </w:rPr>
        <w:t xml:space="preserve">Acceptance criteria: </w:t>
      </w:r>
      <w:r>
        <w:t>Models have measurable validation criteria, monitored performance and human-review controls.</w:t>
      </w:r>
    </w:p>
    <w:p>
      <w:pPr>
        <w:pStyle w:val="Heading3"/>
      </w:pPr>
      <w:r>
        <w:t>S3-12 — Governance / Configuration Compliance</w:t>
      </w:r>
    </w:p>
    <w:p>
      <w:r>
        <w:rPr>
          <w:b/>
        </w:rPr>
        <w:t xml:space="preserve">Objective: </w:t>
      </w:r>
      <w:r>
        <w:t>Continuously assess whether audit/security logging controls remain aligned with an approved baseline.</w:t>
      </w:r>
    </w:p>
    <w:p>
      <w:r>
        <w:rPr>
          <w:b/>
        </w:rPr>
        <w:t xml:space="preserve">Functionality: </w:t>
      </w:r>
      <w:r>
        <w:t>Compare SM19 and related security configurations against a baseline and show deviations across systems.</w:t>
      </w:r>
    </w:p>
    <w:p>
      <w:r>
        <w:rPr>
          <w:b/>
        </w:rPr>
        <w:t xml:space="preserve">Suggested implementation: </w:t>
      </w:r>
      <w:r>
        <w:t>Store versioned control definitions and configuration snapshots; create compliance rules and exceptions.</w:t>
      </w:r>
    </w:p>
    <w:p>
      <w:r>
        <w:rPr>
          <w:b/>
        </w:rPr>
        <w:t xml:space="preserve">Inputs / data sources: </w:t>
      </w:r>
      <w:r>
        <w:t>SM19/configuration snapshots and governance baseline.</w:t>
      </w:r>
    </w:p>
    <w:p>
      <w:r>
        <w:rPr>
          <w:b/>
        </w:rPr>
        <w:t xml:space="preserve">Expected outputs: </w:t>
      </w:r>
      <w:r>
        <w:t>Compliance dashboard, exceptions and remediation recommendations.</w:t>
      </w:r>
    </w:p>
    <w:p>
      <w:r>
        <w:rPr>
          <w:b/>
        </w:rPr>
        <w:t xml:space="preserve">Dependencies: </w:t>
      </w:r>
      <w:r>
        <w:t>Configuration extraction and governance ownership.</w:t>
      </w:r>
    </w:p>
    <w:p>
      <w:r>
        <w:rPr>
          <w:b/>
        </w:rPr>
        <w:t xml:space="preserve">Complexity: </w:t>
      </w:r>
      <w:r>
        <w:t>High</w:t>
      </w:r>
      <w:r>
        <w:t xml:space="preserve"> | </w:t>
      </w:r>
      <w:r>
        <w:rPr>
          <w:b/>
        </w:rPr>
        <w:t xml:space="preserve">Effort: </w:t>
      </w:r>
      <w:r>
        <w:t>3–5 weeks</w:t>
      </w:r>
      <w:r>
        <w:t xml:space="preserve"> | </w:t>
      </w:r>
      <w:r>
        <w:rPr>
          <w:b/>
        </w:rPr>
        <w:t xml:space="preserve">Ease of implementation: </w:t>
      </w:r>
      <w:r>
        <w:t>Medium</w:t>
      </w:r>
    </w:p>
    <w:p>
      <w:r>
        <w:rPr>
          <w:b/>
        </w:rPr>
        <w:t xml:space="preserve">Key risks / considerations: </w:t>
      </w:r>
      <w:r>
        <w:t>Baseline may differ by system and business requirement; avoid treating one configuration as universally correct.</w:t>
      </w:r>
    </w:p>
    <w:p>
      <w:r>
        <w:rPr>
          <w:b/>
        </w:rPr>
        <w:t xml:space="preserve">Acceptance criteria: </w:t>
      </w:r>
      <w:r>
        <w:t>Each deviation references the applicable control, baseline version and evidence.</w:t>
      </w:r>
    </w:p>
    <w:p>
      <w:pPr>
        <w:pStyle w:val="Heading1"/>
      </w:pPr>
      <w:r>
        <w:t>7. Consolidated Feature Backlog for Brainstorming</w:t>
      </w:r>
    </w:p>
    <w:p>
      <w:r>
        <w:t>The following matrix can be used as a workshop backlog. Priority should be decided after validating actual consultant pain points, SAP technical feasibility and data availability.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80"/>
            <w:vAlign w:val="center"/>
            <w:shd w:fill="D9EAF7"/>
          </w:tcPr>
          <w:p>
            <w:r/>
            <w:r>
              <w:rPr>
                <w:b/>
                <w:sz w:val="17"/>
              </w:rPr>
              <w:t>Capability</w:t>
            </w:r>
          </w:p>
        </w:tc>
        <w:tc>
          <w:tcPr>
            <w:tcW w:type="dxa" w:w="1008"/>
            <w:vAlign w:val="center"/>
            <w:shd w:fill="D9EAF7"/>
          </w:tcPr>
          <w:p>
            <w:r/>
            <w:r>
              <w:rPr>
                <w:b/>
                <w:sz w:val="17"/>
              </w:rPr>
              <w:t>Stage</w:t>
            </w:r>
          </w:p>
        </w:tc>
        <w:tc>
          <w:tcPr>
            <w:tcW w:type="dxa" w:w="1728"/>
            <w:vAlign w:val="center"/>
            <w:shd w:fill="D9EAF7"/>
          </w:tcPr>
          <w:p>
            <w:r/>
            <w:r>
              <w:rPr>
                <w:b/>
                <w:sz w:val="17"/>
              </w:rPr>
              <w:t>Business value</w:t>
            </w:r>
          </w:p>
        </w:tc>
        <w:tc>
          <w:tcPr>
            <w:tcW w:type="dxa" w:w="2160"/>
            <w:vAlign w:val="center"/>
            <w:shd w:fill="D9EAF7"/>
          </w:tcPr>
          <w:p>
            <w:r/>
            <w:r>
              <w:rPr>
                <w:b/>
                <w:sz w:val="17"/>
              </w:rPr>
              <w:t>Technical complexity</w:t>
            </w:r>
          </w:p>
        </w:tc>
        <w:tc>
          <w:tcPr>
            <w:tcW w:type="dxa" w:w="2880"/>
            <w:vAlign w:val="center"/>
            <w:shd w:fill="D9EAF7"/>
          </w:tcPr>
          <w:p>
            <w:r/>
            <w:r>
              <w:rPr>
                <w:b/>
                <w:sz w:val="17"/>
              </w:rPr>
              <w:t>Dependency</w:t>
            </w:r>
          </w:p>
        </w:tc>
        <w:tc>
          <w:tcPr>
            <w:tcW w:type="dxa" w:w="2304"/>
            <w:vAlign w:val="center"/>
            <w:shd w:fill="D9EAF7"/>
          </w:tcPr>
          <w:p>
            <w:r/>
            <w:r>
              <w:rPr>
                <w:b/>
                <w:sz w:val="17"/>
              </w:rPr>
              <w:t>Suggested decision</w:t>
            </w:r>
          </w:p>
        </w:tc>
      </w:tr>
      <w:tr>
        <w:tc>
          <w:tcPr>
            <w:tcW w:type="dxa" w:w="2880"/>
            <w:vAlign w:val="center"/>
          </w:tcPr>
          <w:p>
            <w:r/>
            <w:r>
              <w:rPr>
                <w:b w:val="0"/>
                <w:sz w:val="17"/>
              </w:rPr>
              <w:t>SM20 extraction</w:t>
            </w:r>
          </w:p>
        </w:tc>
        <w:tc>
          <w:tcPr>
            <w:tcW w:type="dxa" w:w="1008"/>
            <w:vAlign w:val="center"/>
          </w:tcPr>
          <w:p>
            <w:r/>
            <w:r>
              <w:rPr>
                <w:b w:val="0"/>
                <w:sz w:val="17"/>
              </w:rPr>
              <w:t>1</w:t>
            </w:r>
          </w:p>
        </w:tc>
        <w:tc>
          <w:tcPr>
            <w:tcW w:type="dxa" w:w="1728"/>
            <w:vAlign w:val="center"/>
          </w:tcPr>
          <w:p>
            <w:r/>
            <w:r>
              <w:rPr>
                <w:b w:val="0"/>
                <w:sz w:val="17"/>
              </w:rPr>
              <w:t>Very High</w:t>
            </w:r>
          </w:p>
        </w:tc>
        <w:tc>
          <w:tcPr>
            <w:tcW w:type="dxa" w:w="2160"/>
            <w:vAlign w:val="center"/>
          </w:tcPr>
          <w:p>
            <w:r/>
            <w:r>
              <w:rPr>
                <w:b w:val="0"/>
                <w:sz w:val="17"/>
              </w:rPr>
              <w:t>Medium</w:t>
            </w:r>
          </w:p>
        </w:tc>
        <w:tc>
          <w:tcPr>
            <w:tcW w:type="dxa" w:w="2880"/>
            <w:vAlign w:val="center"/>
          </w:tcPr>
          <w:p>
            <w:r/>
            <w:r>
              <w:rPr>
                <w:b w:val="0"/>
                <w:sz w:val="17"/>
              </w:rPr>
              <w:t>SAP connectivity</w:t>
            </w:r>
          </w:p>
        </w:tc>
        <w:tc>
          <w:tcPr>
            <w:tcW w:type="dxa" w:w="2304"/>
            <w:vAlign w:val="center"/>
          </w:tcPr>
          <w:p>
            <w:r/>
            <w:r>
              <w:rPr>
                <w:b w:val="0"/>
                <w:sz w:val="17"/>
              </w:rPr>
              <w:t>Must have</w:t>
            </w:r>
          </w:p>
        </w:tc>
      </w:tr>
      <w:tr>
        <w:tc>
          <w:tcPr>
            <w:tcW w:type="dxa" w:w="2880"/>
            <w:vAlign w:val="center"/>
          </w:tcPr>
          <w:p>
            <w:r/>
            <w:r>
              <w:rPr>
                <w:b w:val="0"/>
                <w:sz w:val="17"/>
              </w:rPr>
              <w:t>SM19 configuration</w:t>
            </w:r>
          </w:p>
        </w:tc>
        <w:tc>
          <w:tcPr>
            <w:tcW w:type="dxa" w:w="1008"/>
            <w:vAlign w:val="center"/>
          </w:tcPr>
          <w:p>
            <w:r/>
            <w:r>
              <w:rPr>
                <w:b w:val="0"/>
                <w:sz w:val="17"/>
              </w:rPr>
              <w:t>1</w:t>
            </w:r>
          </w:p>
        </w:tc>
        <w:tc>
          <w:tcPr>
            <w:tcW w:type="dxa" w:w="1728"/>
            <w:vAlign w:val="center"/>
          </w:tcPr>
          <w:p>
            <w:r/>
            <w:r>
              <w:rPr>
                <w:b w:val="0"/>
                <w:sz w:val="17"/>
              </w:rPr>
              <w:t>High</w:t>
            </w:r>
          </w:p>
        </w:tc>
        <w:tc>
          <w:tcPr>
            <w:tcW w:type="dxa" w:w="2160"/>
            <w:vAlign w:val="center"/>
          </w:tcPr>
          <w:p>
            <w:r/>
            <w:r>
              <w:rPr>
                <w:b w:val="0"/>
                <w:sz w:val="17"/>
              </w:rPr>
              <w:t>Medium</w:t>
            </w:r>
          </w:p>
        </w:tc>
        <w:tc>
          <w:tcPr>
            <w:tcW w:type="dxa" w:w="2880"/>
            <w:vAlign w:val="center"/>
          </w:tcPr>
          <w:p>
            <w:r/>
            <w:r>
              <w:rPr>
                <w:b w:val="0"/>
                <w:sz w:val="17"/>
              </w:rPr>
              <w:t>SAP configuration access</w:t>
            </w:r>
          </w:p>
        </w:tc>
        <w:tc>
          <w:tcPr>
            <w:tcW w:type="dxa" w:w="2304"/>
            <w:vAlign w:val="center"/>
          </w:tcPr>
          <w:p>
            <w:r/>
            <w:r>
              <w:rPr>
                <w:b w:val="0"/>
                <w:sz w:val="17"/>
              </w:rPr>
              <w:t>Must have</w:t>
            </w:r>
          </w:p>
        </w:tc>
      </w:tr>
      <w:tr>
        <w:tc>
          <w:tcPr>
            <w:tcW w:type="dxa" w:w="2880"/>
            <w:vAlign w:val="center"/>
          </w:tcPr>
          <w:p>
            <w:r/>
            <w:r>
              <w:rPr>
                <w:b w:val="0"/>
                <w:sz w:val="17"/>
              </w:rPr>
              <w:t>FBL5N/transaction usage query</w:t>
            </w:r>
          </w:p>
        </w:tc>
        <w:tc>
          <w:tcPr>
            <w:tcW w:type="dxa" w:w="1008"/>
            <w:vAlign w:val="center"/>
          </w:tcPr>
          <w:p>
            <w:r/>
            <w:r>
              <w:rPr>
                <w:b w:val="0"/>
                <w:sz w:val="17"/>
              </w:rPr>
              <w:t>1</w:t>
            </w:r>
          </w:p>
        </w:tc>
        <w:tc>
          <w:tcPr>
            <w:tcW w:type="dxa" w:w="1728"/>
            <w:vAlign w:val="center"/>
          </w:tcPr>
          <w:p>
            <w:r/>
            <w:r>
              <w:rPr>
                <w:b w:val="0"/>
                <w:sz w:val="17"/>
              </w:rPr>
              <w:t>Very High</w:t>
            </w:r>
          </w:p>
        </w:tc>
        <w:tc>
          <w:tcPr>
            <w:tcW w:type="dxa" w:w="2160"/>
            <w:vAlign w:val="center"/>
          </w:tcPr>
          <w:p>
            <w:r/>
            <w:r>
              <w:rPr>
                <w:b w:val="0"/>
                <w:sz w:val="17"/>
              </w:rPr>
              <w:t>Low</w:t>
            </w:r>
          </w:p>
        </w:tc>
        <w:tc>
          <w:tcPr>
            <w:tcW w:type="dxa" w:w="2880"/>
            <w:vAlign w:val="center"/>
          </w:tcPr>
          <w:p>
            <w:r/>
            <w:r>
              <w:rPr>
                <w:b w:val="0"/>
                <w:sz w:val="17"/>
              </w:rPr>
              <w:t>SM20</w:t>
            </w:r>
          </w:p>
        </w:tc>
        <w:tc>
          <w:tcPr>
            <w:tcW w:type="dxa" w:w="2304"/>
            <w:vAlign w:val="center"/>
          </w:tcPr>
          <w:p>
            <w:r/>
            <w:r>
              <w:rPr>
                <w:b w:val="0"/>
                <w:sz w:val="17"/>
              </w:rPr>
              <w:t>MVP flagship</w:t>
            </w:r>
          </w:p>
        </w:tc>
      </w:tr>
      <w:tr>
        <w:tc>
          <w:tcPr>
            <w:tcW w:type="dxa" w:w="2880"/>
            <w:vAlign w:val="center"/>
          </w:tcPr>
          <w:p>
            <w:r/>
            <w:r>
              <w:rPr>
                <w:b w:val="0"/>
                <w:sz w:val="17"/>
              </w:rPr>
              <w:t>User activity search</w:t>
            </w:r>
          </w:p>
        </w:tc>
        <w:tc>
          <w:tcPr>
            <w:tcW w:type="dxa" w:w="1008"/>
            <w:vAlign w:val="center"/>
          </w:tcPr>
          <w:p>
            <w:r/>
            <w:r>
              <w:rPr>
                <w:b w:val="0"/>
                <w:sz w:val="17"/>
              </w:rPr>
              <w:t>1</w:t>
            </w:r>
          </w:p>
        </w:tc>
        <w:tc>
          <w:tcPr>
            <w:tcW w:type="dxa" w:w="1728"/>
            <w:vAlign w:val="center"/>
          </w:tcPr>
          <w:p>
            <w:r/>
            <w:r>
              <w:rPr>
                <w:b w:val="0"/>
                <w:sz w:val="17"/>
              </w:rPr>
              <w:t>High</w:t>
            </w:r>
          </w:p>
        </w:tc>
        <w:tc>
          <w:tcPr>
            <w:tcW w:type="dxa" w:w="2160"/>
            <w:vAlign w:val="center"/>
          </w:tcPr>
          <w:p>
            <w:r/>
            <w:r>
              <w:rPr>
                <w:b w:val="0"/>
                <w:sz w:val="17"/>
              </w:rPr>
              <w:t>Low</w:t>
            </w:r>
          </w:p>
        </w:tc>
        <w:tc>
          <w:tcPr>
            <w:tcW w:type="dxa" w:w="2880"/>
            <w:vAlign w:val="center"/>
          </w:tcPr>
          <w:p>
            <w:r/>
            <w:r>
              <w:rPr>
                <w:b w:val="0"/>
                <w:sz w:val="17"/>
              </w:rPr>
              <w:t>SM20</w:t>
            </w:r>
          </w:p>
        </w:tc>
        <w:tc>
          <w:tcPr>
            <w:tcW w:type="dxa" w:w="2304"/>
            <w:vAlign w:val="center"/>
          </w:tcPr>
          <w:p>
            <w:r/>
            <w:r>
              <w:rPr>
                <w:b w:val="0"/>
                <w:sz w:val="17"/>
              </w:rPr>
              <w:t>Must have</w:t>
            </w:r>
          </w:p>
        </w:tc>
      </w:tr>
      <w:tr>
        <w:tc>
          <w:tcPr>
            <w:tcW w:type="dxa" w:w="2880"/>
            <w:vAlign w:val="center"/>
          </w:tcPr>
          <w:p>
            <w:r/>
            <w:r>
              <w:rPr>
                <w:b w:val="0"/>
                <w:sz w:val="17"/>
              </w:rPr>
              <w:t>Excel/CSV reporting</w:t>
            </w:r>
          </w:p>
        </w:tc>
        <w:tc>
          <w:tcPr>
            <w:tcW w:type="dxa" w:w="1008"/>
            <w:vAlign w:val="center"/>
          </w:tcPr>
          <w:p>
            <w:r/>
            <w:r>
              <w:rPr>
                <w:b w:val="0"/>
                <w:sz w:val="17"/>
              </w:rPr>
              <w:t>1</w:t>
            </w:r>
          </w:p>
        </w:tc>
        <w:tc>
          <w:tcPr>
            <w:tcW w:type="dxa" w:w="1728"/>
            <w:vAlign w:val="center"/>
          </w:tcPr>
          <w:p>
            <w:r/>
            <w:r>
              <w:rPr>
                <w:b w:val="0"/>
                <w:sz w:val="17"/>
              </w:rPr>
              <w:t>High</w:t>
            </w:r>
          </w:p>
        </w:tc>
        <w:tc>
          <w:tcPr>
            <w:tcW w:type="dxa" w:w="2160"/>
            <w:vAlign w:val="center"/>
          </w:tcPr>
          <w:p>
            <w:r/>
            <w:r>
              <w:rPr>
                <w:b w:val="0"/>
                <w:sz w:val="17"/>
              </w:rPr>
              <w:t>Low</w:t>
            </w:r>
          </w:p>
        </w:tc>
        <w:tc>
          <w:tcPr>
            <w:tcW w:type="dxa" w:w="2880"/>
            <w:vAlign w:val="center"/>
          </w:tcPr>
          <w:p>
            <w:r/>
            <w:r>
              <w:rPr>
                <w:b w:val="0"/>
                <w:sz w:val="17"/>
              </w:rPr>
              <w:t>Query engine</w:t>
            </w:r>
          </w:p>
        </w:tc>
        <w:tc>
          <w:tcPr>
            <w:tcW w:type="dxa" w:w="2304"/>
            <w:vAlign w:val="center"/>
          </w:tcPr>
          <w:p>
            <w:r/>
            <w:r>
              <w:rPr>
                <w:b w:val="0"/>
                <w:sz w:val="17"/>
              </w:rPr>
              <w:t>Must have</w:t>
            </w:r>
          </w:p>
        </w:tc>
      </w:tr>
      <w:tr>
        <w:tc>
          <w:tcPr>
            <w:tcW w:type="dxa" w:w="2880"/>
            <w:vAlign w:val="center"/>
          </w:tcPr>
          <w:p>
            <w:r/>
            <w:r>
              <w:rPr>
                <w:b w:val="0"/>
                <w:sz w:val="17"/>
              </w:rPr>
              <w:t>Basic dashboard</w:t>
            </w:r>
          </w:p>
        </w:tc>
        <w:tc>
          <w:tcPr>
            <w:tcW w:type="dxa" w:w="1008"/>
            <w:vAlign w:val="center"/>
          </w:tcPr>
          <w:p>
            <w:r/>
            <w:r>
              <w:rPr>
                <w:b w:val="0"/>
                <w:sz w:val="17"/>
              </w:rPr>
              <w:t>1</w:t>
            </w:r>
          </w:p>
        </w:tc>
        <w:tc>
          <w:tcPr>
            <w:tcW w:type="dxa" w:w="1728"/>
            <w:vAlign w:val="center"/>
          </w:tcPr>
          <w:p>
            <w:r/>
            <w:r>
              <w:rPr>
                <w:b w:val="0"/>
                <w:sz w:val="17"/>
              </w:rPr>
              <w:t>Medium</w:t>
            </w:r>
          </w:p>
        </w:tc>
        <w:tc>
          <w:tcPr>
            <w:tcW w:type="dxa" w:w="2160"/>
            <w:vAlign w:val="center"/>
          </w:tcPr>
          <w:p>
            <w:r/>
            <w:r>
              <w:rPr>
                <w:b w:val="0"/>
                <w:sz w:val="17"/>
              </w:rPr>
              <w:t>Low–Medium</w:t>
            </w:r>
          </w:p>
        </w:tc>
        <w:tc>
          <w:tcPr>
            <w:tcW w:type="dxa" w:w="2880"/>
            <w:vAlign w:val="center"/>
          </w:tcPr>
          <w:p>
            <w:r/>
            <w:r>
              <w:rPr>
                <w:b w:val="0"/>
                <w:sz w:val="17"/>
              </w:rPr>
              <w:t>Event store</w:t>
            </w:r>
          </w:p>
        </w:tc>
        <w:tc>
          <w:tcPr>
            <w:tcW w:type="dxa" w:w="2304"/>
            <w:vAlign w:val="center"/>
          </w:tcPr>
          <w:p>
            <w:r/>
            <w:r>
              <w:rPr>
                <w:b w:val="0"/>
                <w:sz w:val="17"/>
              </w:rPr>
              <w:t>Should have</w:t>
            </w:r>
          </w:p>
        </w:tc>
      </w:tr>
      <w:tr>
        <w:tc>
          <w:tcPr>
            <w:tcW w:type="dxa" w:w="2880"/>
            <w:vAlign w:val="center"/>
          </w:tcPr>
          <w:p>
            <w:r/>
            <w:r>
              <w:rPr>
                <w:b w:val="0"/>
                <w:sz w:val="17"/>
              </w:rPr>
              <w:t>Scheduled collection</w:t>
            </w:r>
          </w:p>
        </w:tc>
        <w:tc>
          <w:tcPr>
            <w:tcW w:type="dxa" w:w="1008"/>
            <w:vAlign w:val="center"/>
          </w:tcPr>
          <w:p>
            <w:r/>
            <w:r>
              <w:rPr>
                <w:b w:val="0"/>
                <w:sz w:val="17"/>
              </w:rPr>
              <w:t>1</w:t>
            </w:r>
          </w:p>
        </w:tc>
        <w:tc>
          <w:tcPr>
            <w:tcW w:type="dxa" w:w="1728"/>
            <w:vAlign w:val="center"/>
          </w:tcPr>
          <w:p>
            <w:r/>
            <w:r>
              <w:rPr>
                <w:b w:val="0"/>
                <w:sz w:val="17"/>
              </w:rPr>
              <w:t>High</w:t>
            </w:r>
          </w:p>
        </w:tc>
        <w:tc>
          <w:tcPr>
            <w:tcW w:type="dxa" w:w="2160"/>
            <w:vAlign w:val="center"/>
          </w:tcPr>
          <w:p>
            <w:r/>
            <w:r>
              <w:rPr>
                <w:b w:val="0"/>
                <w:sz w:val="17"/>
              </w:rPr>
              <w:t>Medium</w:t>
            </w:r>
          </w:p>
        </w:tc>
        <w:tc>
          <w:tcPr>
            <w:tcW w:type="dxa" w:w="2880"/>
            <w:vAlign w:val="center"/>
          </w:tcPr>
          <w:p>
            <w:r/>
            <w:r>
              <w:rPr>
                <w:b w:val="0"/>
                <w:sz w:val="17"/>
              </w:rPr>
              <w:t>Collector</w:t>
            </w:r>
          </w:p>
        </w:tc>
        <w:tc>
          <w:tcPr>
            <w:tcW w:type="dxa" w:w="2304"/>
            <w:vAlign w:val="center"/>
          </w:tcPr>
          <w:p>
            <w:r/>
            <w:r>
              <w:rPr>
                <w:b w:val="0"/>
                <w:sz w:val="17"/>
              </w:rPr>
              <w:t>Should have</w:t>
            </w:r>
          </w:p>
        </w:tc>
      </w:tr>
      <w:tr>
        <w:tc>
          <w:tcPr>
            <w:tcW w:type="dxa" w:w="2880"/>
            <w:vAlign w:val="center"/>
          </w:tcPr>
          <w:p>
            <w:r/>
            <w:r>
              <w:rPr>
                <w:b w:val="0"/>
                <w:sz w:val="17"/>
              </w:rPr>
              <w:t>User investigation timeline</w:t>
            </w:r>
          </w:p>
        </w:tc>
        <w:tc>
          <w:tcPr>
            <w:tcW w:type="dxa" w:w="1008"/>
            <w:vAlign w:val="center"/>
          </w:tcPr>
          <w:p>
            <w:r/>
            <w:r>
              <w:rPr>
                <w:b w:val="0"/>
                <w:sz w:val="17"/>
              </w:rPr>
              <w:t>2</w:t>
            </w:r>
          </w:p>
        </w:tc>
        <w:tc>
          <w:tcPr>
            <w:tcW w:type="dxa" w:w="1728"/>
            <w:vAlign w:val="center"/>
          </w:tcPr>
          <w:p>
            <w:r/>
            <w:r>
              <w:rPr>
                <w:b w:val="0"/>
                <w:sz w:val="17"/>
              </w:rPr>
              <w:t>Very High</w:t>
            </w:r>
          </w:p>
        </w:tc>
        <w:tc>
          <w:tcPr>
            <w:tcW w:type="dxa" w:w="2160"/>
            <w:vAlign w:val="center"/>
          </w:tcPr>
          <w:p>
            <w:r/>
            <w:r>
              <w:rPr>
                <w:b w:val="0"/>
                <w:sz w:val="17"/>
              </w:rPr>
              <w:t>Medium</w:t>
            </w:r>
          </w:p>
        </w:tc>
        <w:tc>
          <w:tcPr>
            <w:tcW w:type="dxa" w:w="2880"/>
            <w:vAlign w:val="center"/>
          </w:tcPr>
          <w:p>
            <w:r/>
            <w:r>
              <w:rPr>
                <w:b w:val="0"/>
                <w:sz w:val="17"/>
              </w:rPr>
              <w:t>Normalized events</w:t>
            </w:r>
          </w:p>
        </w:tc>
        <w:tc>
          <w:tcPr>
            <w:tcW w:type="dxa" w:w="2304"/>
            <w:vAlign w:val="center"/>
          </w:tcPr>
          <w:p>
            <w:r/>
            <w:r>
              <w:rPr>
                <w:b w:val="0"/>
                <w:sz w:val="17"/>
              </w:rPr>
              <w:t>Must have</w:t>
            </w:r>
          </w:p>
        </w:tc>
      </w:tr>
      <w:tr>
        <w:tc>
          <w:tcPr>
            <w:tcW w:type="dxa" w:w="2880"/>
            <w:vAlign w:val="center"/>
          </w:tcPr>
          <w:p>
            <w:r/>
            <w:r>
              <w:rPr>
                <w:b w:val="0"/>
                <w:sz w:val="17"/>
              </w:rPr>
              <w:t>Critical transaction detection</w:t>
            </w:r>
          </w:p>
        </w:tc>
        <w:tc>
          <w:tcPr>
            <w:tcW w:type="dxa" w:w="1008"/>
            <w:vAlign w:val="center"/>
          </w:tcPr>
          <w:p>
            <w:r/>
            <w:r>
              <w:rPr>
                <w:b w:val="0"/>
                <w:sz w:val="17"/>
              </w:rPr>
              <w:t>2</w:t>
            </w:r>
          </w:p>
        </w:tc>
        <w:tc>
          <w:tcPr>
            <w:tcW w:type="dxa" w:w="1728"/>
            <w:vAlign w:val="center"/>
          </w:tcPr>
          <w:p>
            <w:r/>
            <w:r>
              <w:rPr>
                <w:b w:val="0"/>
                <w:sz w:val="17"/>
              </w:rPr>
              <w:t>High</w:t>
            </w:r>
          </w:p>
        </w:tc>
        <w:tc>
          <w:tcPr>
            <w:tcW w:type="dxa" w:w="2160"/>
            <w:vAlign w:val="center"/>
          </w:tcPr>
          <w:p>
            <w:r/>
            <w:r>
              <w:rPr>
                <w:b w:val="0"/>
                <w:sz w:val="17"/>
              </w:rPr>
              <w:t>Medium</w:t>
            </w:r>
          </w:p>
        </w:tc>
        <w:tc>
          <w:tcPr>
            <w:tcW w:type="dxa" w:w="2880"/>
            <w:vAlign w:val="center"/>
          </w:tcPr>
          <w:p>
            <w:r/>
            <w:r>
              <w:rPr>
                <w:b w:val="0"/>
                <w:sz w:val="17"/>
              </w:rPr>
              <w:t>Transaction catalogue</w:t>
            </w:r>
          </w:p>
        </w:tc>
        <w:tc>
          <w:tcPr>
            <w:tcW w:type="dxa" w:w="2304"/>
            <w:vAlign w:val="center"/>
          </w:tcPr>
          <w:p>
            <w:r/>
            <w:r>
              <w:rPr>
                <w:b w:val="0"/>
                <w:sz w:val="17"/>
              </w:rPr>
              <w:t>Must have</w:t>
            </w:r>
          </w:p>
        </w:tc>
      </w:tr>
      <w:tr>
        <w:tc>
          <w:tcPr>
            <w:tcW w:type="dxa" w:w="2880"/>
            <w:vAlign w:val="center"/>
          </w:tcPr>
          <w:p>
            <w:r/>
            <w:r>
              <w:rPr>
                <w:b w:val="0"/>
                <w:sz w:val="17"/>
              </w:rPr>
              <w:t>After-hours detection</w:t>
            </w:r>
          </w:p>
        </w:tc>
        <w:tc>
          <w:tcPr>
            <w:tcW w:type="dxa" w:w="1008"/>
            <w:vAlign w:val="center"/>
          </w:tcPr>
          <w:p>
            <w:r/>
            <w:r>
              <w:rPr>
                <w:b w:val="0"/>
                <w:sz w:val="17"/>
              </w:rPr>
              <w:t>2</w:t>
            </w:r>
          </w:p>
        </w:tc>
        <w:tc>
          <w:tcPr>
            <w:tcW w:type="dxa" w:w="1728"/>
            <w:vAlign w:val="center"/>
          </w:tcPr>
          <w:p>
            <w:r/>
            <w:r>
              <w:rPr>
                <w:b w:val="0"/>
                <w:sz w:val="17"/>
              </w:rPr>
              <w:t>High</w:t>
            </w:r>
          </w:p>
        </w:tc>
        <w:tc>
          <w:tcPr>
            <w:tcW w:type="dxa" w:w="2160"/>
            <w:vAlign w:val="center"/>
          </w:tcPr>
          <w:p>
            <w:r/>
            <w:r>
              <w:rPr>
                <w:b w:val="0"/>
                <w:sz w:val="17"/>
              </w:rPr>
              <w:t>Medium</w:t>
            </w:r>
          </w:p>
        </w:tc>
        <w:tc>
          <w:tcPr>
            <w:tcW w:type="dxa" w:w="2880"/>
            <w:vAlign w:val="center"/>
          </w:tcPr>
          <w:p>
            <w:r/>
            <w:r>
              <w:rPr>
                <w:b w:val="0"/>
                <w:sz w:val="17"/>
              </w:rPr>
              <w:t>Business calendar</w:t>
            </w:r>
          </w:p>
        </w:tc>
        <w:tc>
          <w:tcPr>
            <w:tcW w:type="dxa" w:w="2304"/>
            <w:vAlign w:val="center"/>
          </w:tcPr>
          <w:p>
            <w:r/>
            <w:r>
              <w:rPr>
                <w:b w:val="0"/>
                <w:sz w:val="17"/>
              </w:rPr>
              <w:t>Must have</w:t>
            </w:r>
          </w:p>
        </w:tc>
      </w:tr>
      <w:tr>
        <w:tc>
          <w:tcPr>
            <w:tcW w:type="dxa" w:w="2880"/>
            <w:vAlign w:val="center"/>
          </w:tcPr>
          <w:p>
            <w:r/>
            <w:r>
              <w:rPr>
                <w:b w:val="0"/>
                <w:sz w:val="17"/>
              </w:rPr>
              <w:t>Role/access correlation</w:t>
            </w:r>
          </w:p>
        </w:tc>
        <w:tc>
          <w:tcPr>
            <w:tcW w:type="dxa" w:w="1008"/>
            <w:vAlign w:val="center"/>
          </w:tcPr>
          <w:p>
            <w:r/>
            <w:r>
              <w:rPr>
                <w:b w:val="0"/>
                <w:sz w:val="17"/>
              </w:rPr>
              <w:t>2</w:t>
            </w:r>
          </w:p>
        </w:tc>
        <w:tc>
          <w:tcPr>
            <w:tcW w:type="dxa" w:w="1728"/>
            <w:vAlign w:val="center"/>
          </w:tcPr>
          <w:p>
            <w:r/>
            <w:r>
              <w:rPr>
                <w:b w:val="0"/>
                <w:sz w:val="17"/>
              </w:rPr>
              <w:t>Very High</w:t>
            </w:r>
          </w:p>
        </w:tc>
        <w:tc>
          <w:tcPr>
            <w:tcW w:type="dxa" w:w="2160"/>
            <w:vAlign w:val="center"/>
          </w:tcPr>
          <w:p>
            <w:r/>
            <w:r>
              <w:rPr>
                <w:b w:val="0"/>
                <w:sz w:val="17"/>
              </w:rPr>
              <w:t>High</w:t>
            </w:r>
          </w:p>
        </w:tc>
        <w:tc>
          <w:tcPr>
            <w:tcW w:type="dxa" w:w="2880"/>
            <w:vAlign w:val="center"/>
          </w:tcPr>
          <w:p>
            <w:r/>
            <w:r>
              <w:rPr>
                <w:b w:val="0"/>
                <w:sz w:val="17"/>
              </w:rPr>
              <w:t>PFCG/SUIM</w:t>
            </w:r>
          </w:p>
        </w:tc>
        <w:tc>
          <w:tcPr>
            <w:tcW w:type="dxa" w:w="2304"/>
            <w:vAlign w:val="center"/>
          </w:tcPr>
          <w:p>
            <w:r/>
            <w:r>
              <w:rPr>
                <w:b w:val="0"/>
                <w:sz w:val="17"/>
              </w:rPr>
              <w:t>Must have</w:t>
            </w:r>
          </w:p>
        </w:tc>
      </w:tr>
      <w:tr>
        <w:tc>
          <w:tcPr>
            <w:tcW w:type="dxa" w:w="2880"/>
            <w:vAlign w:val="center"/>
          </w:tcPr>
          <w:p>
            <w:r/>
            <w:r>
              <w:rPr>
                <w:b w:val="0"/>
                <w:sz w:val="17"/>
              </w:rPr>
              <w:t>Firefighter correlation</w:t>
            </w:r>
          </w:p>
        </w:tc>
        <w:tc>
          <w:tcPr>
            <w:tcW w:type="dxa" w:w="1008"/>
            <w:vAlign w:val="center"/>
          </w:tcPr>
          <w:p>
            <w:r/>
            <w:r>
              <w:rPr>
                <w:b w:val="0"/>
                <w:sz w:val="17"/>
              </w:rPr>
              <w:t>2</w:t>
            </w:r>
          </w:p>
        </w:tc>
        <w:tc>
          <w:tcPr>
            <w:tcW w:type="dxa" w:w="1728"/>
            <w:vAlign w:val="center"/>
          </w:tcPr>
          <w:p>
            <w:r/>
            <w:r>
              <w:rPr>
                <w:b w:val="0"/>
                <w:sz w:val="17"/>
              </w:rPr>
              <w:t>Very High</w:t>
            </w:r>
          </w:p>
        </w:tc>
        <w:tc>
          <w:tcPr>
            <w:tcW w:type="dxa" w:w="2160"/>
            <w:vAlign w:val="center"/>
          </w:tcPr>
          <w:p>
            <w:r/>
            <w:r>
              <w:rPr>
                <w:b w:val="0"/>
                <w:sz w:val="17"/>
              </w:rPr>
              <w:t>High</w:t>
            </w:r>
          </w:p>
        </w:tc>
        <w:tc>
          <w:tcPr>
            <w:tcW w:type="dxa" w:w="2880"/>
            <w:vAlign w:val="center"/>
          </w:tcPr>
          <w:p>
            <w:r/>
            <w:r>
              <w:rPr>
                <w:b w:val="0"/>
                <w:sz w:val="17"/>
              </w:rPr>
              <w:t>GRC</w:t>
            </w:r>
          </w:p>
        </w:tc>
        <w:tc>
          <w:tcPr>
            <w:tcW w:type="dxa" w:w="2304"/>
            <w:vAlign w:val="center"/>
          </w:tcPr>
          <w:p>
            <w:r/>
            <w:r>
              <w:rPr>
                <w:b w:val="0"/>
                <w:sz w:val="17"/>
              </w:rPr>
              <w:t>Must have for GRC value</w:t>
            </w:r>
          </w:p>
        </w:tc>
      </w:tr>
      <w:tr>
        <w:tc>
          <w:tcPr>
            <w:tcW w:type="dxa" w:w="2880"/>
            <w:vAlign w:val="center"/>
          </w:tcPr>
          <w:p>
            <w:r/>
            <w:r>
              <w:rPr>
                <w:b w:val="0"/>
                <w:sz w:val="17"/>
              </w:rPr>
              <w:t>Cross-system search</w:t>
            </w:r>
          </w:p>
        </w:tc>
        <w:tc>
          <w:tcPr>
            <w:tcW w:type="dxa" w:w="1008"/>
            <w:vAlign w:val="center"/>
          </w:tcPr>
          <w:p>
            <w:r/>
            <w:r>
              <w:rPr>
                <w:b w:val="0"/>
                <w:sz w:val="17"/>
              </w:rPr>
              <w:t>2</w:t>
            </w:r>
          </w:p>
        </w:tc>
        <w:tc>
          <w:tcPr>
            <w:tcW w:type="dxa" w:w="1728"/>
            <w:vAlign w:val="center"/>
          </w:tcPr>
          <w:p>
            <w:r/>
            <w:r>
              <w:rPr>
                <w:b w:val="0"/>
                <w:sz w:val="17"/>
              </w:rPr>
              <w:t>Very High</w:t>
            </w:r>
          </w:p>
        </w:tc>
        <w:tc>
          <w:tcPr>
            <w:tcW w:type="dxa" w:w="2160"/>
            <w:vAlign w:val="center"/>
          </w:tcPr>
          <w:p>
            <w:r/>
            <w:r>
              <w:rPr>
                <w:b w:val="0"/>
                <w:sz w:val="17"/>
              </w:rPr>
              <w:t>High</w:t>
            </w:r>
          </w:p>
        </w:tc>
        <w:tc>
          <w:tcPr>
            <w:tcW w:type="dxa" w:w="2880"/>
            <w:vAlign w:val="center"/>
          </w:tcPr>
          <w:p>
            <w:r/>
            <w:r>
              <w:rPr>
                <w:b w:val="0"/>
                <w:sz w:val="17"/>
              </w:rPr>
              <w:t>Multiple connectors</w:t>
            </w:r>
          </w:p>
        </w:tc>
        <w:tc>
          <w:tcPr>
            <w:tcW w:type="dxa" w:w="2304"/>
            <w:vAlign w:val="center"/>
          </w:tcPr>
          <w:p>
            <w:r/>
            <w:r>
              <w:rPr>
                <w:b w:val="0"/>
                <w:sz w:val="17"/>
              </w:rPr>
              <w:t>Should have</w:t>
            </w:r>
          </w:p>
        </w:tc>
      </w:tr>
      <w:tr>
        <w:tc>
          <w:tcPr>
            <w:tcW w:type="dxa" w:w="2880"/>
            <w:vAlign w:val="center"/>
          </w:tcPr>
          <w:p>
            <w:r/>
            <w:r>
              <w:rPr>
                <w:b w:val="0"/>
                <w:sz w:val="17"/>
              </w:rPr>
              <w:t>Terminated-user detection</w:t>
            </w:r>
          </w:p>
        </w:tc>
        <w:tc>
          <w:tcPr>
            <w:tcW w:type="dxa" w:w="1008"/>
            <w:vAlign w:val="center"/>
          </w:tcPr>
          <w:p>
            <w:r/>
            <w:r>
              <w:rPr>
                <w:b w:val="0"/>
                <w:sz w:val="17"/>
              </w:rPr>
              <w:t>2</w:t>
            </w:r>
          </w:p>
        </w:tc>
        <w:tc>
          <w:tcPr>
            <w:tcW w:type="dxa" w:w="1728"/>
            <w:vAlign w:val="center"/>
          </w:tcPr>
          <w:p>
            <w:r/>
            <w:r>
              <w:rPr>
                <w:b w:val="0"/>
                <w:sz w:val="17"/>
              </w:rPr>
              <w:t>High</w:t>
            </w:r>
          </w:p>
        </w:tc>
        <w:tc>
          <w:tcPr>
            <w:tcW w:type="dxa" w:w="2160"/>
            <w:vAlign w:val="center"/>
          </w:tcPr>
          <w:p>
            <w:r/>
            <w:r>
              <w:rPr>
                <w:b w:val="0"/>
                <w:sz w:val="17"/>
              </w:rPr>
              <w:t>Medium</w:t>
            </w:r>
          </w:p>
        </w:tc>
        <w:tc>
          <w:tcPr>
            <w:tcW w:type="dxa" w:w="2880"/>
            <w:vAlign w:val="center"/>
          </w:tcPr>
          <w:p>
            <w:r/>
            <w:r>
              <w:rPr>
                <w:b w:val="0"/>
                <w:sz w:val="17"/>
              </w:rPr>
              <w:t>HR/identity source</w:t>
            </w:r>
          </w:p>
        </w:tc>
        <w:tc>
          <w:tcPr>
            <w:tcW w:type="dxa" w:w="2304"/>
            <w:vAlign w:val="center"/>
          </w:tcPr>
          <w:p>
            <w:r/>
            <w:r>
              <w:rPr>
                <w:b w:val="0"/>
                <w:sz w:val="17"/>
              </w:rPr>
              <w:t>Should have</w:t>
            </w:r>
          </w:p>
        </w:tc>
      </w:tr>
      <w:tr>
        <w:tc>
          <w:tcPr>
            <w:tcW w:type="dxa" w:w="2880"/>
            <w:vAlign w:val="center"/>
          </w:tcPr>
          <w:p>
            <w:r/>
            <w:r>
              <w:rPr>
                <w:b w:val="0"/>
                <w:sz w:val="17"/>
              </w:rPr>
              <w:t>Unused access analysis</w:t>
            </w:r>
          </w:p>
        </w:tc>
        <w:tc>
          <w:tcPr>
            <w:tcW w:type="dxa" w:w="1008"/>
            <w:vAlign w:val="center"/>
          </w:tcPr>
          <w:p>
            <w:r/>
            <w:r>
              <w:rPr>
                <w:b w:val="0"/>
                <w:sz w:val="17"/>
              </w:rPr>
              <w:t>2</w:t>
            </w:r>
          </w:p>
        </w:tc>
        <w:tc>
          <w:tcPr>
            <w:tcW w:type="dxa" w:w="1728"/>
            <w:vAlign w:val="center"/>
          </w:tcPr>
          <w:p>
            <w:r/>
            <w:r>
              <w:rPr>
                <w:b w:val="0"/>
                <w:sz w:val="17"/>
              </w:rPr>
              <w:t>High</w:t>
            </w:r>
          </w:p>
        </w:tc>
        <w:tc>
          <w:tcPr>
            <w:tcW w:type="dxa" w:w="2160"/>
            <w:vAlign w:val="center"/>
          </w:tcPr>
          <w:p>
            <w:r/>
            <w:r>
              <w:rPr>
                <w:b w:val="0"/>
                <w:sz w:val="17"/>
              </w:rPr>
              <w:t>Medium–High</w:t>
            </w:r>
          </w:p>
        </w:tc>
        <w:tc>
          <w:tcPr>
            <w:tcW w:type="dxa" w:w="2880"/>
            <w:vAlign w:val="center"/>
          </w:tcPr>
          <w:p>
            <w:r/>
            <w:r>
              <w:rPr>
                <w:b w:val="0"/>
                <w:sz w:val="17"/>
              </w:rPr>
              <w:t>Roles + activity</w:t>
            </w:r>
          </w:p>
        </w:tc>
        <w:tc>
          <w:tcPr>
            <w:tcW w:type="dxa" w:w="2304"/>
            <w:vAlign w:val="center"/>
          </w:tcPr>
          <w:p>
            <w:r/>
            <w:r>
              <w:rPr>
                <w:b w:val="0"/>
                <w:sz w:val="17"/>
              </w:rPr>
              <w:t>Should have</w:t>
            </w:r>
          </w:p>
        </w:tc>
      </w:tr>
      <w:tr>
        <w:tc>
          <w:tcPr>
            <w:tcW w:type="dxa" w:w="2880"/>
            <w:vAlign w:val="center"/>
          </w:tcPr>
          <w:p>
            <w:r/>
            <w:r>
              <w:rPr>
                <w:b w:val="0"/>
                <w:sz w:val="17"/>
              </w:rPr>
              <w:t>Natural-language assistant</w:t>
            </w:r>
          </w:p>
        </w:tc>
        <w:tc>
          <w:tcPr>
            <w:tcW w:type="dxa" w:w="1008"/>
            <w:vAlign w:val="center"/>
          </w:tcPr>
          <w:p>
            <w:r/>
            <w:r>
              <w:rPr>
                <w:b w:val="0"/>
                <w:sz w:val="17"/>
              </w:rPr>
              <w:t>3</w:t>
            </w:r>
          </w:p>
        </w:tc>
        <w:tc>
          <w:tcPr>
            <w:tcW w:type="dxa" w:w="1728"/>
            <w:vAlign w:val="center"/>
          </w:tcPr>
          <w:p>
            <w:r/>
            <w:r>
              <w:rPr>
                <w:b w:val="0"/>
                <w:sz w:val="17"/>
              </w:rPr>
              <w:t>Very High</w:t>
            </w:r>
          </w:p>
        </w:tc>
        <w:tc>
          <w:tcPr>
            <w:tcW w:type="dxa" w:w="2160"/>
            <w:vAlign w:val="center"/>
          </w:tcPr>
          <w:p>
            <w:r/>
            <w:r>
              <w:rPr>
                <w:b w:val="0"/>
                <w:sz w:val="17"/>
              </w:rPr>
              <w:t>Very High</w:t>
            </w:r>
          </w:p>
        </w:tc>
        <w:tc>
          <w:tcPr>
            <w:tcW w:type="dxa" w:w="2880"/>
            <w:vAlign w:val="center"/>
          </w:tcPr>
          <w:p>
            <w:r/>
            <w:r>
              <w:rPr>
                <w:b w:val="0"/>
                <w:sz w:val="17"/>
              </w:rPr>
              <w:t>Stable query APIs</w:t>
            </w:r>
          </w:p>
        </w:tc>
        <w:tc>
          <w:tcPr>
            <w:tcW w:type="dxa" w:w="2304"/>
            <w:vAlign w:val="center"/>
          </w:tcPr>
          <w:p>
            <w:r/>
            <w:r>
              <w:rPr>
                <w:b w:val="0"/>
                <w:sz w:val="17"/>
              </w:rPr>
              <w:t>Final-stage</w:t>
            </w:r>
          </w:p>
        </w:tc>
      </w:tr>
      <w:tr>
        <w:tc>
          <w:tcPr>
            <w:tcW w:type="dxa" w:w="2880"/>
            <w:vAlign w:val="center"/>
          </w:tcPr>
          <w:p>
            <w:r/>
            <w:r>
              <w:rPr>
                <w:b w:val="0"/>
                <w:sz w:val="17"/>
              </w:rPr>
              <w:t>Investigation playbooks</w:t>
            </w:r>
          </w:p>
        </w:tc>
        <w:tc>
          <w:tcPr>
            <w:tcW w:type="dxa" w:w="1008"/>
            <w:vAlign w:val="center"/>
          </w:tcPr>
          <w:p>
            <w:r/>
            <w:r>
              <w:rPr>
                <w:b w:val="0"/>
                <w:sz w:val="17"/>
              </w:rPr>
              <w:t>3</w:t>
            </w:r>
          </w:p>
        </w:tc>
        <w:tc>
          <w:tcPr>
            <w:tcW w:type="dxa" w:w="1728"/>
            <w:vAlign w:val="center"/>
          </w:tcPr>
          <w:p>
            <w:r/>
            <w:r>
              <w:rPr>
                <w:b w:val="0"/>
                <w:sz w:val="17"/>
              </w:rPr>
              <w:t>Very High</w:t>
            </w:r>
          </w:p>
        </w:tc>
        <w:tc>
          <w:tcPr>
            <w:tcW w:type="dxa" w:w="2160"/>
            <w:vAlign w:val="center"/>
          </w:tcPr>
          <w:p>
            <w:r/>
            <w:r>
              <w:rPr>
                <w:b w:val="0"/>
                <w:sz w:val="17"/>
              </w:rPr>
              <w:t>High</w:t>
            </w:r>
          </w:p>
        </w:tc>
        <w:tc>
          <w:tcPr>
            <w:tcW w:type="dxa" w:w="2880"/>
            <w:vAlign w:val="center"/>
          </w:tcPr>
          <w:p>
            <w:r/>
            <w:r>
              <w:rPr>
                <w:b w:val="0"/>
                <w:sz w:val="17"/>
              </w:rPr>
              <w:t>Stage 2 rules</w:t>
            </w:r>
          </w:p>
        </w:tc>
        <w:tc>
          <w:tcPr>
            <w:tcW w:type="dxa" w:w="2304"/>
            <w:vAlign w:val="center"/>
          </w:tcPr>
          <w:p>
            <w:r/>
            <w:r>
              <w:rPr>
                <w:b w:val="0"/>
                <w:sz w:val="17"/>
              </w:rPr>
              <w:t>Final-stage</w:t>
            </w:r>
          </w:p>
        </w:tc>
      </w:tr>
      <w:tr>
        <w:tc>
          <w:tcPr>
            <w:tcW w:type="dxa" w:w="2880"/>
            <w:vAlign w:val="center"/>
          </w:tcPr>
          <w:p>
            <w:r/>
            <w:r>
              <w:rPr>
                <w:b w:val="0"/>
                <w:sz w:val="17"/>
              </w:rPr>
              <w:t>Risk scoring</w:t>
            </w:r>
          </w:p>
        </w:tc>
        <w:tc>
          <w:tcPr>
            <w:tcW w:type="dxa" w:w="1008"/>
            <w:vAlign w:val="center"/>
          </w:tcPr>
          <w:p>
            <w:r/>
            <w:r>
              <w:rPr>
                <w:b w:val="0"/>
                <w:sz w:val="17"/>
              </w:rPr>
              <w:t>3</w:t>
            </w:r>
          </w:p>
        </w:tc>
        <w:tc>
          <w:tcPr>
            <w:tcW w:type="dxa" w:w="1728"/>
            <w:vAlign w:val="center"/>
          </w:tcPr>
          <w:p>
            <w:r/>
            <w:r>
              <w:rPr>
                <w:b w:val="0"/>
                <w:sz w:val="17"/>
              </w:rPr>
              <w:t>High</w:t>
            </w:r>
          </w:p>
        </w:tc>
        <w:tc>
          <w:tcPr>
            <w:tcW w:type="dxa" w:w="2160"/>
            <w:vAlign w:val="center"/>
          </w:tcPr>
          <w:p>
            <w:r/>
            <w:r>
              <w:rPr>
                <w:b w:val="0"/>
                <w:sz w:val="17"/>
              </w:rPr>
              <w:t>High</w:t>
            </w:r>
          </w:p>
        </w:tc>
        <w:tc>
          <w:tcPr>
            <w:tcW w:type="dxa" w:w="2880"/>
            <w:vAlign w:val="center"/>
          </w:tcPr>
          <w:p>
            <w:r/>
            <w:r>
              <w:rPr>
                <w:b w:val="0"/>
                <w:sz w:val="17"/>
              </w:rPr>
              <w:t>Correlated signals</w:t>
            </w:r>
          </w:p>
        </w:tc>
        <w:tc>
          <w:tcPr>
            <w:tcW w:type="dxa" w:w="2304"/>
            <w:vAlign w:val="center"/>
          </w:tcPr>
          <w:p>
            <w:r/>
            <w:r>
              <w:rPr>
                <w:b w:val="0"/>
                <w:sz w:val="17"/>
              </w:rPr>
              <w:t>Final-stage</w:t>
            </w:r>
          </w:p>
        </w:tc>
      </w:tr>
      <w:tr>
        <w:tc>
          <w:tcPr>
            <w:tcW w:type="dxa" w:w="2880"/>
            <w:vAlign w:val="center"/>
          </w:tcPr>
          <w:p>
            <w:r/>
            <w:r>
              <w:rPr>
                <w:b w:val="0"/>
                <w:sz w:val="17"/>
              </w:rPr>
              <w:t>Case management</w:t>
            </w:r>
          </w:p>
        </w:tc>
        <w:tc>
          <w:tcPr>
            <w:tcW w:type="dxa" w:w="1008"/>
            <w:vAlign w:val="center"/>
          </w:tcPr>
          <w:p>
            <w:r/>
            <w:r>
              <w:rPr>
                <w:b w:val="0"/>
                <w:sz w:val="17"/>
              </w:rPr>
              <w:t>3</w:t>
            </w:r>
          </w:p>
        </w:tc>
        <w:tc>
          <w:tcPr>
            <w:tcW w:type="dxa" w:w="1728"/>
            <w:vAlign w:val="center"/>
          </w:tcPr>
          <w:p>
            <w:r/>
            <w:r>
              <w:rPr>
                <w:b w:val="0"/>
                <w:sz w:val="17"/>
              </w:rPr>
              <w:t>High</w:t>
            </w:r>
          </w:p>
        </w:tc>
        <w:tc>
          <w:tcPr>
            <w:tcW w:type="dxa" w:w="2160"/>
            <w:vAlign w:val="center"/>
          </w:tcPr>
          <w:p>
            <w:r/>
            <w:r>
              <w:rPr>
                <w:b w:val="0"/>
                <w:sz w:val="17"/>
              </w:rPr>
              <w:t>High</w:t>
            </w:r>
          </w:p>
        </w:tc>
        <w:tc>
          <w:tcPr>
            <w:tcW w:type="dxa" w:w="2880"/>
            <w:vAlign w:val="center"/>
          </w:tcPr>
          <w:p>
            <w:r/>
            <w:r>
              <w:rPr>
                <w:b w:val="0"/>
                <w:sz w:val="17"/>
              </w:rPr>
              <w:t>Investigation engine</w:t>
            </w:r>
          </w:p>
        </w:tc>
        <w:tc>
          <w:tcPr>
            <w:tcW w:type="dxa" w:w="2304"/>
            <w:vAlign w:val="center"/>
          </w:tcPr>
          <w:p>
            <w:r/>
            <w:r>
              <w:rPr>
                <w:b w:val="0"/>
                <w:sz w:val="17"/>
              </w:rPr>
              <w:t>Final-stage</w:t>
            </w:r>
          </w:p>
        </w:tc>
      </w:tr>
      <w:tr>
        <w:tc>
          <w:tcPr>
            <w:tcW w:type="dxa" w:w="2880"/>
            <w:vAlign w:val="center"/>
          </w:tcPr>
          <w:p>
            <w:r/>
            <w:r>
              <w:rPr>
                <w:b w:val="0"/>
                <w:sz w:val="17"/>
              </w:rPr>
              <w:t>Multi-source correlation</w:t>
            </w:r>
          </w:p>
        </w:tc>
        <w:tc>
          <w:tcPr>
            <w:tcW w:type="dxa" w:w="1008"/>
            <w:vAlign w:val="center"/>
          </w:tcPr>
          <w:p>
            <w:r/>
            <w:r>
              <w:rPr>
                <w:b w:val="0"/>
                <w:sz w:val="17"/>
              </w:rPr>
              <w:t>3</w:t>
            </w:r>
          </w:p>
        </w:tc>
        <w:tc>
          <w:tcPr>
            <w:tcW w:type="dxa" w:w="1728"/>
            <w:vAlign w:val="center"/>
          </w:tcPr>
          <w:p>
            <w:r/>
            <w:r>
              <w:rPr>
                <w:b w:val="0"/>
                <w:sz w:val="17"/>
              </w:rPr>
              <w:t>Very High</w:t>
            </w:r>
          </w:p>
        </w:tc>
        <w:tc>
          <w:tcPr>
            <w:tcW w:type="dxa" w:w="2160"/>
            <w:vAlign w:val="center"/>
          </w:tcPr>
          <w:p>
            <w:r/>
            <w:r>
              <w:rPr>
                <w:b w:val="0"/>
                <w:sz w:val="17"/>
              </w:rPr>
              <w:t>Very High</w:t>
            </w:r>
          </w:p>
        </w:tc>
        <w:tc>
          <w:tcPr>
            <w:tcW w:type="dxa" w:w="2880"/>
            <w:vAlign w:val="center"/>
          </w:tcPr>
          <w:p>
            <w:r/>
            <w:r>
              <w:rPr>
                <w:b w:val="0"/>
                <w:sz w:val="17"/>
              </w:rPr>
              <w:t>Multiple connectors</w:t>
            </w:r>
          </w:p>
        </w:tc>
        <w:tc>
          <w:tcPr>
            <w:tcW w:type="dxa" w:w="2304"/>
            <w:vAlign w:val="center"/>
          </w:tcPr>
          <w:p>
            <w:r/>
            <w:r>
              <w:rPr>
                <w:b w:val="0"/>
                <w:sz w:val="17"/>
              </w:rPr>
              <w:t>Final-stage</w:t>
            </w:r>
          </w:p>
        </w:tc>
      </w:tr>
      <w:tr>
        <w:tc>
          <w:tcPr>
            <w:tcW w:type="dxa" w:w="2880"/>
            <w:vAlign w:val="center"/>
          </w:tcPr>
          <w:p>
            <w:r/>
            <w:r>
              <w:rPr>
                <w:b w:val="0"/>
                <w:sz w:val="17"/>
              </w:rPr>
              <w:t>AI summaries</w:t>
            </w:r>
          </w:p>
        </w:tc>
        <w:tc>
          <w:tcPr>
            <w:tcW w:type="dxa" w:w="1008"/>
            <w:vAlign w:val="center"/>
          </w:tcPr>
          <w:p>
            <w:r/>
            <w:r>
              <w:rPr>
                <w:b w:val="0"/>
                <w:sz w:val="17"/>
              </w:rPr>
              <w:t>3</w:t>
            </w:r>
          </w:p>
        </w:tc>
        <w:tc>
          <w:tcPr>
            <w:tcW w:type="dxa" w:w="1728"/>
            <w:vAlign w:val="center"/>
          </w:tcPr>
          <w:p>
            <w:r/>
            <w:r>
              <w:rPr>
                <w:b w:val="0"/>
                <w:sz w:val="17"/>
              </w:rPr>
              <w:t>High</w:t>
            </w:r>
          </w:p>
        </w:tc>
        <w:tc>
          <w:tcPr>
            <w:tcW w:type="dxa" w:w="2160"/>
            <w:vAlign w:val="center"/>
          </w:tcPr>
          <w:p>
            <w:r/>
            <w:r>
              <w:rPr>
                <w:b w:val="0"/>
                <w:sz w:val="17"/>
              </w:rPr>
              <w:t>High</w:t>
            </w:r>
          </w:p>
        </w:tc>
        <w:tc>
          <w:tcPr>
            <w:tcW w:type="dxa" w:w="2880"/>
            <w:vAlign w:val="center"/>
          </w:tcPr>
          <w:p>
            <w:r/>
            <w:r>
              <w:rPr>
                <w:b w:val="0"/>
                <w:sz w:val="17"/>
              </w:rPr>
              <w:t>Evidence model</w:t>
            </w:r>
          </w:p>
        </w:tc>
        <w:tc>
          <w:tcPr>
            <w:tcW w:type="dxa" w:w="2304"/>
            <w:vAlign w:val="center"/>
          </w:tcPr>
          <w:p>
            <w:r/>
            <w:r>
              <w:rPr>
                <w:b w:val="0"/>
                <w:sz w:val="17"/>
              </w:rPr>
              <w:t>Final-stage</w:t>
            </w:r>
          </w:p>
        </w:tc>
      </w:tr>
      <w:tr>
        <w:tc>
          <w:tcPr>
            <w:tcW w:type="dxa" w:w="2880"/>
            <w:vAlign w:val="center"/>
          </w:tcPr>
          <w:p>
            <w:r/>
            <w:r>
              <w:rPr>
                <w:b w:val="0"/>
                <w:sz w:val="17"/>
              </w:rPr>
              <w:t>Continuous monitoring</w:t>
            </w:r>
          </w:p>
        </w:tc>
        <w:tc>
          <w:tcPr>
            <w:tcW w:type="dxa" w:w="1008"/>
            <w:vAlign w:val="center"/>
          </w:tcPr>
          <w:p>
            <w:r/>
            <w:r>
              <w:rPr>
                <w:b w:val="0"/>
                <w:sz w:val="17"/>
              </w:rPr>
              <w:t>3</w:t>
            </w:r>
          </w:p>
        </w:tc>
        <w:tc>
          <w:tcPr>
            <w:tcW w:type="dxa" w:w="1728"/>
            <w:vAlign w:val="center"/>
          </w:tcPr>
          <w:p>
            <w:r/>
            <w:r>
              <w:rPr>
                <w:b w:val="0"/>
                <w:sz w:val="17"/>
              </w:rPr>
              <w:t>Very High</w:t>
            </w:r>
          </w:p>
        </w:tc>
        <w:tc>
          <w:tcPr>
            <w:tcW w:type="dxa" w:w="2160"/>
            <w:vAlign w:val="center"/>
          </w:tcPr>
          <w:p>
            <w:r/>
            <w:r>
              <w:rPr>
                <w:b w:val="0"/>
                <w:sz w:val="17"/>
              </w:rPr>
              <w:t>High</w:t>
            </w:r>
          </w:p>
        </w:tc>
        <w:tc>
          <w:tcPr>
            <w:tcW w:type="dxa" w:w="2880"/>
            <w:vAlign w:val="center"/>
          </w:tcPr>
          <w:p>
            <w:r/>
            <w:r>
              <w:rPr>
                <w:b w:val="0"/>
                <w:sz w:val="17"/>
              </w:rPr>
              <w:t>Reliable collection</w:t>
            </w:r>
          </w:p>
        </w:tc>
        <w:tc>
          <w:tcPr>
            <w:tcW w:type="dxa" w:w="2304"/>
            <w:vAlign w:val="center"/>
          </w:tcPr>
          <w:p>
            <w:r/>
            <w:r>
              <w:rPr>
                <w:b w:val="0"/>
                <w:sz w:val="17"/>
              </w:rPr>
              <w:t>Final-stage</w:t>
            </w:r>
          </w:p>
        </w:tc>
      </w:tr>
      <w:tr>
        <w:tc>
          <w:tcPr>
            <w:tcW w:type="dxa" w:w="2880"/>
            <w:vAlign w:val="center"/>
          </w:tcPr>
          <w:p>
            <w:r/>
            <w:r>
              <w:rPr>
                <w:b w:val="0"/>
                <w:sz w:val="17"/>
              </w:rPr>
              <w:t>BTP/HANA/IAS/IPS</w:t>
            </w:r>
          </w:p>
        </w:tc>
        <w:tc>
          <w:tcPr>
            <w:tcW w:type="dxa" w:w="1008"/>
            <w:vAlign w:val="center"/>
          </w:tcPr>
          <w:p>
            <w:r/>
            <w:r>
              <w:rPr>
                <w:b w:val="0"/>
                <w:sz w:val="17"/>
              </w:rPr>
              <w:t>3</w:t>
            </w:r>
          </w:p>
        </w:tc>
        <w:tc>
          <w:tcPr>
            <w:tcW w:type="dxa" w:w="1728"/>
            <w:vAlign w:val="center"/>
          </w:tcPr>
          <w:p>
            <w:r/>
            <w:r>
              <w:rPr>
                <w:b w:val="0"/>
                <w:sz w:val="17"/>
              </w:rPr>
              <w:t>High</w:t>
            </w:r>
          </w:p>
        </w:tc>
        <w:tc>
          <w:tcPr>
            <w:tcW w:type="dxa" w:w="2160"/>
            <w:vAlign w:val="center"/>
          </w:tcPr>
          <w:p>
            <w:r/>
            <w:r>
              <w:rPr>
                <w:b w:val="0"/>
                <w:sz w:val="17"/>
              </w:rPr>
              <w:t>Very High</w:t>
            </w:r>
          </w:p>
        </w:tc>
        <w:tc>
          <w:tcPr>
            <w:tcW w:type="dxa" w:w="2880"/>
            <w:vAlign w:val="center"/>
          </w:tcPr>
          <w:p>
            <w:r/>
            <w:r>
              <w:rPr>
                <w:b w:val="0"/>
                <w:sz w:val="17"/>
              </w:rPr>
              <w:t>Platform APIs</w:t>
            </w:r>
          </w:p>
        </w:tc>
        <w:tc>
          <w:tcPr>
            <w:tcW w:type="dxa" w:w="2304"/>
            <w:vAlign w:val="center"/>
          </w:tcPr>
          <w:p>
            <w:r/>
            <w:r>
              <w:rPr>
                <w:b w:val="0"/>
                <w:sz w:val="17"/>
              </w:rPr>
              <w:t>Future expansion</w:t>
            </w:r>
          </w:p>
        </w:tc>
      </w:tr>
      <w:tr>
        <w:tc>
          <w:tcPr>
            <w:tcW w:type="dxa" w:w="2880"/>
            <w:vAlign w:val="center"/>
          </w:tcPr>
          <w:p>
            <w:r/>
            <w:r>
              <w:rPr>
                <w:b w:val="0"/>
                <w:sz w:val="17"/>
              </w:rPr>
              <w:t>SIEM integration</w:t>
            </w:r>
          </w:p>
        </w:tc>
        <w:tc>
          <w:tcPr>
            <w:tcW w:type="dxa" w:w="1008"/>
            <w:vAlign w:val="center"/>
          </w:tcPr>
          <w:p>
            <w:r/>
            <w:r>
              <w:rPr>
                <w:b w:val="0"/>
                <w:sz w:val="17"/>
              </w:rPr>
              <w:t>3</w:t>
            </w:r>
          </w:p>
        </w:tc>
        <w:tc>
          <w:tcPr>
            <w:tcW w:type="dxa" w:w="1728"/>
            <w:vAlign w:val="center"/>
          </w:tcPr>
          <w:p>
            <w:r/>
            <w:r>
              <w:rPr>
                <w:b w:val="0"/>
                <w:sz w:val="17"/>
              </w:rPr>
              <w:t>High</w:t>
            </w:r>
          </w:p>
        </w:tc>
        <w:tc>
          <w:tcPr>
            <w:tcW w:type="dxa" w:w="2160"/>
            <w:vAlign w:val="center"/>
          </w:tcPr>
          <w:p>
            <w:r/>
            <w:r>
              <w:rPr>
                <w:b w:val="0"/>
                <w:sz w:val="17"/>
              </w:rPr>
              <w:t>High</w:t>
            </w:r>
          </w:p>
        </w:tc>
        <w:tc>
          <w:tcPr>
            <w:tcW w:type="dxa" w:w="2880"/>
            <w:vAlign w:val="center"/>
          </w:tcPr>
          <w:p>
            <w:r/>
            <w:r>
              <w:rPr>
                <w:b w:val="0"/>
                <w:sz w:val="17"/>
              </w:rPr>
              <w:t>Enterprise security architecture</w:t>
            </w:r>
          </w:p>
        </w:tc>
        <w:tc>
          <w:tcPr>
            <w:tcW w:type="dxa" w:w="2304"/>
            <w:vAlign w:val="center"/>
          </w:tcPr>
          <w:p>
            <w:r/>
            <w:r>
              <w:rPr>
                <w:b w:val="0"/>
                <w:sz w:val="17"/>
              </w:rPr>
              <w:t>Future expansion</w:t>
            </w:r>
          </w:p>
        </w:tc>
      </w:tr>
      <w:tr>
        <w:tc>
          <w:tcPr>
            <w:tcW w:type="dxa" w:w="2880"/>
            <w:vAlign w:val="center"/>
          </w:tcPr>
          <w:p>
            <w:r/>
            <w:r>
              <w:rPr>
                <w:b w:val="0"/>
                <w:sz w:val="17"/>
              </w:rPr>
              <w:t>Advanced ML</w:t>
            </w:r>
          </w:p>
        </w:tc>
        <w:tc>
          <w:tcPr>
            <w:tcW w:type="dxa" w:w="1008"/>
            <w:vAlign w:val="center"/>
          </w:tcPr>
          <w:p>
            <w:r/>
            <w:r>
              <w:rPr>
                <w:b w:val="0"/>
                <w:sz w:val="17"/>
              </w:rPr>
              <w:t>3</w:t>
            </w:r>
          </w:p>
        </w:tc>
        <w:tc>
          <w:tcPr>
            <w:tcW w:type="dxa" w:w="1728"/>
            <w:vAlign w:val="center"/>
          </w:tcPr>
          <w:p>
            <w:r/>
            <w:r>
              <w:rPr>
                <w:b w:val="0"/>
                <w:sz w:val="17"/>
              </w:rPr>
              <w:t>Potentially Very High</w:t>
            </w:r>
          </w:p>
        </w:tc>
        <w:tc>
          <w:tcPr>
            <w:tcW w:type="dxa" w:w="2160"/>
            <w:vAlign w:val="center"/>
          </w:tcPr>
          <w:p>
            <w:r/>
            <w:r>
              <w:rPr>
                <w:b w:val="0"/>
                <w:sz w:val="17"/>
              </w:rPr>
              <w:t>Very High</w:t>
            </w:r>
          </w:p>
        </w:tc>
        <w:tc>
          <w:tcPr>
            <w:tcW w:type="dxa" w:w="2880"/>
            <w:vAlign w:val="center"/>
          </w:tcPr>
          <w:p>
            <w:r/>
            <w:r>
              <w:rPr>
                <w:b w:val="0"/>
                <w:sz w:val="17"/>
              </w:rPr>
              <w:t>Large quality dataset</w:t>
            </w:r>
          </w:p>
        </w:tc>
        <w:tc>
          <w:tcPr>
            <w:tcW w:type="dxa" w:w="2304"/>
            <w:vAlign w:val="center"/>
          </w:tcPr>
          <w:p>
            <w:r/>
            <w:r>
              <w:rPr>
                <w:b w:val="0"/>
                <w:sz w:val="17"/>
              </w:rPr>
              <w:t>Only after data maturity</w:t>
            </w:r>
          </w:p>
        </w:tc>
      </w:tr>
    </w:tbl>
    <w:p/>
    <w:p>
      <w:pPr>
        <w:pStyle w:val="Heading1"/>
      </w:pPr>
      <w:r>
        <w:t>8. Recommended Implementation Methodology</w:t>
      </w:r>
    </w:p>
    <w:p>
      <w:pPr>
        <w:pStyle w:val="Heading2"/>
      </w:pPr>
      <w:r>
        <w:t>8.1 Build the foundation before the AI</w:t>
      </w:r>
    </w:p>
    <w:p>
      <w:pPr>
        <w:pStyle w:val="ListNumber"/>
        <w:spacing w:after="40"/>
      </w:pPr>
      <w:r>
        <w:t>Define SAL's normalized event and identity model.</w:t>
      </w:r>
    </w:p>
    <w:p>
      <w:pPr>
        <w:pStyle w:val="ListNumber"/>
        <w:spacing w:after="40"/>
      </w:pPr>
      <w:r>
        <w:t>Define the SAP connector interface and system registry.</w:t>
      </w:r>
    </w:p>
    <w:p>
      <w:pPr>
        <w:pStyle w:val="ListNumber"/>
        <w:spacing w:after="40"/>
      </w:pPr>
      <w:r>
        <w:t>Implement secure SAP connectivity.</w:t>
      </w:r>
    </w:p>
    <w:p>
      <w:pPr>
        <w:pStyle w:val="ListNumber"/>
        <w:spacing w:after="40"/>
      </w:pPr>
      <w:r>
        <w:t>Implement SM20 extraction and reconciliation against SM20.</w:t>
      </w:r>
    </w:p>
    <w:p>
      <w:pPr>
        <w:pStyle w:val="ListNumber"/>
        <w:spacing w:after="40"/>
      </w:pPr>
      <w:r>
        <w:t>Implement persistent storage and indexing.</w:t>
      </w:r>
    </w:p>
    <w:p>
      <w:pPr>
        <w:pStyle w:val="ListNumber"/>
        <w:spacing w:after="40"/>
      </w:pPr>
      <w:r>
        <w:t>Implement deterministic query APIs.</w:t>
      </w:r>
    </w:p>
    <w:p>
      <w:pPr>
        <w:pStyle w:val="ListNumber"/>
        <w:spacing w:after="40"/>
      </w:pPr>
      <w:r>
        <w:t>Implement exports and audit trail.</w:t>
      </w:r>
    </w:p>
    <w:p>
      <w:pPr>
        <w:pStyle w:val="ListNumber"/>
        <w:spacing w:after="40"/>
      </w:pPr>
      <w:r>
        <w:t>Only then add natural-language interpretation.</w:t>
      </w:r>
    </w:p>
    <w:p>
      <w:pPr>
        <w:pStyle w:val="Heading2"/>
      </w:pPr>
      <w:r>
        <w:t>8.2 Suggested service/module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7"/>
              </w:rPr>
              <w:t>Module</w:t>
            </w:r>
          </w:p>
        </w:tc>
        <w:tc>
          <w:tcPr>
            <w:tcW w:type="dxa" w:w="5760"/>
            <w:vAlign w:val="center"/>
            <w:shd w:fill="D9EAF7"/>
          </w:tcPr>
          <w:p>
            <w:r/>
            <w:r>
              <w:rPr>
                <w:b/>
                <w:sz w:val="17"/>
              </w:rPr>
              <w:t>Responsibility</w:t>
            </w:r>
          </w:p>
        </w:tc>
        <w:tc>
          <w:tcPr>
            <w:tcW w:type="dxa" w:w="2160"/>
            <w:vAlign w:val="center"/>
            <w:shd w:fill="D9EAF7"/>
          </w:tcPr>
          <w:p>
            <w:r/>
            <w:r>
              <w:rPr>
                <w:b/>
                <w:sz w:val="17"/>
              </w:rPr>
              <w:t>Can be reused in later stages?</w:t>
            </w:r>
          </w:p>
        </w:tc>
      </w:tr>
      <w:tr>
        <w:tc>
          <w:tcPr>
            <w:tcW w:type="dxa" w:w="2880"/>
            <w:vAlign w:val="center"/>
          </w:tcPr>
          <w:p>
            <w:r/>
            <w:r>
              <w:rPr>
                <w:b w:val="0"/>
                <w:sz w:val="17"/>
              </w:rPr>
              <w:t>sap_connector</w:t>
            </w:r>
          </w:p>
        </w:tc>
        <w:tc>
          <w:tcPr>
            <w:tcW w:type="dxa" w:w="5760"/>
            <w:vAlign w:val="center"/>
          </w:tcPr>
          <w:p>
            <w:r/>
            <w:r>
              <w:rPr>
                <w:b w:val="0"/>
                <w:sz w:val="17"/>
              </w:rPr>
              <w:t>SAP connection and extraction adapters</w:t>
            </w:r>
          </w:p>
        </w:tc>
        <w:tc>
          <w:tcPr>
            <w:tcW w:type="dxa" w:w="2160"/>
            <w:vAlign w:val="center"/>
          </w:tcPr>
          <w:p>
            <w:r/>
            <w:r>
              <w:rPr>
                <w:b w:val="0"/>
                <w:sz w:val="17"/>
              </w:rPr>
              <w:t>Yes — core foundation</w:t>
            </w:r>
          </w:p>
        </w:tc>
      </w:tr>
      <w:tr>
        <w:tc>
          <w:tcPr>
            <w:tcW w:type="dxa" w:w="2880"/>
            <w:vAlign w:val="center"/>
          </w:tcPr>
          <w:p>
            <w:r/>
            <w:r>
              <w:rPr>
                <w:b w:val="0"/>
                <w:sz w:val="17"/>
              </w:rPr>
              <w:t>collectors</w:t>
            </w:r>
          </w:p>
        </w:tc>
        <w:tc>
          <w:tcPr>
            <w:tcW w:type="dxa" w:w="5760"/>
            <w:vAlign w:val="center"/>
          </w:tcPr>
          <w:p>
            <w:r/>
            <w:r>
              <w:rPr>
                <w:b w:val="0"/>
                <w:sz w:val="17"/>
              </w:rPr>
              <w:t>SM20/SM19 and future source collectors</w:t>
            </w:r>
          </w:p>
        </w:tc>
        <w:tc>
          <w:tcPr>
            <w:tcW w:type="dxa" w:w="2160"/>
            <w:vAlign w:val="center"/>
          </w:tcPr>
          <w:p>
            <w:r/>
            <w:r>
              <w:rPr>
                <w:b w:val="0"/>
                <w:sz w:val="17"/>
              </w:rPr>
              <w:t>Yes</w:t>
            </w:r>
          </w:p>
        </w:tc>
      </w:tr>
      <w:tr>
        <w:tc>
          <w:tcPr>
            <w:tcW w:type="dxa" w:w="2880"/>
            <w:vAlign w:val="center"/>
          </w:tcPr>
          <w:p>
            <w:r/>
            <w:r>
              <w:rPr>
                <w:b w:val="0"/>
                <w:sz w:val="17"/>
              </w:rPr>
              <w:t>normalizer</w:t>
            </w:r>
          </w:p>
        </w:tc>
        <w:tc>
          <w:tcPr>
            <w:tcW w:type="dxa" w:w="5760"/>
            <w:vAlign w:val="center"/>
          </w:tcPr>
          <w:p>
            <w:r/>
            <w:r>
              <w:rPr>
                <w:b w:val="0"/>
                <w:sz w:val="17"/>
              </w:rPr>
              <w:t>Maps source data into SAL event/entity model</w:t>
            </w:r>
          </w:p>
        </w:tc>
        <w:tc>
          <w:tcPr>
            <w:tcW w:type="dxa" w:w="2160"/>
            <w:vAlign w:val="center"/>
          </w:tcPr>
          <w:p>
            <w:r/>
            <w:r>
              <w:rPr>
                <w:b w:val="0"/>
                <w:sz w:val="17"/>
              </w:rPr>
              <w:t>Yes</w:t>
            </w:r>
          </w:p>
        </w:tc>
      </w:tr>
      <w:tr>
        <w:tc>
          <w:tcPr>
            <w:tcW w:type="dxa" w:w="2880"/>
            <w:vAlign w:val="center"/>
          </w:tcPr>
          <w:p>
            <w:r/>
            <w:r>
              <w:rPr>
                <w:b w:val="0"/>
                <w:sz w:val="17"/>
              </w:rPr>
              <w:t>storage</w:t>
            </w:r>
          </w:p>
        </w:tc>
        <w:tc>
          <w:tcPr>
            <w:tcW w:type="dxa" w:w="5760"/>
            <w:vAlign w:val="center"/>
          </w:tcPr>
          <w:p>
            <w:r/>
            <w:r>
              <w:rPr>
                <w:b w:val="0"/>
                <w:sz w:val="17"/>
              </w:rPr>
              <w:t>Database/repository and indexing</w:t>
            </w:r>
          </w:p>
        </w:tc>
        <w:tc>
          <w:tcPr>
            <w:tcW w:type="dxa" w:w="2160"/>
            <w:vAlign w:val="center"/>
          </w:tcPr>
          <w:p>
            <w:r/>
            <w:r>
              <w:rPr>
                <w:b w:val="0"/>
                <w:sz w:val="17"/>
              </w:rPr>
              <w:t>Yes</w:t>
            </w:r>
          </w:p>
        </w:tc>
      </w:tr>
      <w:tr>
        <w:tc>
          <w:tcPr>
            <w:tcW w:type="dxa" w:w="2880"/>
            <w:vAlign w:val="center"/>
          </w:tcPr>
          <w:p>
            <w:r/>
            <w:r>
              <w:rPr>
                <w:b w:val="0"/>
                <w:sz w:val="17"/>
              </w:rPr>
              <w:t>query_engine</w:t>
            </w:r>
          </w:p>
        </w:tc>
        <w:tc>
          <w:tcPr>
            <w:tcW w:type="dxa" w:w="5760"/>
            <w:vAlign w:val="center"/>
          </w:tcPr>
          <w:p>
            <w:r/>
            <w:r>
              <w:rPr>
                <w:b w:val="0"/>
                <w:sz w:val="17"/>
              </w:rPr>
              <w:t>Validated structured security queries</w:t>
            </w:r>
          </w:p>
        </w:tc>
        <w:tc>
          <w:tcPr>
            <w:tcW w:type="dxa" w:w="2160"/>
            <w:vAlign w:val="center"/>
          </w:tcPr>
          <w:p>
            <w:r/>
            <w:r>
              <w:rPr>
                <w:b w:val="0"/>
                <w:sz w:val="17"/>
              </w:rPr>
              <w:t>Yes — critical for AI</w:t>
            </w:r>
          </w:p>
        </w:tc>
      </w:tr>
      <w:tr>
        <w:tc>
          <w:tcPr>
            <w:tcW w:type="dxa" w:w="2880"/>
            <w:vAlign w:val="center"/>
          </w:tcPr>
          <w:p>
            <w:r/>
            <w:r>
              <w:rPr>
                <w:b w:val="0"/>
                <w:sz w:val="17"/>
              </w:rPr>
              <w:t>rules_engine</w:t>
            </w:r>
          </w:p>
        </w:tc>
        <w:tc>
          <w:tcPr>
            <w:tcW w:type="dxa" w:w="5760"/>
            <w:vAlign w:val="center"/>
          </w:tcPr>
          <w:p>
            <w:r/>
            <w:r>
              <w:rPr>
                <w:b w:val="0"/>
                <w:sz w:val="17"/>
              </w:rPr>
              <w:t>Deterministic security rules</w:t>
            </w:r>
          </w:p>
        </w:tc>
        <w:tc>
          <w:tcPr>
            <w:tcW w:type="dxa" w:w="2160"/>
            <w:vAlign w:val="center"/>
          </w:tcPr>
          <w:p>
            <w:r/>
            <w:r>
              <w:rPr>
                <w:b w:val="0"/>
                <w:sz w:val="17"/>
              </w:rPr>
              <w:t>Yes</w:t>
            </w:r>
          </w:p>
        </w:tc>
      </w:tr>
      <w:tr>
        <w:tc>
          <w:tcPr>
            <w:tcW w:type="dxa" w:w="2880"/>
            <w:vAlign w:val="center"/>
          </w:tcPr>
          <w:p>
            <w:r/>
            <w:r>
              <w:rPr>
                <w:b w:val="0"/>
                <w:sz w:val="17"/>
              </w:rPr>
              <w:t>correlation_engine</w:t>
            </w:r>
          </w:p>
        </w:tc>
        <w:tc>
          <w:tcPr>
            <w:tcW w:type="dxa" w:w="5760"/>
            <w:vAlign w:val="center"/>
          </w:tcPr>
          <w:p>
            <w:r/>
            <w:r>
              <w:rPr>
                <w:b w:val="0"/>
                <w:sz w:val="17"/>
              </w:rPr>
              <w:t>Links users, roles, events, sessions and cases</w:t>
            </w:r>
          </w:p>
        </w:tc>
        <w:tc>
          <w:tcPr>
            <w:tcW w:type="dxa" w:w="2160"/>
            <w:vAlign w:val="center"/>
          </w:tcPr>
          <w:p>
            <w:r/>
            <w:r>
              <w:rPr>
                <w:b w:val="0"/>
                <w:sz w:val="17"/>
              </w:rPr>
              <w:t>Yes</w:t>
            </w:r>
          </w:p>
        </w:tc>
      </w:tr>
      <w:tr>
        <w:tc>
          <w:tcPr>
            <w:tcW w:type="dxa" w:w="2880"/>
            <w:vAlign w:val="center"/>
          </w:tcPr>
          <w:p>
            <w:r/>
            <w:r>
              <w:rPr>
                <w:b w:val="0"/>
                <w:sz w:val="17"/>
              </w:rPr>
              <w:t>reporting</w:t>
            </w:r>
          </w:p>
        </w:tc>
        <w:tc>
          <w:tcPr>
            <w:tcW w:type="dxa" w:w="5760"/>
            <w:vAlign w:val="center"/>
          </w:tcPr>
          <w:p>
            <w:r/>
            <w:r>
              <w:rPr>
                <w:b w:val="0"/>
                <w:sz w:val="17"/>
              </w:rPr>
              <w:t>XLSX/CSV/PDF/evidence generation</w:t>
            </w:r>
          </w:p>
        </w:tc>
        <w:tc>
          <w:tcPr>
            <w:tcW w:type="dxa" w:w="2160"/>
            <w:vAlign w:val="center"/>
          </w:tcPr>
          <w:p>
            <w:r/>
            <w:r>
              <w:rPr>
                <w:b w:val="0"/>
                <w:sz w:val="17"/>
              </w:rPr>
              <w:t>Yes</w:t>
            </w:r>
          </w:p>
        </w:tc>
      </w:tr>
      <w:tr>
        <w:tc>
          <w:tcPr>
            <w:tcW w:type="dxa" w:w="2880"/>
            <w:vAlign w:val="center"/>
          </w:tcPr>
          <w:p>
            <w:r/>
            <w:r>
              <w:rPr>
                <w:b w:val="0"/>
                <w:sz w:val="17"/>
              </w:rPr>
              <w:t>authentication_authorization</w:t>
            </w:r>
          </w:p>
        </w:tc>
        <w:tc>
          <w:tcPr>
            <w:tcW w:type="dxa" w:w="5760"/>
            <w:vAlign w:val="center"/>
          </w:tcPr>
          <w:p>
            <w:r/>
            <w:r>
              <w:rPr>
                <w:b w:val="0"/>
                <w:sz w:val="17"/>
              </w:rPr>
              <w:t>SAL access control</w:t>
            </w:r>
          </w:p>
        </w:tc>
        <w:tc>
          <w:tcPr>
            <w:tcW w:type="dxa" w:w="2160"/>
            <w:vAlign w:val="center"/>
          </w:tcPr>
          <w:p>
            <w:r/>
            <w:r>
              <w:rPr>
                <w:b w:val="0"/>
                <w:sz w:val="17"/>
              </w:rPr>
              <w:t>Yes</w:t>
            </w:r>
          </w:p>
        </w:tc>
      </w:tr>
      <w:tr>
        <w:tc>
          <w:tcPr>
            <w:tcW w:type="dxa" w:w="2880"/>
            <w:vAlign w:val="center"/>
          </w:tcPr>
          <w:p>
            <w:r/>
            <w:r>
              <w:rPr>
                <w:b w:val="0"/>
                <w:sz w:val="17"/>
              </w:rPr>
              <w:t>scheduler</w:t>
            </w:r>
          </w:p>
        </w:tc>
        <w:tc>
          <w:tcPr>
            <w:tcW w:type="dxa" w:w="5760"/>
            <w:vAlign w:val="center"/>
          </w:tcPr>
          <w:p>
            <w:r/>
            <w:r>
              <w:rPr>
                <w:b w:val="0"/>
                <w:sz w:val="17"/>
              </w:rPr>
              <w:t>Incremental collection and monitoring</w:t>
            </w:r>
          </w:p>
        </w:tc>
        <w:tc>
          <w:tcPr>
            <w:tcW w:type="dxa" w:w="2160"/>
            <w:vAlign w:val="center"/>
          </w:tcPr>
          <w:p>
            <w:r/>
            <w:r>
              <w:rPr>
                <w:b w:val="0"/>
                <w:sz w:val="17"/>
              </w:rPr>
              <w:t>Yes</w:t>
            </w:r>
          </w:p>
        </w:tc>
      </w:tr>
      <w:tr>
        <w:tc>
          <w:tcPr>
            <w:tcW w:type="dxa" w:w="2880"/>
            <w:vAlign w:val="center"/>
          </w:tcPr>
          <w:p>
            <w:r/>
            <w:r>
              <w:rPr>
                <w:b w:val="0"/>
                <w:sz w:val="17"/>
              </w:rPr>
              <w:t>ui</w:t>
            </w:r>
          </w:p>
        </w:tc>
        <w:tc>
          <w:tcPr>
            <w:tcW w:type="dxa" w:w="5760"/>
            <w:vAlign w:val="center"/>
          </w:tcPr>
          <w:p>
            <w:r/>
            <w:r>
              <w:rPr>
                <w:b w:val="0"/>
                <w:sz w:val="17"/>
              </w:rPr>
              <w:t>Search, dashboard, investigation and cases</w:t>
            </w:r>
          </w:p>
        </w:tc>
        <w:tc>
          <w:tcPr>
            <w:tcW w:type="dxa" w:w="2160"/>
            <w:vAlign w:val="center"/>
          </w:tcPr>
          <w:p>
            <w:r/>
            <w:r>
              <w:rPr>
                <w:b w:val="0"/>
                <w:sz w:val="17"/>
              </w:rPr>
              <w:t>Yes</w:t>
            </w:r>
          </w:p>
        </w:tc>
      </w:tr>
      <w:tr>
        <w:tc>
          <w:tcPr>
            <w:tcW w:type="dxa" w:w="2880"/>
            <w:vAlign w:val="center"/>
          </w:tcPr>
          <w:p>
            <w:r/>
            <w:r>
              <w:rPr>
                <w:b w:val="0"/>
                <w:sz w:val="17"/>
              </w:rPr>
              <w:t>ai_assistant</w:t>
            </w:r>
          </w:p>
        </w:tc>
        <w:tc>
          <w:tcPr>
            <w:tcW w:type="dxa" w:w="5760"/>
            <w:vAlign w:val="center"/>
          </w:tcPr>
          <w:p>
            <w:r/>
            <w:r>
              <w:rPr>
                <w:b w:val="0"/>
                <w:sz w:val="17"/>
              </w:rPr>
              <w:t>Natural-language intent and summaries</w:t>
            </w:r>
          </w:p>
        </w:tc>
        <w:tc>
          <w:tcPr>
            <w:tcW w:type="dxa" w:w="2160"/>
            <w:vAlign w:val="center"/>
          </w:tcPr>
          <w:p>
            <w:r/>
            <w:r>
              <w:rPr>
                <w:b w:val="0"/>
                <w:sz w:val="17"/>
              </w:rPr>
              <w:t>Stage 3</w:t>
            </w:r>
          </w:p>
        </w:tc>
      </w:tr>
    </w:tbl>
    <w:p/>
    <w:p>
      <w:pPr>
        <w:pStyle w:val="Heading1"/>
      </w:pPr>
      <w:r>
        <w:t>9. Technical Decisions That Need to Be Resolved Early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7"/>
              </w:rPr>
              <w:t>Decision</w:t>
            </w:r>
          </w:p>
        </w:tc>
        <w:tc>
          <w:tcPr>
            <w:tcW w:type="dxa" w:w="3168"/>
            <w:vAlign w:val="center"/>
            <w:shd w:fill="D9EAF7"/>
          </w:tcPr>
          <w:p>
            <w:r/>
            <w:r>
              <w:rPr>
                <w:b/>
                <w:sz w:val="17"/>
              </w:rPr>
              <w:t>Options to evaluate</w:t>
            </w:r>
          </w:p>
        </w:tc>
        <w:tc>
          <w:tcPr>
            <w:tcW w:type="dxa" w:w="3888"/>
            <w:vAlign w:val="center"/>
            <w:shd w:fill="D9EAF7"/>
          </w:tcPr>
          <w:p>
            <w:r/>
            <w:r>
              <w:rPr>
                <w:b/>
                <w:sz w:val="17"/>
              </w:rPr>
              <w:t>Recommended direction</w:t>
            </w:r>
          </w:p>
        </w:tc>
        <w:tc>
          <w:tcPr>
            <w:tcW w:type="dxa" w:w="3168"/>
            <w:vAlign w:val="center"/>
            <w:shd w:fill="D9EAF7"/>
          </w:tcPr>
          <w:p>
            <w:r/>
            <w:r>
              <w:rPr>
                <w:b/>
                <w:sz w:val="17"/>
              </w:rPr>
              <w:t>Why it matters</w:t>
            </w:r>
          </w:p>
        </w:tc>
      </w:tr>
      <w:tr>
        <w:tc>
          <w:tcPr>
            <w:tcW w:type="dxa" w:w="2160"/>
            <w:vAlign w:val="center"/>
          </w:tcPr>
          <w:p>
            <w:r/>
            <w:r>
              <w:rPr>
                <w:b w:val="0"/>
                <w:sz w:val="17"/>
              </w:rPr>
              <w:t>SAP connectivity</w:t>
            </w:r>
          </w:p>
        </w:tc>
        <w:tc>
          <w:tcPr>
            <w:tcW w:type="dxa" w:w="3168"/>
            <w:vAlign w:val="center"/>
          </w:tcPr>
          <w:p>
            <w:r/>
            <w:r>
              <w:rPr>
                <w:b w:val="0"/>
                <w:sz w:val="17"/>
              </w:rPr>
              <w:t>RFC/PyRFC, approved API, custom ABAP service</w:t>
            </w:r>
          </w:p>
        </w:tc>
        <w:tc>
          <w:tcPr>
            <w:tcW w:type="dxa" w:w="3888"/>
            <w:vAlign w:val="center"/>
          </w:tcPr>
          <w:p>
            <w:r/>
            <w:r>
              <w:rPr>
                <w:b w:val="0"/>
                <w:sz w:val="17"/>
              </w:rPr>
              <w:t>Evaluate RFC/API first; use an abstraction so it can change later</w:t>
            </w:r>
          </w:p>
        </w:tc>
        <w:tc>
          <w:tcPr>
            <w:tcW w:type="dxa" w:w="3168"/>
            <w:vAlign w:val="center"/>
          </w:tcPr>
          <w:p>
            <w:r/>
            <w:r>
              <w:rPr>
                <w:b w:val="0"/>
                <w:sz w:val="17"/>
              </w:rPr>
              <w:t>Determines deployment, licensing and compatibility</w:t>
            </w:r>
          </w:p>
        </w:tc>
      </w:tr>
      <w:tr>
        <w:tc>
          <w:tcPr>
            <w:tcW w:type="dxa" w:w="2160"/>
            <w:vAlign w:val="center"/>
          </w:tcPr>
          <w:p>
            <w:r/>
            <w:r>
              <w:rPr>
                <w:b w:val="0"/>
                <w:sz w:val="17"/>
              </w:rPr>
              <w:t>Runtime</w:t>
            </w:r>
          </w:p>
        </w:tc>
        <w:tc>
          <w:tcPr>
            <w:tcW w:type="dxa" w:w="3168"/>
            <w:vAlign w:val="center"/>
          </w:tcPr>
          <w:p>
            <w:r/>
            <w:r>
              <w:rPr>
                <w:b w:val="0"/>
                <w:sz w:val="17"/>
              </w:rPr>
              <w:t>Python service, container, VM</w:t>
            </w:r>
          </w:p>
        </w:tc>
        <w:tc>
          <w:tcPr>
            <w:tcW w:type="dxa" w:w="3888"/>
            <w:vAlign w:val="center"/>
          </w:tcPr>
          <w:p>
            <w:r/>
            <w:r>
              <w:rPr>
                <w:b w:val="0"/>
                <w:sz w:val="17"/>
              </w:rPr>
              <w:t>Python is practical for initial development; containerization should be considered for deployment</w:t>
            </w:r>
          </w:p>
        </w:tc>
        <w:tc>
          <w:tcPr>
            <w:tcW w:type="dxa" w:w="3168"/>
            <w:vAlign w:val="center"/>
          </w:tcPr>
          <w:p>
            <w:r/>
            <w:r>
              <w:rPr>
                <w:b w:val="0"/>
                <w:sz w:val="17"/>
              </w:rPr>
              <w:t>Affects portability and operations</w:t>
            </w:r>
          </w:p>
        </w:tc>
      </w:tr>
      <w:tr>
        <w:tc>
          <w:tcPr>
            <w:tcW w:type="dxa" w:w="2160"/>
            <w:vAlign w:val="center"/>
          </w:tcPr>
          <w:p>
            <w:r/>
            <w:r>
              <w:rPr>
                <w:b w:val="0"/>
                <w:sz w:val="17"/>
              </w:rPr>
              <w:t>Database</w:t>
            </w:r>
          </w:p>
        </w:tc>
        <w:tc>
          <w:tcPr>
            <w:tcW w:type="dxa" w:w="3168"/>
            <w:vAlign w:val="center"/>
          </w:tcPr>
          <w:p>
            <w:r/>
            <w:r>
              <w:rPr>
                <w:b w:val="0"/>
                <w:sz w:val="17"/>
              </w:rPr>
              <w:t>PostgreSQL, SQL Server, HANA, other enterprise DB</w:t>
            </w:r>
          </w:p>
        </w:tc>
        <w:tc>
          <w:tcPr>
            <w:tcW w:type="dxa" w:w="3888"/>
            <w:vAlign w:val="center"/>
          </w:tcPr>
          <w:p>
            <w:r/>
            <w:r>
              <w:rPr>
                <w:b w:val="0"/>
                <w:sz w:val="17"/>
              </w:rPr>
              <w:t>Use an enterprise-supported relational DB available internally</w:t>
            </w:r>
          </w:p>
        </w:tc>
        <w:tc>
          <w:tcPr>
            <w:tcW w:type="dxa" w:w="3168"/>
            <w:vAlign w:val="center"/>
          </w:tcPr>
          <w:p>
            <w:r/>
            <w:r>
              <w:rPr>
                <w:b w:val="0"/>
                <w:sz w:val="17"/>
              </w:rPr>
              <w:t>Audit volume, support and security</w:t>
            </w:r>
          </w:p>
        </w:tc>
      </w:tr>
      <w:tr>
        <w:tc>
          <w:tcPr>
            <w:tcW w:type="dxa" w:w="2160"/>
            <w:vAlign w:val="center"/>
          </w:tcPr>
          <w:p>
            <w:r/>
            <w:r>
              <w:rPr>
                <w:b w:val="0"/>
                <w:sz w:val="17"/>
              </w:rPr>
              <w:t>UI</w:t>
            </w:r>
          </w:p>
        </w:tc>
        <w:tc>
          <w:tcPr>
            <w:tcW w:type="dxa" w:w="3168"/>
            <w:vAlign w:val="center"/>
          </w:tcPr>
          <w:p>
            <w:r/>
            <w:r>
              <w:rPr>
                <w:b w:val="0"/>
                <w:sz w:val="17"/>
              </w:rPr>
              <w:t>Streamlit, React + API, internal web framework</w:t>
            </w:r>
          </w:p>
        </w:tc>
        <w:tc>
          <w:tcPr>
            <w:tcW w:type="dxa" w:w="3888"/>
            <w:vAlign w:val="center"/>
          </w:tcPr>
          <w:p>
            <w:r/>
            <w:r>
              <w:rPr>
                <w:b w:val="0"/>
                <w:sz w:val="17"/>
              </w:rPr>
              <w:t>Streamlit can accelerate MVP; separate API layer should exist even if UI is simple</w:t>
            </w:r>
          </w:p>
        </w:tc>
        <w:tc>
          <w:tcPr>
            <w:tcW w:type="dxa" w:w="3168"/>
            <w:vAlign w:val="center"/>
          </w:tcPr>
          <w:p>
            <w:r/>
            <w:r>
              <w:rPr>
                <w:b w:val="0"/>
                <w:sz w:val="17"/>
              </w:rPr>
              <w:t>Prevents UI from becoming the business logic</w:t>
            </w:r>
          </w:p>
        </w:tc>
      </w:tr>
      <w:tr>
        <w:tc>
          <w:tcPr>
            <w:tcW w:type="dxa" w:w="2160"/>
            <w:vAlign w:val="center"/>
          </w:tcPr>
          <w:p>
            <w:r/>
            <w:r>
              <w:rPr>
                <w:b w:val="0"/>
                <w:sz w:val="17"/>
              </w:rPr>
              <w:t>LLM</w:t>
            </w:r>
          </w:p>
        </w:tc>
        <w:tc>
          <w:tcPr>
            <w:tcW w:type="dxa" w:w="3168"/>
            <w:vAlign w:val="center"/>
          </w:tcPr>
          <w:p>
            <w:r/>
            <w:r>
              <w:rPr>
                <w:b w:val="0"/>
                <w:sz w:val="17"/>
              </w:rPr>
              <w:t>Internal/private model, approved enterprise API</w:t>
            </w:r>
          </w:p>
        </w:tc>
        <w:tc>
          <w:tcPr>
            <w:tcW w:type="dxa" w:w="3888"/>
            <w:vAlign w:val="center"/>
          </w:tcPr>
          <w:p>
            <w:r/>
            <w:r>
              <w:rPr>
                <w:b w:val="0"/>
                <w:sz w:val="17"/>
              </w:rPr>
              <w:t>Use only an approved enterprise model with data controls</w:t>
            </w:r>
          </w:p>
        </w:tc>
        <w:tc>
          <w:tcPr>
            <w:tcW w:type="dxa" w:w="3168"/>
            <w:vAlign w:val="center"/>
          </w:tcPr>
          <w:p>
            <w:r/>
            <w:r>
              <w:rPr>
                <w:b w:val="0"/>
                <w:sz w:val="17"/>
              </w:rPr>
              <w:t>Security data is sensitive</w:t>
            </w:r>
          </w:p>
        </w:tc>
      </w:tr>
      <w:tr>
        <w:tc>
          <w:tcPr>
            <w:tcW w:type="dxa" w:w="2160"/>
            <w:vAlign w:val="center"/>
          </w:tcPr>
          <w:p>
            <w:r/>
            <w:r>
              <w:rPr>
                <w:b w:val="0"/>
                <w:sz w:val="17"/>
              </w:rPr>
              <w:t>Scheduling</w:t>
            </w:r>
          </w:p>
        </w:tc>
        <w:tc>
          <w:tcPr>
            <w:tcW w:type="dxa" w:w="3168"/>
            <w:vAlign w:val="center"/>
          </w:tcPr>
          <w:p>
            <w:r/>
            <w:r>
              <w:rPr>
                <w:b w:val="0"/>
                <w:sz w:val="17"/>
              </w:rPr>
              <w:t>OS scheduler, Celery, enterprise scheduler</w:t>
            </w:r>
          </w:p>
        </w:tc>
        <w:tc>
          <w:tcPr>
            <w:tcW w:type="dxa" w:w="3888"/>
            <w:vAlign w:val="center"/>
          </w:tcPr>
          <w:p>
            <w:r/>
            <w:r>
              <w:rPr>
                <w:b w:val="0"/>
                <w:sz w:val="17"/>
              </w:rPr>
              <w:t>Use a proper job abstraction with retries/checkpoints</w:t>
            </w:r>
          </w:p>
        </w:tc>
        <w:tc>
          <w:tcPr>
            <w:tcW w:type="dxa" w:w="3168"/>
            <w:vAlign w:val="center"/>
          </w:tcPr>
          <w:p>
            <w:r/>
            <w:r>
              <w:rPr>
                <w:b w:val="0"/>
                <w:sz w:val="17"/>
              </w:rPr>
              <w:t>Needed for reliable collection</w:t>
            </w:r>
          </w:p>
        </w:tc>
      </w:tr>
      <w:tr>
        <w:tc>
          <w:tcPr>
            <w:tcW w:type="dxa" w:w="2160"/>
            <w:vAlign w:val="center"/>
          </w:tcPr>
          <w:p>
            <w:r/>
            <w:r>
              <w:rPr>
                <w:b w:val="0"/>
                <w:sz w:val="17"/>
              </w:rPr>
              <w:t>Secrets</w:t>
            </w:r>
          </w:p>
        </w:tc>
        <w:tc>
          <w:tcPr>
            <w:tcW w:type="dxa" w:w="3168"/>
            <w:vAlign w:val="center"/>
          </w:tcPr>
          <w:p>
            <w:r/>
            <w:r>
              <w:rPr>
                <w:b w:val="0"/>
                <w:sz w:val="17"/>
              </w:rPr>
              <w:t>Environment variables, vault</w:t>
            </w:r>
          </w:p>
        </w:tc>
        <w:tc>
          <w:tcPr>
            <w:tcW w:type="dxa" w:w="3888"/>
            <w:vAlign w:val="center"/>
          </w:tcPr>
          <w:p>
            <w:r/>
            <w:r>
              <w:rPr>
                <w:b w:val="0"/>
                <w:sz w:val="17"/>
              </w:rPr>
              <w:t>Vault for production</w:t>
            </w:r>
          </w:p>
        </w:tc>
        <w:tc>
          <w:tcPr>
            <w:tcW w:type="dxa" w:w="3168"/>
            <w:vAlign w:val="center"/>
          </w:tcPr>
          <w:p>
            <w:r/>
            <w:r>
              <w:rPr>
                <w:b w:val="0"/>
                <w:sz w:val="17"/>
              </w:rPr>
              <w:t>Prevents credential exposure</w:t>
            </w:r>
          </w:p>
        </w:tc>
      </w:tr>
      <w:tr>
        <w:tc>
          <w:tcPr>
            <w:tcW w:type="dxa" w:w="2160"/>
            <w:vAlign w:val="center"/>
          </w:tcPr>
          <w:p>
            <w:r/>
            <w:r>
              <w:rPr>
                <w:b w:val="0"/>
                <w:sz w:val="17"/>
              </w:rPr>
              <w:t>Authentication</w:t>
            </w:r>
          </w:p>
        </w:tc>
        <w:tc>
          <w:tcPr>
            <w:tcW w:type="dxa" w:w="3168"/>
            <w:vAlign w:val="center"/>
          </w:tcPr>
          <w:p>
            <w:r/>
            <w:r>
              <w:rPr>
                <w:b w:val="0"/>
                <w:sz w:val="17"/>
              </w:rPr>
              <w:t>Local auth, AD/LDAP, SSO</w:t>
            </w:r>
          </w:p>
        </w:tc>
        <w:tc>
          <w:tcPr>
            <w:tcW w:type="dxa" w:w="3888"/>
            <w:vAlign w:val="center"/>
          </w:tcPr>
          <w:p>
            <w:r/>
            <w:r>
              <w:rPr>
                <w:b w:val="0"/>
                <w:sz w:val="17"/>
              </w:rPr>
              <w:t>Enterprise SSO/AD where available</w:t>
            </w:r>
          </w:p>
        </w:tc>
        <w:tc>
          <w:tcPr>
            <w:tcW w:type="dxa" w:w="3168"/>
            <w:vAlign w:val="center"/>
          </w:tcPr>
          <w:p>
            <w:r/>
            <w:r>
              <w:rPr>
                <w:b w:val="0"/>
                <w:sz w:val="17"/>
              </w:rPr>
              <w:t>Auditability and user lifecycle</w:t>
            </w:r>
          </w:p>
        </w:tc>
      </w:tr>
      <w:tr>
        <w:tc>
          <w:tcPr>
            <w:tcW w:type="dxa" w:w="2160"/>
            <w:vAlign w:val="center"/>
          </w:tcPr>
          <w:p>
            <w:r/>
            <w:r>
              <w:rPr>
                <w:b w:val="0"/>
                <w:sz w:val="17"/>
              </w:rPr>
              <w:t>Deployment</w:t>
            </w:r>
          </w:p>
        </w:tc>
        <w:tc>
          <w:tcPr>
            <w:tcW w:type="dxa" w:w="3168"/>
            <w:vAlign w:val="center"/>
          </w:tcPr>
          <w:p>
            <w:r/>
            <w:r>
              <w:rPr>
                <w:b w:val="0"/>
                <w:sz w:val="17"/>
              </w:rPr>
              <w:t>Developer laptop, SAP app server, separate VM, container platform</w:t>
            </w:r>
          </w:p>
        </w:tc>
        <w:tc>
          <w:tcPr>
            <w:tcW w:type="dxa" w:w="3888"/>
            <w:vAlign w:val="center"/>
          </w:tcPr>
          <w:p>
            <w:r/>
            <w:r>
              <w:rPr>
                <w:b w:val="0"/>
                <w:sz w:val="17"/>
              </w:rPr>
              <w:t>Separate SAL application host</w:t>
            </w:r>
          </w:p>
        </w:tc>
        <w:tc>
          <w:tcPr>
            <w:tcW w:type="dxa" w:w="3168"/>
            <w:vAlign w:val="center"/>
          </w:tcPr>
          <w:p>
            <w:r/>
            <w:r>
              <w:rPr>
                <w:b w:val="0"/>
                <w:sz w:val="17"/>
              </w:rPr>
              <w:t>Avoid coupling SAL runtime to SAP OS</w:t>
            </w:r>
          </w:p>
        </w:tc>
      </w:tr>
    </w:tbl>
    <w:p/>
    <w:p>
      <w:pPr>
        <w:pStyle w:val="Heading1"/>
      </w:pPr>
      <w:r>
        <w:t>10. SAL Security Model</w:t>
      </w:r>
    </w:p>
    <w:p>
      <w:r>
        <w:t>SAL itself becomes a security-sensitive application because it centralizes user activity, authorization context and potentially investigation evidence. The tool must therefore be designed as a security product, not merely an automation script.</w:t>
      </w:r>
    </w:p>
    <w:p>
      <w:pPr>
        <w:pStyle w:val="ListBullet"/>
        <w:spacing w:after="40"/>
      </w:pPr>
      <w:r>
        <w:t>Use least-privilege SAP technical users. Do not use SAP_ALL for SAL.</w:t>
      </w:r>
    </w:p>
    <w:p>
      <w:pPr>
        <w:pStyle w:val="ListBullet"/>
        <w:spacing w:after="40"/>
      </w:pPr>
      <w:r>
        <w:t>Separate read-only collection permissions from SAL administration permissions.</w:t>
      </w:r>
    </w:p>
    <w:p>
      <w:pPr>
        <w:pStyle w:val="ListBullet"/>
        <w:spacing w:after="40"/>
      </w:pPr>
      <w:r>
        <w:t>Restrict which SAL users can search which SAP systems/clients.</w:t>
      </w:r>
    </w:p>
    <w:p>
      <w:pPr>
        <w:pStyle w:val="ListBullet"/>
        <w:spacing w:after="40"/>
      </w:pPr>
      <w:r>
        <w:t>Do not expose SAP passwords in configuration files, source code, logs or reports.</w:t>
      </w:r>
    </w:p>
    <w:p>
      <w:pPr>
        <w:pStyle w:val="ListBullet"/>
        <w:spacing w:after="40"/>
      </w:pPr>
      <w:r>
        <w:t>Encrypt data in transit and at rest.</w:t>
      </w:r>
    </w:p>
    <w:p>
      <w:pPr>
        <w:pStyle w:val="ListBullet"/>
        <w:spacing w:after="40"/>
      </w:pPr>
      <w:r>
        <w:t>Audit SAL logins, searches, exports, configuration changes and administrative actions.</w:t>
      </w:r>
    </w:p>
    <w:p>
      <w:pPr>
        <w:pStyle w:val="ListBullet"/>
        <w:spacing w:after="40"/>
      </w:pPr>
      <w:r>
        <w:t>Apply retention rules to both raw events and generated reports.</w:t>
      </w:r>
    </w:p>
    <w:p>
      <w:pPr>
        <w:pStyle w:val="ListBullet"/>
        <w:spacing w:after="40"/>
      </w:pPr>
      <w:r>
        <w:t>Protect exported files because they may contain sensitive user and system activity.</w:t>
      </w:r>
    </w:p>
    <w:p>
      <w:pPr>
        <w:pStyle w:val="ListBullet"/>
        <w:spacing w:after="40"/>
      </w:pPr>
      <w:r>
        <w:t>Define whether personally identifiable information such as user names, terminal names or IP addresses may be stored and for how long.</w:t>
      </w:r>
    </w:p>
    <w:p>
      <w:pPr>
        <w:pStyle w:val="ListBullet"/>
        <w:spacing w:after="40"/>
      </w:pPr>
      <w:r>
        <w:t>Use secure development practices: dependency scanning, code review, secret scanning and vulnerability management.</w:t>
      </w:r>
    </w:p>
    <w:p>
      <w:pPr>
        <w:pStyle w:val="ListBullet"/>
        <w:spacing w:after="40"/>
      </w:pPr>
      <w:r>
        <w:t>Validate every query parameter to prevent injection or unsafe dynamic SAP queries.</w:t>
      </w:r>
    </w:p>
    <w:p>
      <w:pPr>
        <w:pStyle w:val="ListBullet"/>
        <w:spacing w:after="40"/>
      </w:pPr>
      <w:r>
        <w:t>For AI features, enforce permission checks before retrieval and never allow the LLM to directly bypass the query service.</w:t>
      </w:r>
    </w:p>
    <w:p>
      <w:pPr>
        <w:pStyle w:val="Heading1"/>
      </w:pPr>
      <w:r>
        <w:t>11. Data Quality &amp; Audit Accuracy Considerations</w:t>
      </w:r>
    </w:p>
    <w:p>
      <w:pPr>
        <w:pStyle w:val="ListBullet"/>
        <w:spacing w:after="40"/>
      </w:pPr>
      <w:r>
        <w:t>SM20 can only report events that were configured to be logged. SAL must never imply complete visibility when logging is incomplete.</w:t>
      </w:r>
    </w:p>
    <w:p>
      <w:pPr>
        <w:pStyle w:val="ListBullet"/>
        <w:spacing w:after="40"/>
      </w:pPr>
      <w:r>
        <w:t>Audit log retention determines the historical period that can be investigated.</w:t>
      </w:r>
    </w:p>
    <w:p>
      <w:pPr>
        <w:pStyle w:val="ListBullet"/>
        <w:spacing w:after="40"/>
      </w:pPr>
      <w:r>
        <w:t>SAP system clocks and SAL server clocks must be synchronized.</w:t>
      </w:r>
    </w:p>
    <w:p>
      <w:pPr>
        <w:pStyle w:val="ListBullet"/>
        <w:spacing w:after="40"/>
      </w:pPr>
      <w:r>
        <w:t>Time-zone conversion must be explicit and consistent.</w:t>
      </w:r>
    </w:p>
    <w:p>
      <w:pPr>
        <w:pStyle w:val="ListBullet"/>
        <w:spacing w:after="40"/>
      </w:pPr>
      <w:r>
        <w:t>Transaction execution is not necessarily equivalent to successful completion of the business process.</w:t>
      </w:r>
    </w:p>
    <w:p>
      <w:pPr>
        <w:pStyle w:val="ListBullet"/>
        <w:spacing w:after="40"/>
      </w:pPr>
      <w:r>
        <w:t>The same user may have different identities across systems; identity mapping must be governed.</w:t>
      </w:r>
    </w:p>
    <w:p>
      <w:pPr>
        <w:pStyle w:val="ListBullet"/>
        <w:spacing w:after="40"/>
      </w:pPr>
      <w:r>
        <w:t>A user executing a transaction does not by itself prove that the user had a specific authorization object/value. Authorization conclusions require separate access data.</w:t>
      </w:r>
    </w:p>
    <w:p>
      <w:pPr>
        <w:pStyle w:val="ListBullet"/>
        <w:spacing w:after="40"/>
      </w:pPr>
      <w:r>
        <w:t>GRC Firefighter activity must be correlated carefully because session records and SAP audit records may have different identifiers or timestamps.</w:t>
      </w:r>
    </w:p>
    <w:p>
      <w:pPr>
        <w:pStyle w:val="ListBullet"/>
        <w:spacing w:after="40"/>
      </w:pPr>
      <w:r>
        <w:t>Missing events should be distinguishable from events with zero results.</w:t>
      </w:r>
    </w:p>
    <w:p>
      <w:pPr>
        <w:pStyle w:val="ListBullet"/>
        <w:spacing w:after="40"/>
      </w:pPr>
      <w:r>
        <w:t>Every report should state source system(s), client(s), time range, collection timestamp and data-coverage limitations.</w:t>
      </w:r>
    </w:p>
    <w:p>
      <w:pPr>
        <w:pStyle w:val="Heading1"/>
      </w:pPr>
      <w:r>
        <w:t>12. Effort &amp; Complexity Model</w:t>
      </w:r>
    </w:p>
    <w:tbl>
      <w:tblPr>
        <w:tblStyle w:val="TableGrid"/>
        <w:tblW w:type="auto" w:w="0"/>
        <w:jc w:val="center"/>
        <w:tblLook w:firstColumn="1" w:firstRow="1" w:lastColumn="0" w:lastRow="0" w:noHBand="0" w:noVBand="1" w:val="04A0"/>
      </w:tblPr>
      <w:tblGrid>
        <w:gridCol w:w="2880"/>
        <w:gridCol w:w="2880"/>
        <w:gridCol w:w="2880"/>
      </w:tblGrid>
      <w:tr>
        <w:tc>
          <w:tcPr>
            <w:tcW w:type="dxa" w:w="1872"/>
            <w:vAlign w:val="center"/>
            <w:shd w:fill="D9EAF7"/>
          </w:tcPr>
          <w:p>
            <w:r/>
            <w:r>
              <w:rPr>
                <w:b/>
                <w:sz w:val="17"/>
              </w:rPr>
              <w:t>Rating</w:t>
            </w:r>
          </w:p>
        </w:tc>
        <w:tc>
          <w:tcPr>
            <w:tcW w:type="dxa" w:w="2160"/>
            <w:vAlign w:val="center"/>
            <w:shd w:fill="D9EAF7"/>
          </w:tcPr>
          <w:p>
            <w:r/>
            <w:r>
              <w:rPr>
                <w:b/>
                <w:sz w:val="17"/>
              </w:rPr>
              <w:t>Typical effort</w:t>
            </w:r>
          </w:p>
        </w:tc>
        <w:tc>
          <w:tcPr>
            <w:tcW w:type="dxa" w:w="7200"/>
            <w:vAlign w:val="center"/>
            <w:shd w:fill="D9EAF7"/>
          </w:tcPr>
          <w:p>
            <w:r/>
            <w:r>
              <w:rPr>
                <w:b/>
                <w:sz w:val="17"/>
              </w:rPr>
              <w:t>Meaning</w:t>
            </w:r>
          </w:p>
        </w:tc>
      </w:tr>
      <w:tr>
        <w:tc>
          <w:tcPr>
            <w:tcW w:type="dxa" w:w="1872"/>
            <w:vAlign w:val="center"/>
          </w:tcPr>
          <w:p>
            <w:r/>
            <w:r>
              <w:rPr>
                <w:b w:val="0"/>
                <w:sz w:val="17"/>
              </w:rPr>
              <w:t>Low</w:t>
            </w:r>
          </w:p>
        </w:tc>
        <w:tc>
          <w:tcPr>
            <w:tcW w:type="dxa" w:w="2160"/>
            <w:vAlign w:val="center"/>
          </w:tcPr>
          <w:p>
            <w:r/>
            <w:r>
              <w:rPr>
                <w:b w:val="0"/>
                <w:sz w:val="17"/>
              </w:rPr>
              <w:t>1–5 working days</w:t>
            </w:r>
          </w:p>
        </w:tc>
        <w:tc>
          <w:tcPr>
            <w:tcW w:type="dxa" w:w="7200"/>
            <w:vAlign w:val="center"/>
          </w:tcPr>
          <w:p>
            <w:r/>
            <w:r>
              <w:rPr>
                <w:b w:val="0"/>
                <w:sz w:val="17"/>
              </w:rPr>
              <w:t>Mostly UI/query/configuration work; known data source; limited dependencies.</w:t>
            </w:r>
          </w:p>
        </w:tc>
      </w:tr>
      <w:tr>
        <w:tc>
          <w:tcPr>
            <w:tcW w:type="dxa" w:w="1872"/>
            <w:vAlign w:val="center"/>
          </w:tcPr>
          <w:p>
            <w:r/>
            <w:r>
              <w:rPr>
                <w:b w:val="0"/>
                <w:sz w:val="17"/>
              </w:rPr>
              <w:t>Low–Medium</w:t>
            </w:r>
          </w:p>
        </w:tc>
        <w:tc>
          <w:tcPr>
            <w:tcW w:type="dxa" w:w="2160"/>
            <w:vAlign w:val="center"/>
          </w:tcPr>
          <w:p>
            <w:r/>
            <w:r>
              <w:rPr>
                <w:b w:val="0"/>
                <w:sz w:val="17"/>
              </w:rPr>
              <w:t>1–2 weeks</w:t>
            </w:r>
          </w:p>
        </w:tc>
        <w:tc>
          <w:tcPr>
            <w:tcW w:type="dxa" w:w="7200"/>
            <w:vAlign w:val="center"/>
          </w:tcPr>
          <w:p>
            <w:r/>
            <w:r>
              <w:rPr>
                <w:b w:val="0"/>
                <w:sz w:val="17"/>
              </w:rPr>
              <w:t>Some integration or data modeling; manageable testing.</w:t>
            </w:r>
          </w:p>
        </w:tc>
      </w:tr>
      <w:tr>
        <w:tc>
          <w:tcPr>
            <w:tcW w:type="dxa" w:w="1872"/>
            <w:vAlign w:val="center"/>
          </w:tcPr>
          <w:p>
            <w:r/>
            <w:r>
              <w:rPr>
                <w:b w:val="0"/>
                <w:sz w:val="17"/>
              </w:rPr>
              <w:t>Medium</w:t>
            </w:r>
          </w:p>
        </w:tc>
        <w:tc>
          <w:tcPr>
            <w:tcW w:type="dxa" w:w="2160"/>
            <w:vAlign w:val="center"/>
          </w:tcPr>
          <w:p>
            <w:r/>
            <w:r>
              <w:rPr>
                <w:b w:val="0"/>
                <w:sz w:val="17"/>
              </w:rPr>
              <w:t>2–4 weeks</w:t>
            </w:r>
          </w:p>
        </w:tc>
        <w:tc>
          <w:tcPr>
            <w:tcW w:type="dxa" w:w="7200"/>
            <w:vAlign w:val="center"/>
          </w:tcPr>
          <w:p>
            <w:r/>
            <w:r>
              <w:rPr>
                <w:b w:val="0"/>
                <w:sz w:val="17"/>
              </w:rPr>
              <w:t>Meaningful backend/integration work and testing; several edge cases.</w:t>
            </w:r>
          </w:p>
        </w:tc>
      </w:tr>
      <w:tr>
        <w:tc>
          <w:tcPr>
            <w:tcW w:type="dxa" w:w="1872"/>
            <w:vAlign w:val="center"/>
          </w:tcPr>
          <w:p>
            <w:r/>
            <w:r>
              <w:rPr>
                <w:b w:val="0"/>
                <w:sz w:val="17"/>
              </w:rPr>
              <w:t>Medium–High</w:t>
            </w:r>
          </w:p>
        </w:tc>
        <w:tc>
          <w:tcPr>
            <w:tcW w:type="dxa" w:w="2160"/>
            <w:vAlign w:val="center"/>
          </w:tcPr>
          <w:p>
            <w:r/>
            <w:r>
              <w:rPr>
                <w:b w:val="0"/>
                <w:sz w:val="17"/>
              </w:rPr>
              <w:t>3–6 weeks</w:t>
            </w:r>
          </w:p>
        </w:tc>
        <w:tc>
          <w:tcPr>
            <w:tcW w:type="dxa" w:w="7200"/>
            <w:vAlign w:val="center"/>
          </w:tcPr>
          <w:p>
            <w:r/>
            <w:r>
              <w:rPr>
                <w:b w:val="0"/>
                <w:sz w:val="17"/>
              </w:rPr>
              <w:t>Multiple SAP objects/sources, complex mapping or business rules.</w:t>
            </w:r>
          </w:p>
        </w:tc>
      </w:tr>
      <w:tr>
        <w:tc>
          <w:tcPr>
            <w:tcW w:type="dxa" w:w="1872"/>
            <w:vAlign w:val="center"/>
          </w:tcPr>
          <w:p>
            <w:r/>
            <w:r>
              <w:rPr>
                <w:b w:val="0"/>
                <w:sz w:val="17"/>
              </w:rPr>
              <w:t>High</w:t>
            </w:r>
          </w:p>
        </w:tc>
        <w:tc>
          <w:tcPr>
            <w:tcW w:type="dxa" w:w="2160"/>
            <w:vAlign w:val="center"/>
          </w:tcPr>
          <w:p>
            <w:r/>
            <w:r>
              <w:rPr>
                <w:b w:val="0"/>
                <w:sz w:val="17"/>
              </w:rPr>
              <w:t>4–8 weeks</w:t>
            </w:r>
          </w:p>
        </w:tc>
        <w:tc>
          <w:tcPr>
            <w:tcW w:type="dxa" w:w="7200"/>
            <w:vAlign w:val="center"/>
          </w:tcPr>
          <w:p>
            <w:r/>
            <w:r>
              <w:rPr>
                <w:b w:val="0"/>
                <w:sz w:val="17"/>
              </w:rPr>
              <w:t>Significant integration, security, correlation or workflow complexity.</w:t>
            </w:r>
          </w:p>
        </w:tc>
      </w:tr>
      <w:tr>
        <w:tc>
          <w:tcPr>
            <w:tcW w:type="dxa" w:w="1872"/>
            <w:vAlign w:val="center"/>
          </w:tcPr>
          <w:p>
            <w:r/>
            <w:r>
              <w:rPr>
                <w:b w:val="0"/>
                <w:sz w:val="17"/>
              </w:rPr>
              <w:t>Very High</w:t>
            </w:r>
          </w:p>
        </w:tc>
        <w:tc>
          <w:tcPr>
            <w:tcW w:type="dxa" w:w="2160"/>
            <w:vAlign w:val="center"/>
          </w:tcPr>
          <w:p>
            <w:r/>
            <w:r>
              <w:rPr>
                <w:b w:val="0"/>
                <w:sz w:val="17"/>
              </w:rPr>
              <w:t>6–12+ weeks</w:t>
            </w:r>
          </w:p>
        </w:tc>
        <w:tc>
          <w:tcPr>
            <w:tcW w:type="dxa" w:w="7200"/>
            <w:vAlign w:val="center"/>
          </w:tcPr>
          <w:p>
            <w:r/>
            <w:r>
              <w:rPr>
                <w:b w:val="0"/>
                <w:sz w:val="17"/>
              </w:rPr>
              <w:t>Multiple platforms, AI/ML, enterprise integrations or substantial governance.</w:t>
            </w:r>
          </w:p>
        </w:tc>
      </w:tr>
    </w:tbl>
    <w:p/>
    <w:p>
      <w:r>
        <w:t>Effort ranges are directional planning estimates for a small development team familiar with Python, SAP Security and enterprise integration. They should be re-estimated after a technical spike against the actual SAP release, GRC architecture, available APIs/RFCs and infrastructure.</w:t>
      </w:r>
    </w:p>
    <w:p>
      <w:pPr>
        <w:pStyle w:val="Heading1"/>
      </w:pPr>
      <w:r>
        <w:t>13. Recommended MVP Scope</w:t>
      </w:r>
    </w:p>
    <w:p>
      <w:r>
        <w:t>For an initial internal proof of concept, the following scope is recommended. It is deliberately small enough to deliver but large enough to demonstrate the product direction.</w:t>
      </w:r>
    </w:p>
    <w:p>
      <w:pPr>
        <w:pStyle w:val="ListNumber"/>
        <w:spacing w:after="40"/>
      </w:pPr>
      <w:r>
        <w:t>Secure connection to one SAP system/client.</w:t>
      </w:r>
    </w:p>
    <w:p>
      <w:pPr>
        <w:pStyle w:val="ListNumber"/>
        <w:spacing w:after="40"/>
      </w:pPr>
      <w:r>
        <w:t>SM20 extraction for a defined time window.</w:t>
      </w:r>
    </w:p>
    <w:p>
      <w:pPr>
        <w:pStyle w:val="ListNumber"/>
        <w:spacing w:after="40"/>
      </w:pPr>
      <w:r>
        <w:t>SM19 configuration snapshot.</w:t>
      </w:r>
    </w:p>
    <w:p>
      <w:pPr>
        <w:pStyle w:val="ListNumber"/>
        <w:spacing w:after="40"/>
      </w:pPr>
      <w:r>
        <w:t>Normalized audit-event database.</w:t>
      </w:r>
    </w:p>
    <w:p>
      <w:pPr>
        <w:pStyle w:val="ListNumber"/>
        <w:spacing w:after="40"/>
      </w:pPr>
      <w:r>
        <w:t>Transaction search, including the FBL5N use case.</w:t>
      </w:r>
    </w:p>
    <w:p>
      <w:pPr>
        <w:pStyle w:val="ListNumber"/>
        <w:spacing w:after="40"/>
      </w:pPr>
      <w:r>
        <w:t>User activity search.</w:t>
      </w:r>
    </w:p>
    <w:p>
      <w:pPr>
        <w:pStyle w:val="ListNumber"/>
        <w:spacing w:after="40"/>
      </w:pPr>
      <w:r>
        <w:t>Filters for system, client, user, transaction, event type and time range.</w:t>
      </w:r>
    </w:p>
    <w:p>
      <w:pPr>
        <w:pStyle w:val="ListNumber"/>
        <w:spacing w:after="40"/>
      </w:pPr>
      <w:r>
        <w:t>Excel/CSV export.</w:t>
      </w:r>
    </w:p>
    <w:p>
      <w:pPr>
        <w:pStyle w:val="ListNumber"/>
        <w:spacing w:after="40"/>
      </w:pPr>
      <w:r>
        <w:t>Basic dashboard with transaction and user activity statistics.</w:t>
      </w:r>
    </w:p>
    <w:p>
      <w:pPr>
        <w:pStyle w:val="ListNumber"/>
        <w:spacing w:after="40"/>
      </w:pPr>
      <w:r>
        <w:t>Query history and extraction-run audit trail.</w:t>
      </w:r>
    </w:p>
    <w:p>
      <w:pPr>
        <w:pStyle w:val="ListNumber"/>
        <w:spacing w:after="40"/>
      </w:pPr>
      <w:r>
        <w:t>Configurable critical-transaction catalogue.</w:t>
      </w:r>
    </w:p>
    <w:p>
      <w:r>
        <w:t>A successful MVP should demonstrate the following live scenario: a consultant enters a time range and transaction such as FBL5N, SAL retrieves the relevant SM20 data, identifies the users, shows timestamps and system/client context, provides drill-down evidence, and exports the result.</w:t>
      </w:r>
    </w:p>
    <w:p>
      <w:pPr>
        <w:pStyle w:val="Heading1"/>
      </w:pPr>
      <w:r>
        <w:t>14. Example SAL Workflows</w:t>
      </w:r>
    </w:p>
    <w:p>
      <w:pPr>
        <w:pStyle w:val="Heading2"/>
      </w:pPr>
      <w:r>
        <w:t>14.1 Stage 1 — FBL5N usage</w:t>
      </w:r>
    </w:p>
    <w:p>
      <w:pPr>
        <w:pStyle w:val="ListNumber"/>
        <w:spacing w:after="40"/>
      </w:pPr>
      <w:r>
        <w:t>Consultant selects S4P / client 400.</w:t>
      </w:r>
    </w:p>
    <w:p>
      <w:pPr>
        <w:pStyle w:val="ListNumber"/>
        <w:spacing w:after="40"/>
      </w:pPr>
      <w:r>
        <w:t>Consultant enters FBL5N and last 7 days.</w:t>
      </w:r>
    </w:p>
    <w:p>
      <w:pPr>
        <w:pStyle w:val="ListNumber"/>
        <w:spacing w:after="40"/>
      </w:pPr>
      <w:r>
        <w:t>SAL validates the transaction and date range.</w:t>
      </w:r>
    </w:p>
    <w:p>
      <w:pPr>
        <w:pStyle w:val="ListNumber"/>
        <w:spacing w:after="40"/>
      </w:pPr>
      <w:r>
        <w:t>Query engine searches normalized SM20 events.</w:t>
      </w:r>
    </w:p>
    <w:p>
      <w:pPr>
        <w:pStyle w:val="ListNumber"/>
        <w:spacing w:after="40"/>
      </w:pPr>
      <w:r>
        <w:t>SAL groups results by user.</w:t>
      </w:r>
    </w:p>
    <w:p>
      <w:pPr>
        <w:pStyle w:val="ListNumber"/>
        <w:spacing w:after="40"/>
      </w:pPr>
      <w:r>
        <w:t>Consultant sees user, full name if an identity mapping is available, timestamp, system/client and execution count.</w:t>
      </w:r>
    </w:p>
    <w:p>
      <w:pPr>
        <w:pStyle w:val="ListNumber"/>
        <w:spacing w:after="40"/>
      </w:pPr>
      <w:r>
        <w:t>Consultant drills into raw event details.</w:t>
      </w:r>
    </w:p>
    <w:p>
      <w:pPr>
        <w:pStyle w:val="ListNumber"/>
        <w:spacing w:after="40"/>
      </w:pPr>
      <w:r>
        <w:t>Consultant exports the result to Excel.</w:t>
      </w:r>
    </w:p>
    <w:p>
      <w:pPr>
        <w:pStyle w:val="Heading2"/>
      </w:pPr>
      <w:r>
        <w:t>14.2 Stage 2 — Investigate a privileged user</w:t>
      </w:r>
    </w:p>
    <w:p>
      <w:pPr>
        <w:pStyle w:val="ListNumber"/>
        <w:spacing w:after="40"/>
      </w:pPr>
      <w:r>
        <w:t>Consultant selects USER123 and last 30 days.</w:t>
      </w:r>
    </w:p>
    <w:p>
      <w:pPr>
        <w:pStyle w:val="ListNumber"/>
        <w:spacing w:after="40"/>
      </w:pPr>
      <w:r>
        <w:t>SAL retrieves audit activity.</w:t>
      </w:r>
    </w:p>
    <w:p>
      <w:pPr>
        <w:pStyle w:val="ListNumber"/>
        <w:spacing w:after="40"/>
      </w:pPr>
      <w:r>
        <w:t>SAL retrieves current or timestamped access context.</w:t>
      </w:r>
    </w:p>
    <w:p>
      <w:pPr>
        <w:pStyle w:val="ListNumber"/>
        <w:spacing w:after="40"/>
      </w:pPr>
      <w:r>
        <w:t>SAL checks critical transactions and after-hours activity.</w:t>
      </w:r>
    </w:p>
    <w:p>
      <w:pPr>
        <w:pStyle w:val="ListNumber"/>
        <w:spacing w:after="40"/>
      </w:pPr>
      <w:r>
        <w:t>SAL checks Firefighter activity where GRC integration exists.</w:t>
      </w:r>
    </w:p>
    <w:p>
      <w:pPr>
        <w:pStyle w:val="ListNumber"/>
        <w:spacing w:after="40"/>
      </w:pPr>
      <w:r>
        <w:t>SAL identifies deterministic risk indicators.</w:t>
      </w:r>
    </w:p>
    <w:p>
      <w:pPr>
        <w:pStyle w:val="ListNumber"/>
        <w:spacing w:after="40"/>
      </w:pPr>
      <w:r>
        <w:t>SAL produces a timeline and investigation report.</w:t>
      </w:r>
    </w:p>
    <w:p>
      <w:pPr>
        <w:pStyle w:val="Heading2"/>
      </w:pPr>
      <w:r>
        <w:t>14.3 Stage 3 — Natural-language investigation</w:t>
      </w:r>
    </w:p>
    <w:p>
      <w:pPr>
        <w:pStyle w:val="ListNumber"/>
        <w:spacing w:after="40"/>
      </w:pPr>
      <w:r>
        <w:t>Consultant asks: "Investigate USER123 for suspicious activity during the last 30 days."</w:t>
      </w:r>
    </w:p>
    <w:p>
      <w:pPr>
        <w:pStyle w:val="ListNumber"/>
        <w:spacing w:after="40"/>
      </w:pPr>
      <w:r>
        <w:t>AI converts the request into a supported SAL investigation plan.</w:t>
      </w:r>
    </w:p>
    <w:p>
      <w:pPr>
        <w:pStyle w:val="ListNumber"/>
        <w:spacing w:after="40"/>
      </w:pPr>
      <w:r>
        <w:t>SAL validates that the consultant has access to the requested systems/data.</w:t>
      </w:r>
    </w:p>
    <w:p>
      <w:pPr>
        <w:pStyle w:val="ListNumber"/>
        <w:spacing w:after="40"/>
      </w:pPr>
      <w:r>
        <w:t>Investigation playbook executes defined queries and rules.</w:t>
      </w:r>
    </w:p>
    <w:p>
      <w:pPr>
        <w:pStyle w:val="ListNumber"/>
        <w:spacing w:after="40"/>
      </w:pPr>
      <w:r>
        <w:t>Correlation engine combines activity, roles, privileged access and GRC context.</w:t>
      </w:r>
    </w:p>
    <w:p>
      <w:pPr>
        <w:pStyle w:val="ListNumber"/>
        <w:spacing w:after="40"/>
      </w:pPr>
      <w:r>
        <w:t>Risk engine calculates explainable indicators.</w:t>
      </w:r>
    </w:p>
    <w:p>
      <w:pPr>
        <w:pStyle w:val="ListNumber"/>
        <w:spacing w:after="40"/>
      </w:pPr>
      <w:r>
        <w:t>AI summarizes only the retrieved evidence.</w:t>
      </w:r>
    </w:p>
    <w:p>
      <w:pPr>
        <w:pStyle w:val="ListNumber"/>
        <w:spacing w:after="40"/>
      </w:pPr>
      <w:r>
        <w:t>SAL creates a case/evidence package with references to the underlying records.</w:t>
      </w:r>
    </w:p>
    <w:p>
      <w:pPr>
        <w:pStyle w:val="Heading1"/>
      </w:pPr>
      <w:r>
        <w:t>15. Major Risks and Mitigations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vAlign w:val="center"/>
            <w:shd w:fill="D9EAF7"/>
          </w:tcPr>
          <w:p>
            <w:r/>
            <w:r>
              <w:rPr>
                <w:b/>
                <w:sz w:val="17"/>
              </w:rPr>
              <w:t>Risk</w:t>
            </w:r>
          </w:p>
        </w:tc>
        <w:tc>
          <w:tcPr>
            <w:tcW w:type="dxa" w:w="1440"/>
            <w:vAlign w:val="center"/>
            <w:shd w:fill="D9EAF7"/>
          </w:tcPr>
          <w:p>
            <w:r/>
            <w:r>
              <w:rPr>
                <w:b/>
                <w:sz w:val="17"/>
              </w:rPr>
              <w:t>Impact</w:t>
            </w:r>
          </w:p>
        </w:tc>
        <w:tc>
          <w:tcPr>
            <w:tcW w:type="dxa" w:w="1440"/>
            <w:vAlign w:val="center"/>
            <w:shd w:fill="D9EAF7"/>
          </w:tcPr>
          <w:p>
            <w:r/>
            <w:r>
              <w:rPr>
                <w:b/>
                <w:sz w:val="17"/>
              </w:rPr>
              <w:t>Likelihood</w:t>
            </w:r>
          </w:p>
        </w:tc>
        <w:tc>
          <w:tcPr>
            <w:tcW w:type="dxa" w:w="5760"/>
            <w:vAlign w:val="center"/>
            <w:shd w:fill="D9EAF7"/>
          </w:tcPr>
          <w:p>
            <w:r/>
            <w:r>
              <w:rPr>
                <w:b/>
                <w:sz w:val="17"/>
              </w:rPr>
              <w:t>Mitigation</w:t>
            </w:r>
          </w:p>
        </w:tc>
      </w:tr>
      <w:tr>
        <w:tc>
          <w:tcPr>
            <w:tcW w:type="dxa" w:w="2880"/>
            <w:vAlign w:val="center"/>
          </w:tcPr>
          <w:p>
            <w:r/>
            <w:r>
              <w:rPr>
                <w:b w:val="0"/>
                <w:sz w:val="17"/>
              </w:rPr>
              <w:t>Insufficient SM20 logging</w:t>
            </w:r>
          </w:p>
        </w:tc>
        <w:tc>
          <w:tcPr>
            <w:tcW w:type="dxa" w:w="1440"/>
            <w:vAlign w:val="center"/>
          </w:tcPr>
          <w:p>
            <w:r/>
            <w:r>
              <w:rPr>
                <w:b w:val="0"/>
                <w:sz w:val="17"/>
              </w:rPr>
              <w:t>High</w:t>
            </w:r>
          </w:p>
        </w:tc>
        <w:tc>
          <w:tcPr>
            <w:tcW w:type="dxa" w:w="1440"/>
            <w:vAlign w:val="center"/>
          </w:tcPr>
          <w:p>
            <w:r/>
            <w:r>
              <w:rPr>
                <w:b w:val="0"/>
                <w:sz w:val="17"/>
              </w:rPr>
              <w:t>Medium</w:t>
            </w:r>
          </w:p>
        </w:tc>
        <w:tc>
          <w:tcPr>
            <w:tcW w:type="dxa" w:w="5760"/>
            <w:vAlign w:val="center"/>
          </w:tcPr>
          <w:p>
            <w:r/>
            <w:r>
              <w:rPr>
                <w:b w:val="0"/>
                <w:sz w:val="17"/>
              </w:rPr>
              <w:t>Stage 1 must include SM19 visibility and data-coverage warnings.</w:t>
            </w:r>
          </w:p>
        </w:tc>
      </w:tr>
      <w:tr>
        <w:tc>
          <w:tcPr>
            <w:tcW w:type="dxa" w:w="2880"/>
            <w:vAlign w:val="center"/>
          </w:tcPr>
          <w:p>
            <w:r/>
            <w:r>
              <w:rPr>
                <w:b w:val="0"/>
                <w:sz w:val="17"/>
              </w:rPr>
              <w:t>Large audit-log volume</w:t>
            </w:r>
          </w:p>
        </w:tc>
        <w:tc>
          <w:tcPr>
            <w:tcW w:type="dxa" w:w="1440"/>
            <w:vAlign w:val="center"/>
          </w:tcPr>
          <w:p>
            <w:r/>
            <w:r>
              <w:rPr>
                <w:b w:val="0"/>
                <w:sz w:val="17"/>
              </w:rPr>
              <w:t>High</w:t>
            </w:r>
          </w:p>
        </w:tc>
        <w:tc>
          <w:tcPr>
            <w:tcW w:type="dxa" w:w="1440"/>
            <w:vAlign w:val="center"/>
          </w:tcPr>
          <w:p>
            <w:r/>
            <w:r>
              <w:rPr>
                <w:b w:val="0"/>
                <w:sz w:val="17"/>
              </w:rPr>
              <w:t>High</w:t>
            </w:r>
          </w:p>
        </w:tc>
        <w:tc>
          <w:tcPr>
            <w:tcW w:type="dxa" w:w="5760"/>
            <w:vAlign w:val="center"/>
          </w:tcPr>
          <w:p>
            <w:r/>
            <w:r>
              <w:rPr>
                <w:b w:val="0"/>
                <w:sz w:val="17"/>
              </w:rPr>
              <w:t>Incremental extraction, indexing, partitioning and retention.</w:t>
            </w:r>
          </w:p>
        </w:tc>
      </w:tr>
      <w:tr>
        <w:tc>
          <w:tcPr>
            <w:tcW w:type="dxa" w:w="2880"/>
            <w:vAlign w:val="center"/>
          </w:tcPr>
          <w:p>
            <w:r/>
            <w:r>
              <w:rPr>
                <w:b w:val="0"/>
                <w:sz w:val="17"/>
              </w:rPr>
              <w:t>Incorrect timestamp handling</w:t>
            </w:r>
          </w:p>
        </w:tc>
        <w:tc>
          <w:tcPr>
            <w:tcW w:type="dxa" w:w="1440"/>
            <w:vAlign w:val="center"/>
          </w:tcPr>
          <w:p>
            <w:r/>
            <w:r>
              <w:rPr>
                <w:b w:val="0"/>
                <w:sz w:val="17"/>
              </w:rPr>
              <w:t>High</w:t>
            </w:r>
          </w:p>
        </w:tc>
        <w:tc>
          <w:tcPr>
            <w:tcW w:type="dxa" w:w="1440"/>
            <w:vAlign w:val="center"/>
          </w:tcPr>
          <w:p>
            <w:r/>
            <w:r>
              <w:rPr>
                <w:b w:val="0"/>
                <w:sz w:val="17"/>
              </w:rPr>
              <w:t>Medium</w:t>
            </w:r>
          </w:p>
        </w:tc>
        <w:tc>
          <w:tcPr>
            <w:tcW w:type="dxa" w:w="5760"/>
            <w:vAlign w:val="center"/>
          </w:tcPr>
          <w:p>
            <w:r/>
            <w:r>
              <w:rPr>
                <w:b w:val="0"/>
                <w:sz w:val="17"/>
              </w:rPr>
              <w:t>Normalize internally and explicitly manage time zones.</w:t>
            </w:r>
          </w:p>
        </w:tc>
      </w:tr>
      <w:tr>
        <w:tc>
          <w:tcPr>
            <w:tcW w:type="dxa" w:w="2880"/>
            <w:vAlign w:val="center"/>
          </w:tcPr>
          <w:p>
            <w:r/>
            <w:r>
              <w:rPr>
                <w:b w:val="0"/>
                <w:sz w:val="17"/>
              </w:rPr>
              <w:t>Over-privileged SAL SAP account</w:t>
            </w:r>
          </w:p>
        </w:tc>
        <w:tc>
          <w:tcPr>
            <w:tcW w:type="dxa" w:w="1440"/>
            <w:vAlign w:val="center"/>
          </w:tcPr>
          <w:p>
            <w:r/>
            <w:r>
              <w:rPr>
                <w:b w:val="0"/>
                <w:sz w:val="17"/>
              </w:rPr>
              <w:t>Critical</w:t>
            </w:r>
          </w:p>
        </w:tc>
        <w:tc>
          <w:tcPr>
            <w:tcW w:type="dxa" w:w="1440"/>
            <w:vAlign w:val="center"/>
          </w:tcPr>
          <w:p>
            <w:r/>
            <w:r>
              <w:rPr>
                <w:b w:val="0"/>
                <w:sz w:val="17"/>
              </w:rPr>
              <w:t>Medium</w:t>
            </w:r>
          </w:p>
        </w:tc>
        <w:tc>
          <w:tcPr>
            <w:tcW w:type="dxa" w:w="5760"/>
            <w:vAlign w:val="center"/>
          </w:tcPr>
          <w:p>
            <w:r/>
            <w:r>
              <w:rPr>
                <w:b w:val="0"/>
                <w:sz w:val="17"/>
              </w:rPr>
              <w:t>Least privilege, dedicated technical user and authorization review.</w:t>
            </w:r>
          </w:p>
        </w:tc>
      </w:tr>
      <w:tr>
        <w:tc>
          <w:tcPr>
            <w:tcW w:type="dxa" w:w="2880"/>
            <w:vAlign w:val="center"/>
          </w:tcPr>
          <w:p>
            <w:r/>
            <w:r>
              <w:rPr>
                <w:b w:val="0"/>
                <w:sz w:val="17"/>
              </w:rPr>
              <w:t>Sensitive data leakage</w:t>
            </w:r>
          </w:p>
        </w:tc>
        <w:tc>
          <w:tcPr>
            <w:tcW w:type="dxa" w:w="1440"/>
            <w:vAlign w:val="center"/>
          </w:tcPr>
          <w:p>
            <w:r/>
            <w:r>
              <w:rPr>
                <w:b w:val="0"/>
                <w:sz w:val="17"/>
              </w:rPr>
              <w:t>Critical</w:t>
            </w:r>
          </w:p>
        </w:tc>
        <w:tc>
          <w:tcPr>
            <w:tcW w:type="dxa" w:w="1440"/>
            <w:vAlign w:val="center"/>
          </w:tcPr>
          <w:p>
            <w:r/>
            <w:r>
              <w:rPr>
                <w:b w:val="0"/>
                <w:sz w:val="17"/>
              </w:rPr>
              <w:t>Medium</w:t>
            </w:r>
          </w:p>
        </w:tc>
        <w:tc>
          <w:tcPr>
            <w:tcW w:type="dxa" w:w="5760"/>
            <w:vAlign w:val="center"/>
          </w:tcPr>
          <w:p>
            <w:r/>
            <w:r>
              <w:rPr>
                <w:b w:val="0"/>
                <w:sz w:val="17"/>
              </w:rPr>
              <w:t>RBAC, encryption, retention and controlled exports.</w:t>
            </w:r>
          </w:p>
        </w:tc>
      </w:tr>
      <w:tr>
        <w:tc>
          <w:tcPr>
            <w:tcW w:type="dxa" w:w="2880"/>
            <w:vAlign w:val="center"/>
          </w:tcPr>
          <w:p>
            <w:r/>
            <w:r>
              <w:rPr>
                <w:b w:val="0"/>
                <w:sz w:val="17"/>
              </w:rPr>
              <w:t>False positives in anomaly detection</w:t>
            </w:r>
          </w:p>
        </w:tc>
        <w:tc>
          <w:tcPr>
            <w:tcW w:type="dxa" w:w="1440"/>
            <w:vAlign w:val="center"/>
          </w:tcPr>
          <w:p>
            <w:r/>
            <w:r>
              <w:rPr>
                <w:b w:val="0"/>
                <w:sz w:val="17"/>
              </w:rPr>
              <w:t>Medium–High</w:t>
            </w:r>
          </w:p>
        </w:tc>
        <w:tc>
          <w:tcPr>
            <w:tcW w:type="dxa" w:w="1440"/>
            <w:vAlign w:val="center"/>
          </w:tcPr>
          <w:p>
            <w:r/>
            <w:r>
              <w:rPr>
                <w:b w:val="0"/>
                <w:sz w:val="17"/>
              </w:rPr>
              <w:t>High</w:t>
            </w:r>
          </w:p>
        </w:tc>
        <w:tc>
          <w:tcPr>
            <w:tcW w:type="dxa" w:w="5760"/>
            <w:vAlign w:val="center"/>
          </w:tcPr>
          <w:p>
            <w:r/>
            <w:r>
              <w:rPr>
                <w:b w:val="0"/>
                <w:sz w:val="17"/>
              </w:rPr>
              <w:t>Start with deterministic rules and require explanations.</w:t>
            </w:r>
          </w:p>
        </w:tc>
      </w:tr>
      <w:tr>
        <w:tc>
          <w:tcPr>
            <w:tcW w:type="dxa" w:w="2880"/>
            <w:vAlign w:val="center"/>
          </w:tcPr>
          <w:p>
            <w:r/>
            <w:r>
              <w:rPr>
                <w:b w:val="0"/>
                <w:sz w:val="17"/>
              </w:rPr>
              <w:t>AI hallucination</w:t>
            </w:r>
          </w:p>
        </w:tc>
        <w:tc>
          <w:tcPr>
            <w:tcW w:type="dxa" w:w="1440"/>
            <w:vAlign w:val="center"/>
          </w:tcPr>
          <w:p>
            <w:r/>
            <w:r>
              <w:rPr>
                <w:b w:val="0"/>
                <w:sz w:val="17"/>
              </w:rPr>
              <w:t>High</w:t>
            </w:r>
          </w:p>
        </w:tc>
        <w:tc>
          <w:tcPr>
            <w:tcW w:type="dxa" w:w="1440"/>
            <w:vAlign w:val="center"/>
          </w:tcPr>
          <w:p>
            <w:r/>
            <w:r>
              <w:rPr>
                <w:b w:val="0"/>
                <w:sz w:val="17"/>
              </w:rPr>
              <w:t>Medium</w:t>
            </w:r>
          </w:p>
        </w:tc>
        <w:tc>
          <w:tcPr>
            <w:tcW w:type="dxa" w:w="5760"/>
            <w:vAlign w:val="center"/>
          </w:tcPr>
          <w:p>
            <w:r/>
            <w:r>
              <w:rPr>
                <w:b w:val="0"/>
                <w:sz w:val="17"/>
              </w:rPr>
              <w:t>Evidence-grounded retrieval, constrained tools and mandatory source references.</w:t>
            </w:r>
          </w:p>
        </w:tc>
      </w:tr>
      <w:tr>
        <w:tc>
          <w:tcPr>
            <w:tcW w:type="dxa" w:w="2880"/>
            <w:vAlign w:val="center"/>
          </w:tcPr>
          <w:p>
            <w:r/>
            <w:r>
              <w:rPr>
                <w:b w:val="0"/>
                <w:sz w:val="17"/>
              </w:rPr>
              <w:t>Cross-system identity mismatch</w:t>
            </w:r>
          </w:p>
        </w:tc>
        <w:tc>
          <w:tcPr>
            <w:tcW w:type="dxa" w:w="1440"/>
            <w:vAlign w:val="center"/>
          </w:tcPr>
          <w:p>
            <w:r/>
            <w:r>
              <w:rPr>
                <w:b w:val="0"/>
                <w:sz w:val="17"/>
              </w:rPr>
              <w:t>High</w:t>
            </w:r>
          </w:p>
        </w:tc>
        <w:tc>
          <w:tcPr>
            <w:tcW w:type="dxa" w:w="1440"/>
            <w:vAlign w:val="center"/>
          </w:tcPr>
          <w:p>
            <w:r/>
            <w:r>
              <w:rPr>
                <w:b w:val="0"/>
                <w:sz w:val="17"/>
              </w:rPr>
              <w:t>Medium</w:t>
            </w:r>
          </w:p>
        </w:tc>
        <w:tc>
          <w:tcPr>
            <w:tcW w:type="dxa" w:w="5760"/>
            <w:vAlign w:val="center"/>
          </w:tcPr>
          <w:p>
            <w:r/>
            <w:r>
              <w:rPr>
                <w:b w:val="0"/>
                <w:sz w:val="17"/>
              </w:rPr>
              <w:t>Identity mapping table and confidence levels.</w:t>
            </w:r>
          </w:p>
        </w:tc>
      </w:tr>
      <w:tr>
        <w:tc>
          <w:tcPr>
            <w:tcW w:type="dxa" w:w="2880"/>
            <w:vAlign w:val="center"/>
          </w:tcPr>
          <w:p>
            <w:r/>
            <w:r>
              <w:rPr>
                <w:b w:val="0"/>
                <w:sz w:val="17"/>
              </w:rPr>
              <w:t>SAP release differences</w:t>
            </w:r>
          </w:p>
        </w:tc>
        <w:tc>
          <w:tcPr>
            <w:tcW w:type="dxa" w:w="1440"/>
            <w:vAlign w:val="center"/>
          </w:tcPr>
          <w:p>
            <w:r/>
            <w:r>
              <w:rPr>
                <w:b w:val="0"/>
                <w:sz w:val="17"/>
              </w:rPr>
              <w:t>Medium–High</w:t>
            </w:r>
          </w:p>
        </w:tc>
        <w:tc>
          <w:tcPr>
            <w:tcW w:type="dxa" w:w="1440"/>
            <w:vAlign w:val="center"/>
          </w:tcPr>
          <w:p>
            <w:r/>
            <w:r>
              <w:rPr>
                <w:b w:val="0"/>
                <w:sz w:val="17"/>
              </w:rPr>
              <w:t>High</w:t>
            </w:r>
          </w:p>
        </w:tc>
        <w:tc>
          <w:tcPr>
            <w:tcW w:type="dxa" w:w="5760"/>
            <w:vAlign w:val="center"/>
          </w:tcPr>
          <w:p>
            <w:r/>
            <w:r>
              <w:rPr>
                <w:b w:val="0"/>
                <w:sz w:val="17"/>
              </w:rPr>
              <w:t>Version-aware connector adapters and compatibility testing.</w:t>
            </w:r>
          </w:p>
        </w:tc>
      </w:tr>
      <w:tr>
        <w:tc>
          <w:tcPr>
            <w:tcW w:type="dxa" w:w="2880"/>
            <w:vAlign w:val="center"/>
          </w:tcPr>
          <w:p>
            <w:r/>
            <w:r>
              <w:rPr>
                <w:b w:val="0"/>
                <w:sz w:val="17"/>
              </w:rPr>
              <w:t>Performance impact on production SAP</w:t>
            </w:r>
          </w:p>
        </w:tc>
        <w:tc>
          <w:tcPr>
            <w:tcW w:type="dxa" w:w="1440"/>
            <w:vAlign w:val="center"/>
          </w:tcPr>
          <w:p>
            <w:r/>
            <w:r>
              <w:rPr>
                <w:b w:val="0"/>
                <w:sz w:val="17"/>
              </w:rPr>
              <w:t>High</w:t>
            </w:r>
          </w:p>
        </w:tc>
        <w:tc>
          <w:tcPr>
            <w:tcW w:type="dxa" w:w="1440"/>
            <w:vAlign w:val="center"/>
          </w:tcPr>
          <w:p>
            <w:r/>
            <w:r>
              <w:rPr>
                <w:b w:val="0"/>
                <w:sz w:val="17"/>
              </w:rPr>
              <w:t>Medium</w:t>
            </w:r>
          </w:p>
        </w:tc>
        <w:tc>
          <w:tcPr>
            <w:tcW w:type="dxa" w:w="5760"/>
            <w:vAlign w:val="center"/>
          </w:tcPr>
          <w:p>
            <w:r/>
            <w:r>
              <w:rPr>
                <w:b w:val="0"/>
                <w:sz w:val="17"/>
              </w:rPr>
              <w:t>Scheduled/incremental extraction, throttling and source-system testing.</w:t>
            </w:r>
          </w:p>
        </w:tc>
      </w:tr>
      <w:tr>
        <w:tc>
          <w:tcPr>
            <w:tcW w:type="dxa" w:w="2880"/>
            <w:vAlign w:val="center"/>
          </w:tcPr>
          <w:p>
            <w:r/>
            <w:r>
              <w:rPr>
                <w:b w:val="0"/>
                <w:sz w:val="17"/>
              </w:rPr>
              <w:t>Feature creep</w:t>
            </w:r>
          </w:p>
        </w:tc>
        <w:tc>
          <w:tcPr>
            <w:tcW w:type="dxa" w:w="1440"/>
            <w:vAlign w:val="center"/>
          </w:tcPr>
          <w:p>
            <w:r/>
            <w:r>
              <w:rPr>
                <w:b w:val="0"/>
                <w:sz w:val="17"/>
              </w:rPr>
              <w:t>High</w:t>
            </w:r>
          </w:p>
        </w:tc>
        <w:tc>
          <w:tcPr>
            <w:tcW w:type="dxa" w:w="1440"/>
            <w:vAlign w:val="center"/>
          </w:tcPr>
          <w:p>
            <w:r/>
            <w:r>
              <w:rPr>
                <w:b w:val="0"/>
                <w:sz w:val="17"/>
              </w:rPr>
              <w:t>High</w:t>
            </w:r>
          </w:p>
        </w:tc>
        <w:tc>
          <w:tcPr>
            <w:tcW w:type="dxa" w:w="5760"/>
            <w:vAlign w:val="center"/>
          </w:tcPr>
          <w:p>
            <w:r/>
            <w:r>
              <w:rPr>
                <w:b w:val="0"/>
                <w:sz w:val="17"/>
              </w:rPr>
              <w:t>Gate each stage with measurable acceptance criteria.</w:t>
            </w:r>
          </w:p>
        </w:tc>
      </w:tr>
    </w:tbl>
    <w:p/>
    <w:p>
      <w:pPr>
        <w:pStyle w:val="Heading1"/>
      </w:pPr>
      <w:r>
        <w:t>16. Success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vAlign w:val="center"/>
            <w:shd w:fill="D9EAF7"/>
          </w:tcPr>
          <w:p>
            <w:r/>
            <w:r>
              <w:rPr>
                <w:b/>
                <w:sz w:val="17"/>
              </w:rPr>
              <w:t>Metric</w:t>
            </w:r>
          </w:p>
        </w:tc>
        <w:tc>
          <w:tcPr>
            <w:tcW w:type="dxa" w:w="2592"/>
            <w:vAlign w:val="center"/>
            <w:shd w:fill="D9EAF7"/>
          </w:tcPr>
          <w:p>
            <w:r/>
            <w:r>
              <w:rPr>
                <w:b/>
                <w:sz w:val="17"/>
              </w:rPr>
              <w:t>Stage 1 target</w:t>
            </w:r>
          </w:p>
        </w:tc>
        <w:tc>
          <w:tcPr>
            <w:tcW w:type="dxa" w:w="2880"/>
            <w:vAlign w:val="center"/>
            <w:shd w:fill="D9EAF7"/>
          </w:tcPr>
          <w:p>
            <w:r/>
            <w:r>
              <w:rPr>
                <w:b/>
                <w:sz w:val="17"/>
              </w:rPr>
              <w:t>Stage 2 target</w:t>
            </w:r>
          </w:p>
        </w:tc>
        <w:tc>
          <w:tcPr>
            <w:tcW w:type="dxa" w:w="3024"/>
            <w:vAlign w:val="center"/>
            <w:shd w:fill="D9EAF7"/>
          </w:tcPr>
          <w:p>
            <w:r/>
            <w:r>
              <w:rPr>
                <w:b/>
                <w:sz w:val="17"/>
              </w:rPr>
              <w:t>Stage 3 target</w:t>
            </w:r>
          </w:p>
        </w:tc>
      </w:tr>
      <w:tr>
        <w:tc>
          <w:tcPr>
            <w:tcW w:type="dxa" w:w="2880"/>
            <w:vAlign w:val="center"/>
          </w:tcPr>
          <w:p>
            <w:r/>
            <w:r>
              <w:rPr>
                <w:b w:val="0"/>
                <w:sz w:val="17"/>
              </w:rPr>
              <w:t>Report preparation time</w:t>
            </w:r>
          </w:p>
        </w:tc>
        <w:tc>
          <w:tcPr>
            <w:tcW w:type="dxa" w:w="2592"/>
            <w:vAlign w:val="center"/>
          </w:tcPr>
          <w:p>
            <w:r/>
            <w:r>
              <w:rPr>
                <w:b w:val="0"/>
                <w:sz w:val="17"/>
              </w:rPr>
              <w:t>Reduce manual SM20 extraction effort substantially</w:t>
            </w:r>
          </w:p>
        </w:tc>
        <w:tc>
          <w:tcPr>
            <w:tcW w:type="dxa" w:w="2880"/>
            <w:vAlign w:val="center"/>
          </w:tcPr>
          <w:p>
            <w:r/>
            <w:r>
              <w:rPr>
                <w:b w:val="0"/>
                <w:sz w:val="17"/>
              </w:rPr>
              <w:t>Automate investigation preparation</w:t>
            </w:r>
          </w:p>
        </w:tc>
        <w:tc>
          <w:tcPr>
            <w:tcW w:type="dxa" w:w="3024"/>
            <w:vAlign w:val="center"/>
          </w:tcPr>
          <w:p>
            <w:r/>
            <w:r>
              <w:rPr>
                <w:b w:val="0"/>
                <w:sz w:val="17"/>
              </w:rPr>
              <w:t>Automate end-to-end investigation workflow</w:t>
            </w:r>
          </w:p>
        </w:tc>
      </w:tr>
      <w:tr>
        <w:tc>
          <w:tcPr>
            <w:tcW w:type="dxa" w:w="2880"/>
            <w:vAlign w:val="center"/>
          </w:tcPr>
          <w:p>
            <w:r/>
            <w:r>
              <w:rPr>
                <w:b w:val="0"/>
                <w:sz w:val="17"/>
              </w:rPr>
              <w:t>Query accuracy</w:t>
            </w:r>
          </w:p>
        </w:tc>
        <w:tc>
          <w:tcPr>
            <w:tcW w:type="dxa" w:w="2592"/>
            <w:vAlign w:val="center"/>
          </w:tcPr>
          <w:p>
            <w:r/>
            <w:r>
              <w:rPr>
                <w:b w:val="0"/>
                <w:sz w:val="17"/>
              </w:rPr>
              <w:t>Match validated SM20 result set</w:t>
            </w:r>
          </w:p>
        </w:tc>
        <w:tc>
          <w:tcPr>
            <w:tcW w:type="dxa" w:w="2880"/>
            <w:vAlign w:val="center"/>
          </w:tcPr>
          <w:p>
            <w:r/>
            <w:r>
              <w:rPr>
                <w:b w:val="0"/>
                <w:sz w:val="17"/>
              </w:rPr>
              <w:t>Accurate correlation with source evidence</w:t>
            </w:r>
          </w:p>
        </w:tc>
        <w:tc>
          <w:tcPr>
            <w:tcW w:type="dxa" w:w="3024"/>
            <w:vAlign w:val="center"/>
          </w:tcPr>
          <w:p>
            <w:r/>
            <w:r>
              <w:rPr>
                <w:b w:val="0"/>
                <w:sz w:val="17"/>
              </w:rPr>
              <w:t>Evidence-grounded AI responses</w:t>
            </w:r>
          </w:p>
        </w:tc>
      </w:tr>
      <w:tr>
        <w:tc>
          <w:tcPr>
            <w:tcW w:type="dxa" w:w="2880"/>
            <w:vAlign w:val="center"/>
          </w:tcPr>
          <w:p>
            <w:r/>
            <w:r>
              <w:rPr>
                <w:b w:val="0"/>
                <w:sz w:val="17"/>
              </w:rPr>
              <w:t>Data freshness</w:t>
            </w:r>
          </w:p>
        </w:tc>
        <w:tc>
          <w:tcPr>
            <w:tcW w:type="dxa" w:w="2592"/>
            <w:vAlign w:val="center"/>
          </w:tcPr>
          <w:p>
            <w:r/>
            <w:r>
              <w:rPr>
                <w:b w:val="0"/>
                <w:sz w:val="17"/>
              </w:rPr>
              <w:t>Scheduled/incremental</w:t>
            </w:r>
          </w:p>
        </w:tc>
        <w:tc>
          <w:tcPr>
            <w:tcW w:type="dxa" w:w="2880"/>
            <w:vAlign w:val="center"/>
          </w:tcPr>
          <w:p>
            <w:r/>
            <w:r>
              <w:rPr>
                <w:b w:val="0"/>
                <w:sz w:val="17"/>
              </w:rPr>
              <w:t>Near-current where practical</w:t>
            </w:r>
          </w:p>
        </w:tc>
        <w:tc>
          <w:tcPr>
            <w:tcW w:type="dxa" w:w="3024"/>
            <w:vAlign w:val="center"/>
          </w:tcPr>
          <w:p>
            <w:r/>
            <w:r>
              <w:rPr>
                <w:b w:val="0"/>
                <w:sz w:val="17"/>
              </w:rPr>
              <w:t>Continuous monitoring for selected controls</w:t>
            </w:r>
          </w:p>
        </w:tc>
      </w:tr>
      <w:tr>
        <w:tc>
          <w:tcPr>
            <w:tcW w:type="dxa" w:w="2880"/>
            <w:vAlign w:val="center"/>
          </w:tcPr>
          <w:p>
            <w:r/>
            <w:r>
              <w:rPr>
                <w:b w:val="0"/>
                <w:sz w:val="17"/>
              </w:rPr>
              <w:t>Systems supported</w:t>
            </w:r>
          </w:p>
        </w:tc>
        <w:tc>
          <w:tcPr>
            <w:tcW w:type="dxa" w:w="2592"/>
            <w:vAlign w:val="center"/>
          </w:tcPr>
          <w:p>
            <w:r/>
            <w:r>
              <w:rPr>
                <w:b w:val="0"/>
                <w:sz w:val="17"/>
              </w:rPr>
              <w:t>1–2 systems</w:t>
            </w:r>
          </w:p>
        </w:tc>
        <w:tc>
          <w:tcPr>
            <w:tcW w:type="dxa" w:w="2880"/>
            <w:vAlign w:val="center"/>
          </w:tcPr>
          <w:p>
            <w:r/>
            <w:r>
              <w:rPr>
                <w:b w:val="0"/>
                <w:sz w:val="17"/>
              </w:rPr>
              <w:t>Multiple SAP systems</w:t>
            </w:r>
          </w:p>
        </w:tc>
        <w:tc>
          <w:tcPr>
            <w:tcW w:type="dxa" w:w="3024"/>
            <w:vAlign w:val="center"/>
          </w:tcPr>
          <w:p>
            <w:r/>
            <w:r>
              <w:rPr>
                <w:b w:val="0"/>
                <w:sz w:val="17"/>
              </w:rPr>
              <w:t>SAP + GRC + selected cloud/security sources</w:t>
            </w:r>
          </w:p>
        </w:tc>
      </w:tr>
      <w:tr>
        <w:tc>
          <w:tcPr>
            <w:tcW w:type="dxa" w:w="2880"/>
            <w:vAlign w:val="center"/>
          </w:tcPr>
          <w:p>
            <w:r/>
            <w:r>
              <w:rPr>
                <w:b w:val="0"/>
                <w:sz w:val="17"/>
              </w:rPr>
              <w:t>Investigation time</w:t>
            </w:r>
          </w:p>
        </w:tc>
        <w:tc>
          <w:tcPr>
            <w:tcW w:type="dxa" w:w="2592"/>
            <w:vAlign w:val="center"/>
          </w:tcPr>
          <w:p>
            <w:r/>
            <w:r>
              <w:rPr>
                <w:b w:val="0"/>
                <w:sz w:val="17"/>
              </w:rPr>
              <w:t>Minutes instead of manual report preparation</w:t>
            </w:r>
          </w:p>
        </w:tc>
        <w:tc>
          <w:tcPr>
            <w:tcW w:type="dxa" w:w="2880"/>
            <w:vAlign w:val="center"/>
          </w:tcPr>
          <w:p>
            <w:r/>
            <w:r>
              <w:rPr>
                <w:b w:val="0"/>
                <w:sz w:val="17"/>
              </w:rPr>
              <w:t>Minutes instead of multi-system investigation</w:t>
            </w:r>
          </w:p>
        </w:tc>
        <w:tc>
          <w:tcPr>
            <w:tcW w:type="dxa" w:w="3024"/>
            <w:vAlign w:val="center"/>
          </w:tcPr>
          <w:p>
            <w:r/>
            <w:r>
              <w:rPr>
                <w:b w:val="0"/>
                <w:sz w:val="17"/>
              </w:rPr>
              <w:t>Minutes for guided investigations</w:t>
            </w:r>
          </w:p>
        </w:tc>
      </w:tr>
      <w:tr>
        <w:tc>
          <w:tcPr>
            <w:tcW w:type="dxa" w:w="2880"/>
            <w:vAlign w:val="center"/>
          </w:tcPr>
          <w:p>
            <w:r/>
            <w:r>
              <w:rPr>
                <w:b w:val="0"/>
                <w:sz w:val="17"/>
              </w:rPr>
              <w:t>Auditability</w:t>
            </w:r>
          </w:p>
        </w:tc>
        <w:tc>
          <w:tcPr>
            <w:tcW w:type="dxa" w:w="2592"/>
            <w:vAlign w:val="center"/>
          </w:tcPr>
          <w:p>
            <w:r/>
            <w:r>
              <w:rPr>
                <w:b w:val="0"/>
                <w:sz w:val="17"/>
              </w:rPr>
              <w:t>Query and extraction trail</w:t>
            </w:r>
          </w:p>
        </w:tc>
        <w:tc>
          <w:tcPr>
            <w:tcW w:type="dxa" w:w="2880"/>
            <w:vAlign w:val="center"/>
          </w:tcPr>
          <w:p>
            <w:r/>
            <w:r>
              <w:rPr>
                <w:b w:val="0"/>
                <w:sz w:val="17"/>
              </w:rPr>
              <w:t>Evidence-linked findings</w:t>
            </w:r>
          </w:p>
        </w:tc>
        <w:tc>
          <w:tcPr>
            <w:tcW w:type="dxa" w:w="3024"/>
            <w:vAlign w:val="center"/>
          </w:tcPr>
          <w:p>
            <w:r/>
            <w:r>
              <w:rPr>
                <w:b w:val="0"/>
                <w:sz w:val="17"/>
              </w:rPr>
              <w:t>Case/evidence chain with immutable references</w:t>
            </w:r>
          </w:p>
        </w:tc>
      </w:tr>
    </w:tbl>
    <w:p/>
    <w:p>
      <w:pPr>
        <w:pStyle w:val="Heading1"/>
      </w:pPr>
      <w:r>
        <w:t>17. Brainstorming / Discovery Questions</w:t>
      </w:r>
    </w:p>
    <w:p>
      <w:r>
        <w:t>Before committing to development, these questions should be answered with the SAP Security team, Basis team, GRC team, infrastructure team and potential end users.</w:t>
      </w:r>
    </w:p>
    <w:p>
      <w:pPr>
        <w:pStyle w:val="ListBullet"/>
        <w:spacing w:after="40"/>
      </w:pPr>
      <w:r>
        <w:t>Which SAP releases and platforms must SAL support first?</w:t>
      </w:r>
    </w:p>
    <w:p>
      <w:pPr>
        <w:pStyle w:val="ListBullet"/>
        <w:spacing w:after="40"/>
      </w:pPr>
      <w:r>
        <w:t>Which SAP systems and clients are in scope for the pilot?</w:t>
      </w:r>
    </w:p>
    <w:p>
      <w:pPr>
        <w:pStyle w:val="ListBullet"/>
        <w:spacing w:after="40"/>
      </w:pPr>
      <w:r>
        <w:t>Is RFC connectivity permitted from the SAL application host?</w:t>
      </w:r>
    </w:p>
    <w:p>
      <w:pPr>
        <w:pStyle w:val="ListBullet"/>
        <w:spacing w:after="40"/>
      </w:pPr>
      <w:r>
        <w:t>Will SAP NetWeaver RFC SDK / PyRFC be approved, or should an ABAP/API layer be used?</w:t>
      </w:r>
    </w:p>
    <w:p>
      <w:pPr>
        <w:pStyle w:val="ListBullet"/>
        <w:spacing w:after="40"/>
      </w:pPr>
      <w:r>
        <w:t>What exact SM20 events are currently enabled in the target systems?</w:t>
      </w:r>
    </w:p>
    <w:p>
      <w:pPr>
        <w:pStyle w:val="ListBullet"/>
        <w:spacing w:after="40"/>
      </w:pPr>
      <w:r>
        <w:t>What is the expected audit-log retention period?</w:t>
      </w:r>
    </w:p>
    <w:p>
      <w:pPr>
        <w:pStyle w:val="ListBullet"/>
        <w:spacing w:after="40"/>
      </w:pPr>
      <w:r>
        <w:t>What is the approximate daily event volume?</w:t>
      </w:r>
    </w:p>
    <w:p>
      <w:pPr>
        <w:pStyle w:val="ListBullet"/>
        <w:spacing w:after="40"/>
      </w:pPr>
      <w:r>
        <w:t>Should SAL store raw audit records, normalized records, or both?</w:t>
      </w:r>
    </w:p>
    <w:p>
      <w:pPr>
        <w:pStyle w:val="ListBullet"/>
        <w:spacing w:after="40"/>
      </w:pPr>
      <w:r>
        <w:t>What user information can legally/policy-wise be retained?</w:t>
      </w:r>
    </w:p>
    <w:p>
      <w:pPr>
        <w:pStyle w:val="ListBullet"/>
        <w:spacing w:after="40"/>
      </w:pPr>
      <w:r>
        <w:t>Which critical transactions should be included in the first baseline?</w:t>
      </w:r>
    </w:p>
    <w:p>
      <w:pPr>
        <w:pStyle w:val="ListBullet"/>
        <w:spacing w:after="40"/>
      </w:pPr>
      <w:r>
        <w:t>What does the security team consider a high-risk transaction?</w:t>
      </w:r>
    </w:p>
    <w:p>
      <w:pPr>
        <w:pStyle w:val="ListBullet"/>
        <w:spacing w:after="40"/>
      </w:pPr>
      <w:r>
        <w:t>What business hours and holiday calendars should be used for after-hours rules?</w:t>
      </w:r>
    </w:p>
    <w:p>
      <w:pPr>
        <w:pStyle w:val="ListBullet"/>
        <w:spacing w:after="40"/>
      </w:pPr>
      <w:r>
        <w:t>Which GRC deployment architecture exists: centralized, decentralized or hybrid?</w:t>
      </w:r>
    </w:p>
    <w:p>
      <w:pPr>
        <w:pStyle w:val="ListBullet"/>
        <w:spacing w:after="40"/>
      </w:pPr>
      <w:r>
        <w:t>Which Firefighter data is available and how is it currently reviewed?</w:t>
      </w:r>
    </w:p>
    <w:p>
      <w:pPr>
        <w:pStyle w:val="ListBullet"/>
        <w:spacing w:after="40"/>
      </w:pPr>
      <w:r>
        <w:t>What authoritative source should provide employee termination dates?</w:t>
      </w:r>
    </w:p>
    <w:p>
      <w:pPr>
        <w:pStyle w:val="ListBullet"/>
        <w:spacing w:after="40"/>
      </w:pPr>
      <w:r>
        <w:t>Which reports are currently prepared manually and how much effort do they consume?</w:t>
      </w:r>
    </w:p>
    <w:p>
      <w:pPr>
        <w:pStyle w:val="ListBullet"/>
        <w:spacing w:after="40"/>
      </w:pPr>
      <w:r>
        <w:t>Which audit questions are repeatedly received by consultants?</w:t>
      </w:r>
    </w:p>
    <w:p>
      <w:pPr>
        <w:pStyle w:val="ListBullet"/>
        <w:spacing w:after="40"/>
      </w:pPr>
      <w:r>
        <w:t>Which outputs are required: Excel, PDF, CSV, dashboard or API?</w:t>
      </w:r>
    </w:p>
    <w:p>
      <w:pPr>
        <w:pStyle w:val="ListBullet"/>
        <w:spacing w:after="40"/>
      </w:pPr>
      <w:r>
        <w:t>Who should be allowed to search security logs?</w:t>
      </w:r>
    </w:p>
    <w:p>
      <w:pPr>
        <w:pStyle w:val="ListBullet"/>
        <w:spacing w:after="40"/>
      </w:pPr>
      <w:r>
        <w:t>Should consultants be restricted by SAP system/client?</w:t>
      </w:r>
    </w:p>
    <w:p>
      <w:pPr>
        <w:pStyle w:val="ListBullet"/>
        <w:spacing w:after="40"/>
      </w:pPr>
      <w:r>
        <w:t>What evidence retention period is required?</w:t>
      </w:r>
    </w:p>
    <w:p>
      <w:pPr>
        <w:pStyle w:val="ListBullet"/>
        <w:spacing w:after="40"/>
      </w:pPr>
      <w:r>
        <w:t>What enterprise authentication and secret-management infrastructure is available?</w:t>
      </w:r>
    </w:p>
    <w:p>
      <w:pPr>
        <w:pStyle w:val="ListBullet"/>
        <w:spacing w:after="40"/>
      </w:pPr>
      <w:r>
        <w:t>Is an internal/approved LLM available for Stage 3?</w:t>
      </w:r>
    </w:p>
    <w:p>
      <w:pPr>
        <w:pStyle w:val="ListBullet"/>
        <w:spacing w:after="40"/>
      </w:pPr>
      <w:r>
        <w:t>What security review and change-management process is required before production?</w:t>
      </w:r>
    </w:p>
    <w:p>
      <w:pPr>
        <w:pStyle w:val="Heading1"/>
      </w:pPr>
      <w:r>
        <w:t>18. Recommended Roadmap</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D9EAF7"/>
          </w:tcPr>
          <w:p>
            <w:r/>
            <w:r>
              <w:rPr>
                <w:b/>
                <w:sz w:val="17"/>
              </w:rPr>
              <w:t>Milestone</w:t>
            </w:r>
          </w:p>
        </w:tc>
        <w:tc>
          <w:tcPr>
            <w:tcW w:type="dxa" w:w="3888"/>
            <w:vAlign w:val="center"/>
            <w:shd w:fill="D9EAF7"/>
          </w:tcPr>
          <w:p>
            <w:r/>
            <w:r>
              <w:rPr>
                <w:b/>
                <w:sz w:val="17"/>
              </w:rPr>
              <w:t>Outcome</w:t>
            </w:r>
          </w:p>
        </w:tc>
        <w:tc>
          <w:tcPr>
            <w:tcW w:type="dxa" w:w="5328"/>
            <w:vAlign w:val="center"/>
            <w:shd w:fill="D9EAF7"/>
          </w:tcPr>
          <w:p>
            <w:r/>
            <w:r>
              <w:rPr>
                <w:b/>
                <w:sz w:val="17"/>
              </w:rPr>
              <w:t>Go / No-Go criteria</w:t>
            </w:r>
          </w:p>
        </w:tc>
      </w:tr>
      <w:tr>
        <w:tc>
          <w:tcPr>
            <w:tcW w:type="dxa" w:w="2016"/>
            <w:vAlign w:val="center"/>
          </w:tcPr>
          <w:p>
            <w:r/>
            <w:r>
              <w:rPr>
                <w:b w:val="0"/>
                <w:sz w:val="17"/>
              </w:rPr>
              <w:t>Discovery</w:t>
            </w:r>
          </w:p>
        </w:tc>
        <w:tc>
          <w:tcPr>
            <w:tcW w:type="dxa" w:w="3888"/>
            <w:vAlign w:val="center"/>
          </w:tcPr>
          <w:p>
            <w:r/>
            <w:r>
              <w:rPr>
                <w:b w:val="0"/>
                <w:sz w:val="17"/>
              </w:rPr>
              <w:t>Validated use cases, SAP data availability and architecture</w:t>
            </w:r>
          </w:p>
        </w:tc>
        <w:tc>
          <w:tcPr>
            <w:tcW w:type="dxa" w:w="5328"/>
            <w:vAlign w:val="center"/>
          </w:tcPr>
          <w:p>
            <w:r/>
            <w:r>
              <w:rPr>
                <w:b w:val="0"/>
                <w:sz w:val="17"/>
              </w:rPr>
              <w:t>Top 10 use cases and data sources confirmed</w:t>
            </w:r>
          </w:p>
        </w:tc>
      </w:tr>
      <w:tr>
        <w:tc>
          <w:tcPr>
            <w:tcW w:type="dxa" w:w="2016"/>
            <w:vAlign w:val="center"/>
          </w:tcPr>
          <w:p>
            <w:r/>
            <w:r>
              <w:rPr>
                <w:b w:val="0"/>
                <w:sz w:val="17"/>
              </w:rPr>
              <w:t>Technical Spike</w:t>
            </w:r>
          </w:p>
        </w:tc>
        <w:tc>
          <w:tcPr>
            <w:tcW w:type="dxa" w:w="3888"/>
            <w:vAlign w:val="center"/>
          </w:tcPr>
          <w:p>
            <w:r/>
            <w:r>
              <w:rPr>
                <w:b w:val="0"/>
                <w:sz w:val="17"/>
              </w:rPr>
              <w:t>Prove SAP connectivity and SM20 extraction</w:t>
            </w:r>
          </w:p>
        </w:tc>
        <w:tc>
          <w:tcPr>
            <w:tcW w:type="dxa" w:w="5328"/>
            <w:vAlign w:val="center"/>
          </w:tcPr>
          <w:p>
            <w:r/>
            <w:r>
              <w:rPr>
                <w:b w:val="0"/>
                <w:sz w:val="17"/>
              </w:rPr>
              <w:t>Validated SM20 extraction against known records</w:t>
            </w:r>
          </w:p>
        </w:tc>
      </w:tr>
      <w:tr>
        <w:tc>
          <w:tcPr>
            <w:tcW w:type="dxa" w:w="2016"/>
            <w:vAlign w:val="center"/>
          </w:tcPr>
          <w:p>
            <w:r/>
            <w:r>
              <w:rPr>
                <w:b w:val="0"/>
                <w:sz w:val="17"/>
              </w:rPr>
              <w:t>Stage 1 MVP</w:t>
            </w:r>
          </w:p>
        </w:tc>
        <w:tc>
          <w:tcPr>
            <w:tcW w:type="dxa" w:w="3888"/>
            <w:vAlign w:val="center"/>
          </w:tcPr>
          <w:p>
            <w:r/>
            <w:r>
              <w:rPr>
                <w:b w:val="0"/>
                <w:sz w:val="17"/>
              </w:rPr>
              <w:t>Usable audit-log automation</w:t>
            </w:r>
          </w:p>
        </w:tc>
        <w:tc>
          <w:tcPr>
            <w:tcW w:type="dxa" w:w="5328"/>
            <w:vAlign w:val="center"/>
          </w:tcPr>
          <w:p>
            <w:r/>
            <w:r>
              <w:rPr>
                <w:b w:val="0"/>
                <w:sz w:val="17"/>
              </w:rPr>
              <w:t>FBL5N and user investigation scenarios work reliably</w:t>
            </w:r>
          </w:p>
        </w:tc>
      </w:tr>
      <w:tr>
        <w:tc>
          <w:tcPr>
            <w:tcW w:type="dxa" w:w="2016"/>
            <w:vAlign w:val="center"/>
          </w:tcPr>
          <w:p>
            <w:r/>
            <w:r>
              <w:rPr>
                <w:b w:val="0"/>
                <w:sz w:val="17"/>
              </w:rPr>
              <w:t>Stage 1 Pilot</w:t>
            </w:r>
          </w:p>
        </w:tc>
        <w:tc>
          <w:tcPr>
            <w:tcW w:type="dxa" w:w="3888"/>
            <w:vAlign w:val="center"/>
          </w:tcPr>
          <w:p>
            <w:r/>
            <w:r>
              <w:rPr>
                <w:b w:val="0"/>
                <w:sz w:val="17"/>
              </w:rPr>
              <w:t>Real consultant usage</w:t>
            </w:r>
          </w:p>
        </w:tc>
        <w:tc>
          <w:tcPr>
            <w:tcW w:type="dxa" w:w="5328"/>
            <w:vAlign w:val="center"/>
          </w:tcPr>
          <w:p>
            <w:r/>
            <w:r>
              <w:rPr>
                <w:b w:val="0"/>
                <w:sz w:val="17"/>
              </w:rPr>
              <w:t>Positive feedback and acceptable performance/security</w:t>
            </w:r>
          </w:p>
        </w:tc>
      </w:tr>
      <w:tr>
        <w:tc>
          <w:tcPr>
            <w:tcW w:type="dxa" w:w="2016"/>
            <w:vAlign w:val="center"/>
          </w:tcPr>
          <w:p>
            <w:r/>
            <w:r>
              <w:rPr>
                <w:b w:val="0"/>
                <w:sz w:val="17"/>
              </w:rPr>
              <w:t>Stage 2</w:t>
            </w:r>
          </w:p>
        </w:tc>
        <w:tc>
          <w:tcPr>
            <w:tcW w:type="dxa" w:w="3888"/>
            <w:vAlign w:val="center"/>
          </w:tcPr>
          <w:p>
            <w:r/>
            <w:r>
              <w:rPr>
                <w:b w:val="0"/>
                <w:sz w:val="17"/>
              </w:rPr>
              <w:t>Contextual security analytics</w:t>
            </w:r>
          </w:p>
        </w:tc>
        <w:tc>
          <w:tcPr>
            <w:tcW w:type="dxa" w:w="5328"/>
            <w:vAlign w:val="center"/>
          </w:tcPr>
          <w:p>
            <w:r/>
            <w:r>
              <w:rPr>
                <w:b w:val="0"/>
                <w:sz w:val="17"/>
              </w:rPr>
              <w:t>Role/GRC/cross-system correlations validated</w:t>
            </w:r>
          </w:p>
        </w:tc>
      </w:tr>
      <w:tr>
        <w:tc>
          <w:tcPr>
            <w:tcW w:type="dxa" w:w="2016"/>
            <w:vAlign w:val="center"/>
          </w:tcPr>
          <w:p>
            <w:r/>
            <w:r>
              <w:rPr>
                <w:b w:val="0"/>
                <w:sz w:val="17"/>
              </w:rPr>
              <w:t>Stage 2 Pilot</w:t>
            </w:r>
          </w:p>
        </w:tc>
        <w:tc>
          <w:tcPr>
            <w:tcW w:type="dxa" w:w="3888"/>
            <w:vAlign w:val="center"/>
          </w:tcPr>
          <w:p>
            <w:r/>
            <w:r>
              <w:rPr>
                <w:b w:val="0"/>
                <w:sz w:val="17"/>
              </w:rPr>
              <w:t>Security investigation workflow</w:t>
            </w:r>
          </w:p>
        </w:tc>
        <w:tc>
          <w:tcPr>
            <w:tcW w:type="dxa" w:w="5328"/>
            <w:vAlign w:val="center"/>
          </w:tcPr>
          <w:p>
            <w:r/>
            <w:r>
              <w:rPr>
                <w:b w:val="0"/>
                <w:sz w:val="17"/>
              </w:rPr>
              <w:t>Selected investigation playbooks reduce manual effort</w:t>
            </w:r>
          </w:p>
        </w:tc>
      </w:tr>
      <w:tr>
        <w:tc>
          <w:tcPr>
            <w:tcW w:type="dxa" w:w="2016"/>
            <w:vAlign w:val="center"/>
          </w:tcPr>
          <w:p>
            <w:r/>
            <w:r>
              <w:rPr>
                <w:b w:val="0"/>
                <w:sz w:val="17"/>
              </w:rPr>
              <w:t>Stage 3</w:t>
            </w:r>
          </w:p>
        </w:tc>
        <w:tc>
          <w:tcPr>
            <w:tcW w:type="dxa" w:w="3888"/>
            <w:vAlign w:val="center"/>
          </w:tcPr>
          <w:p>
            <w:r/>
            <w:r>
              <w:rPr>
                <w:b w:val="0"/>
                <w:sz w:val="17"/>
              </w:rPr>
              <w:t>Full SAL platform</w:t>
            </w:r>
          </w:p>
        </w:tc>
        <w:tc>
          <w:tcPr>
            <w:tcW w:type="dxa" w:w="5328"/>
            <w:vAlign w:val="center"/>
          </w:tcPr>
          <w:p>
            <w:r/>
            <w:r>
              <w:rPr>
                <w:b w:val="0"/>
                <w:sz w:val="17"/>
              </w:rPr>
              <w:t>AI, cases, continuous monitoring and evidence workflows pass security review</w:t>
            </w:r>
          </w:p>
        </w:tc>
      </w:tr>
      <w:tr>
        <w:tc>
          <w:tcPr>
            <w:tcW w:type="dxa" w:w="2016"/>
            <w:vAlign w:val="center"/>
          </w:tcPr>
          <w:p>
            <w:r/>
            <w:r>
              <w:rPr>
                <w:b w:val="0"/>
                <w:sz w:val="17"/>
              </w:rPr>
              <w:t>Production</w:t>
            </w:r>
          </w:p>
        </w:tc>
        <w:tc>
          <w:tcPr>
            <w:tcW w:type="dxa" w:w="3888"/>
            <w:vAlign w:val="center"/>
          </w:tcPr>
          <w:p>
            <w:r/>
            <w:r>
              <w:rPr>
                <w:b w:val="0"/>
                <w:sz w:val="17"/>
              </w:rPr>
              <w:t>Enterprise service</w:t>
            </w:r>
          </w:p>
        </w:tc>
        <w:tc>
          <w:tcPr>
            <w:tcW w:type="dxa" w:w="5328"/>
            <w:vAlign w:val="center"/>
          </w:tcPr>
          <w:p>
            <w:r/>
            <w:r>
              <w:rPr>
                <w:b w:val="0"/>
                <w:sz w:val="17"/>
              </w:rPr>
              <w:t>Security, performance, DR, support and governance approved</w:t>
            </w:r>
          </w:p>
        </w:tc>
      </w:tr>
    </w:tbl>
    <w:p/>
    <w:p>
      <w:pPr>
        <w:pStyle w:val="Heading1"/>
      </w:pPr>
      <w:r>
        <w:t>19. Final Recommendation</w:t>
      </w:r>
    </w:p>
    <w:p>
      <w:r>
        <w:t>The strongest implementation strategy is to make Stage 1 deliberately boring and reliable. The first version should prove that SAL can collect SM20 data accurately, answer common audit questions quickly and produce evidence that consultants trust. The database, connector, query and evidence models should already be designed for future expansion.</w:t>
      </w:r>
    </w:p>
    <w:p>
      <w:r>
        <w:t>Stage 2 should then focus on context: who the user is, what access they have, whether activity is privileged or unusual, whether Firefighter/GRC information is involved and whether the same activity appears across multiple systems.</w:t>
      </w:r>
    </w:p>
    <w:p>
      <w:r>
        <w:t>Stage 3 should introduce intelligence and automation: investigation playbooks, natural-language queries, explainable risk scoring, case management, continuous monitoring and AI-generated summaries. At that point SAL becomes a genuine SAP Security investigation platform rather than an SM20 automation script.</w:t>
      </w:r>
    </w:p>
    <w:p>
      <w:r>
        <w:t>The most important product principle is evidence-first design. Every SAL conclusion should be traceable to an underlying SAP/GRC/security event. AI can make the data easier to query and understand, but it should not replace the evidence.</w:t>
      </w:r>
    </w:p>
    <w:p>
      <w:pPr>
        <w:pStyle w:val="Heading1"/>
      </w:pPr>
      <w:r>
        <w:t>Appendix A — Suggested Initial Query Catalogue</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center"/>
            <w:shd w:fill="D9EAF7"/>
          </w:tcPr>
          <w:p>
            <w:r/>
            <w:r>
              <w:rPr>
                <w:b/>
                <w:sz w:val="17"/>
              </w:rPr>
              <w:t>Query category</w:t>
            </w:r>
          </w:p>
        </w:tc>
        <w:tc>
          <w:tcPr>
            <w:tcW w:type="dxa" w:w="6768"/>
            <w:vAlign w:val="center"/>
            <w:shd w:fill="D9EAF7"/>
          </w:tcPr>
          <w:p>
            <w:r/>
            <w:r>
              <w:rPr>
                <w:b/>
                <w:sz w:val="17"/>
              </w:rPr>
              <w:t>Example question</w:t>
            </w:r>
          </w:p>
        </w:tc>
        <w:tc>
          <w:tcPr>
            <w:tcW w:type="dxa" w:w="1440"/>
            <w:vAlign w:val="center"/>
            <w:shd w:fill="D9EAF7"/>
          </w:tcPr>
          <w:p>
            <w:r/>
            <w:r>
              <w:rPr>
                <w:b/>
                <w:sz w:val="17"/>
              </w:rPr>
              <w:t>Initial stage</w:t>
            </w:r>
          </w:p>
        </w:tc>
      </w:tr>
      <w:tr>
        <w:tc>
          <w:tcPr>
            <w:tcW w:type="dxa" w:w="2304"/>
            <w:vAlign w:val="center"/>
          </w:tcPr>
          <w:p>
            <w:r/>
            <w:r>
              <w:rPr>
                <w:b w:val="0"/>
                <w:sz w:val="17"/>
              </w:rPr>
              <w:t>Transaction usage</w:t>
            </w:r>
          </w:p>
        </w:tc>
        <w:tc>
          <w:tcPr>
            <w:tcW w:type="dxa" w:w="6768"/>
            <w:vAlign w:val="center"/>
          </w:tcPr>
          <w:p>
            <w:r/>
            <w:r>
              <w:rPr>
                <w:b w:val="0"/>
                <w:sz w:val="17"/>
              </w:rPr>
              <w:t>Who used FBL5N in the last 7 days?</w:t>
            </w:r>
          </w:p>
        </w:tc>
        <w:tc>
          <w:tcPr>
            <w:tcW w:type="dxa" w:w="1440"/>
            <w:vAlign w:val="center"/>
          </w:tcPr>
          <w:p>
            <w:r/>
            <w:r>
              <w:rPr>
                <w:b w:val="0"/>
                <w:sz w:val="17"/>
              </w:rPr>
              <w:t>1</w:t>
            </w:r>
          </w:p>
        </w:tc>
      </w:tr>
      <w:tr>
        <w:tc>
          <w:tcPr>
            <w:tcW w:type="dxa" w:w="2304"/>
            <w:vAlign w:val="center"/>
          </w:tcPr>
          <w:p>
            <w:r/>
            <w:r>
              <w:rPr>
                <w:b w:val="0"/>
                <w:sz w:val="17"/>
              </w:rPr>
              <w:t>Transaction usage</w:t>
            </w:r>
          </w:p>
        </w:tc>
        <w:tc>
          <w:tcPr>
            <w:tcW w:type="dxa" w:w="6768"/>
            <w:vAlign w:val="center"/>
          </w:tcPr>
          <w:p>
            <w:r/>
            <w:r>
              <w:rPr>
                <w:b w:val="0"/>
                <w:sz w:val="17"/>
              </w:rPr>
              <w:t>How many times was SE16N executed this month?</w:t>
            </w:r>
          </w:p>
        </w:tc>
        <w:tc>
          <w:tcPr>
            <w:tcW w:type="dxa" w:w="1440"/>
            <w:vAlign w:val="center"/>
          </w:tcPr>
          <w:p>
            <w:r/>
            <w:r>
              <w:rPr>
                <w:b w:val="0"/>
                <w:sz w:val="17"/>
              </w:rPr>
              <w:t>1</w:t>
            </w:r>
          </w:p>
        </w:tc>
      </w:tr>
      <w:tr>
        <w:tc>
          <w:tcPr>
            <w:tcW w:type="dxa" w:w="2304"/>
            <w:vAlign w:val="center"/>
          </w:tcPr>
          <w:p>
            <w:r/>
            <w:r>
              <w:rPr>
                <w:b w:val="0"/>
                <w:sz w:val="17"/>
              </w:rPr>
              <w:t>User activity</w:t>
            </w:r>
          </w:p>
        </w:tc>
        <w:tc>
          <w:tcPr>
            <w:tcW w:type="dxa" w:w="6768"/>
            <w:vAlign w:val="center"/>
          </w:tcPr>
          <w:p>
            <w:r/>
            <w:r>
              <w:rPr>
                <w:b w:val="0"/>
                <w:sz w:val="17"/>
              </w:rPr>
              <w:t>Show all activity for USER123 yesterday.</w:t>
            </w:r>
          </w:p>
        </w:tc>
        <w:tc>
          <w:tcPr>
            <w:tcW w:type="dxa" w:w="1440"/>
            <w:vAlign w:val="center"/>
          </w:tcPr>
          <w:p>
            <w:r/>
            <w:r>
              <w:rPr>
                <w:b w:val="0"/>
                <w:sz w:val="17"/>
              </w:rPr>
              <w:t>1</w:t>
            </w:r>
          </w:p>
        </w:tc>
      </w:tr>
      <w:tr>
        <w:tc>
          <w:tcPr>
            <w:tcW w:type="dxa" w:w="2304"/>
            <w:vAlign w:val="center"/>
          </w:tcPr>
          <w:p>
            <w:r/>
            <w:r>
              <w:rPr>
                <w:b w:val="0"/>
                <w:sz w:val="17"/>
              </w:rPr>
              <w:t>Login activity</w:t>
            </w:r>
          </w:p>
        </w:tc>
        <w:tc>
          <w:tcPr>
            <w:tcW w:type="dxa" w:w="6768"/>
            <w:vAlign w:val="center"/>
          </w:tcPr>
          <w:p>
            <w:r/>
            <w:r>
              <w:rPr>
                <w:b w:val="0"/>
                <w:sz w:val="17"/>
              </w:rPr>
              <w:t>Show failed logons for USER123 in the last 30 days.</w:t>
            </w:r>
          </w:p>
        </w:tc>
        <w:tc>
          <w:tcPr>
            <w:tcW w:type="dxa" w:w="1440"/>
            <w:vAlign w:val="center"/>
          </w:tcPr>
          <w:p>
            <w:r/>
            <w:r>
              <w:rPr>
                <w:b w:val="0"/>
                <w:sz w:val="17"/>
              </w:rPr>
              <w:t>1</w:t>
            </w:r>
          </w:p>
        </w:tc>
      </w:tr>
      <w:tr>
        <w:tc>
          <w:tcPr>
            <w:tcW w:type="dxa" w:w="2304"/>
            <w:vAlign w:val="center"/>
          </w:tcPr>
          <w:p>
            <w:r/>
            <w:r>
              <w:rPr>
                <w:b w:val="0"/>
                <w:sz w:val="17"/>
              </w:rPr>
              <w:t>Critical activity</w:t>
            </w:r>
          </w:p>
        </w:tc>
        <w:tc>
          <w:tcPr>
            <w:tcW w:type="dxa" w:w="6768"/>
            <w:vAlign w:val="center"/>
          </w:tcPr>
          <w:p>
            <w:r/>
            <w:r>
              <w:rPr>
                <w:b w:val="0"/>
                <w:sz w:val="17"/>
              </w:rPr>
              <w:t>Show usage of critical transactions this week.</w:t>
            </w:r>
          </w:p>
        </w:tc>
        <w:tc>
          <w:tcPr>
            <w:tcW w:type="dxa" w:w="1440"/>
            <w:vAlign w:val="center"/>
          </w:tcPr>
          <w:p>
            <w:r/>
            <w:r>
              <w:rPr>
                <w:b w:val="0"/>
                <w:sz w:val="17"/>
              </w:rPr>
              <w:t>1–2</w:t>
            </w:r>
          </w:p>
        </w:tc>
      </w:tr>
      <w:tr>
        <w:tc>
          <w:tcPr>
            <w:tcW w:type="dxa" w:w="2304"/>
            <w:vAlign w:val="center"/>
          </w:tcPr>
          <w:p>
            <w:r/>
            <w:r>
              <w:rPr>
                <w:b w:val="0"/>
                <w:sz w:val="17"/>
              </w:rPr>
              <w:t>After-hours</w:t>
            </w:r>
          </w:p>
        </w:tc>
        <w:tc>
          <w:tcPr>
            <w:tcW w:type="dxa" w:w="6768"/>
            <w:vAlign w:val="center"/>
          </w:tcPr>
          <w:p>
            <w:r/>
            <w:r>
              <w:rPr>
                <w:b w:val="0"/>
                <w:sz w:val="17"/>
              </w:rPr>
              <w:t>Who executed critical transactions outside business hours?</w:t>
            </w:r>
          </w:p>
        </w:tc>
        <w:tc>
          <w:tcPr>
            <w:tcW w:type="dxa" w:w="1440"/>
            <w:vAlign w:val="center"/>
          </w:tcPr>
          <w:p>
            <w:r/>
            <w:r>
              <w:rPr>
                <w:b w:val="0"/>
                <w:sz w:val="17"/>
              </w:rPr>
              <w:t>2</w:t>
            </w:r>
          </w:p>
        </w:tc>
      </w:tr>
      <w:tr>
        <w:tc>
          <w:tcPr>
            <w:tcW w:type="dxa" w:w="2304"/>
            <w:vAlign w:val="center"/>
          </w:tcPr>
          <w:p>
            <w:r/>
            <w:r>
              <w:rPr>
                <w:b w:val="0"/>
                <w:sz w:val="17"/>
              </w:rPr>
              <w:t>Privileged activity</w:t>
            </w:r>
          </w:p>
        </w:tc>
        <w:tc>
          <w:tcPr>
            <w:tcW w:type="dxa" w:w="6768"/>
            <w:vAlign w:val="center"/>
          </w:tcPr>
          <w:p>
            <w:r/>
            <w:r>
              <w:rPr>
                <w:b w:val="0"/>
                <w:sz w:val="17"/>
              </w:rPr>
              <w:t>Which privileged users executed SU01 this month?</w:t>
            </w:r>
          </w:p>
        </w:tc>
        <w:tc>
          <w:tcPr>
            <w:tcW w:type="dxa" w:w="1440"/>
            <w:vAlign w:val="center"/>
          </w:tcPr>
          <w:p>
            <w:r/>
            <w:r>
              <w:rPr>
                <w:b w:val="0"/>
                <w:sz w:val="17"/>
              </w:rPr>
              <w:t>2</w:t>
            </w:r>
          </w:p>
        </w:tc>
      </w:tr>
      <w:tr>
        <w:tc>
          <w:tcPr>
            <w:tcW w:type="dxa" w:w="2304"/>
            <w:vAlign w:val="center"/>
          </w:tcPr>
          <w:p>
            <w:r/>
            <w:r>
              <w:rPr>
                <w:b w:val="0"/>
                <w:sz w:val="17"/>
              </w:rPr>
              <w:t>Firefighter</w:t>
            </w:r>
          </w:p>
        </w:tc>
        <w:tc>
          <w:tcPr>
            <w:tcW w:type="dxa" w:w="6768"/>
            <w:vAlign w:val="center"/>
          </w:tcPr>
          <w:p>
            <w:r/>
            <w:r>
              <w:rPr>
                <w:b w:val="0"/>
                <w:sz w:val="17"/>
              </w:rPr>
              <w:t>Which FF sessions executed SE16N?</w:t>
            </w:r>
          </w:p>
        </w:tc>
        <w:tc>
          <w:tcPr>
            <w:tcW w:type="dxa" w:w="1440"/>
            <w:vAlign w:val="center"/>
          </w:tcPr>
          <w:p>
            <w:r/>
            <w:r>
              <w:rPr>
                <w:b w:val="0"/>
                <w:sz w:val="17"/>
              </w:rPr>
              <w:t>2</w:t>
            </w:r>
          </w:p>
        </w:tc>
      </w:tr>
      <w:tr>
        <w:tc>
          <w:tcPr>
            <w:tcW w:type="dxa" w:w="2304"/>
            <w:vAlign w:val="center"/>
          </w:tcPr>
          <w:p>
            <w:r/>
            <w:r>
              <w:rPr>
                <w:b w:val="0"/>
                <w:sz w:val="17"/>
              </w:rPr>
              <w:t>Role correlation</w:t>
            </w:r>
          </w:p>
        </w:tc>
        <w:tc>
          <w:tcPr>
            <w:tcW w:type="dxa" w:w="6768"/>
            <w:vAlign w:val="center"/>
          </w:tcPr>
          <w:p>
            <w:r/>
            <w:r>
              <w:rPr>
                <w:b w:val="0"/>
                <w:sz w:val="17"/>
              </w:rPr>
              <w:t>Which users executed critical transactions and what roles do they have?</w:t>
            </w:r>
          </w:p>
        </w:tc>
        <w:tc>
          <w:tcPr>
            <w:tcW w:type="dxa" w:w="1440"/>
            <w:vAlign w:val="center"/>
          </w:tcPr>
          <w:p>
            <w:r/>
            <w:r>
              <w:rPr>
                <w:b w:val="0"/>
                <w:sz w:val="17"/>
              </w:rPr>
              <w:t>2</w:t>
            </w:r>
          </w:p>
        </w:tc>
      </w:tr>
      <w:tr>
        <w:tc>
          <w:tcPr>
            <w:tcW w:type="dxa" w:w="2304"/>
            <w:vAlign w:val="center"/>
          </w:tcPr>
          <w:p>
            <w:r/>
            <w:r>
              <w:rPr>
                <w:b w:val="0"/>
                <w:sz w:val="17"/>
              </w:rPr>
              <w:t>Unused access</w:t>
            </w:r>
          </w:p>
        </w:tc>
        <w:tc>
          <w:tcPr>
            <w:tcW w:type="dxa" w:w="6768"/>
            <w:vAlign w:val="center"/>
          </w:tcPr>
          <w:p>
            <w:r/>
            <w:r>
              <w:rPr>
                <w:b w:val="0"/>
                <w:sz w:val="17"/>
              </w:rPr>
              <w:t>Which critical transactions assigned to users have no observed usage for 180 days?</w:t>
            </w:r>
          </w:p>
        </w:tc>
        <w:tc>
          <w:tcPr>
            <w:tcW w:type="dxa" w:w="1440"/>
            <w:vAlign w:val="center"/>
          </w:tcPr>
          <w:p>
            <w:r/>
            <w:r>
              <w:rPr>
                <w:b w:val="0"/>
                <w:sz w:val="17"/>
              </w:rPr>
              <w:t>2</w:t>
            </w:r>
          </w:p>
        </w:tc>
      </w:tr>
      <w:tr>
        <w:tc>
          <w:tcPr>
            <w:tcW w:type="dxa" w:w="2304"/>
            <w:vAlign w:val="center"/>
          </w:tcPr>
          <w:p>
            <w:r/>
            <w:r>
              <w:rPr>
                <w:b w:val="0"/>
                <w:sz w:val="17"/>
              </w:rPr>
              <w:t>Termination</w:t>
            </w:r>
          </w:p>
        </w:tc>
        <w:tc>
          <w:tcPr>
            <w:tcW w:type="dxa" w:w="6768"/>
            <w:vAlign w:val="center"/>
          </w:tcPr>
          <w:p>
            <w:r/>
            <w:r>
              <w:rPr>
                <w:b w:val="0"/>
                <w:sz w:val="17"/>
              </w:rPr>
              <w:t>Did any terminated user access SAP after termination?</w:t>
            </w:r>
          </w:p>
        </w:tc>
        <w:tc>
          <w:tcPr>
            <w:tcW w:type="dxa" w:w="1440"/>
            <w:vAlign w:val="center"/>
          </w:tcPr>
          <w:p>
            <w:r/>
            <w:r>
              <w:rPr>
                <w:b w:val="0"/>
                <w:sz w:val="17"/>
              </w:rPr>
              <w:t>2</w:t>
            </w:r>
          </w:p>
        </w:tc>
      </w:tr>
      <w:tr>
        <w:tc>
          <w:tcPr>
            <w:tcW w:type="dxa" w:w="2304"/>
            <w:vAlign w:val="center"/>
          </w:tcPr>
          <w:p>
            <w:r/>
            <w:r>
              <w:rPr>
                <w:b w:val="0"/>
                <w:sz w:val="17"/>
              </w:rPr>
              <w:t>Cross-system</w:t>
            </w:r>
          </w:p>
        </w:tc>
        <w:tc>
          <w:tcPr>
            <w:tcW w:type="dxa" w:w="6768"/>
            <w:vAlign w:val="center"/>
          </w:tcPr>
          <w:p>
            <w:r/>
            <w:r>
              <w:rPr>
                <w:b w:val="0"/>
                <w:sz w:val="17"/>
              </w:rPr>
              <w:t>Where did USER123 use FBL5N across the landscape?</w:t>
            </w:r>
          </w:p>
        </w:tc>
        <w:tc>
          <w:tcPr>
            <w:tcW w:type="dxa" w:w="1440"/>
            <w:vAlign w:val="center"/>
          </w:tcPr>
          <w:p>
            <w:r/>
            <w:r>
              <w:rPr>
                <w:b w:val="0"/>
                <w:sz w:val="17"/>
              </w:rPr>
              <w:t>2</w:t>
            </w:r>
          </w:p>
        </w:tc>
      </w:tr>
      <w:tr>
        <w:tc>
          <w:tcPr>
            <w:tcW w:type="dxa" w:w="2304"/>
            <w:vAlign w:val="center"/>
          </w:tcPr>
          <w:p>
            <w:r/>
            <w:r>
              <w:rPr>
                <w:b w:val="0"/>
                <w:sz w:val="17"/>
              </w:rPr>
              <w:t>Investigation</w:t>
            </w:r>
          </w:p>
        </w:tc>
        <w:tc>
          <w:tcPr>
            <w:tcW w:type="dxa" w:w="6768"/>
            <w:vAlign w:val="center"/>
          </w:tcPr>
          <w:p>
            <w:r/>
            <w:r>
              <w:rPr>
                <w:b w:val="0"/>
                <w:sz w:val="17"/>
              </w:rPr>
              <w:t>Investigate USER123 for unusual activity.</w:t>
            </w:r>
          </w:p>
        </w:tc>
        <w:tc>
          <w:tcPr>
            <w:tcW w:type="dxa" w:w="1440"/>
            <w:vAlign w:val="center"/>
          </w:tcPr>
          <w:p>
            <w:r/>
            <w:r>
              <w:rPr>
                <w:b w:val="0"/>
                <w:sz w:val="17"/>
              </w:rPr>
              <w:t>3</w:t>
            </w:r>
          </w:p>
        </w:tc>
      </w:tr>
      <w:tr>
        <w:tc>
          <w:tcPr>
            <w:tcW w:type="dxa" w:w="2304"/>
            <w:vAlign w:val="center"/>
          </w:tcPr>
          <w:p>
            <w:r/>
            <w:r>
              <w:rPr>
                <w:b w:val="0"/>
                <w:sz w:val="17"/>
              </w:rPr>
              <w:t>Risk</w:t>
            </w:r>
          </w:p>
        </w:tc>
        <w:tc>
          <w:tcPr>
            <w:tcW w:type="dxa" w:w="6768"/>
            <w:vAlign w:val="center"/>
          </w:tcPr>
          <w:p>
            <w:r/>
            <w:r>
              <w:rPr>
                <w:b w:val="0"/>
                <w:sz w:val="17"/>
              </w:rPr>
              <w:t>Show the highest-risk user activity this week and explain why.</w:t>
            </w:r>
          </w:p>
        </w:tc>
        <w:tc>
          <w:tcPr>
            <w:tcW w:type="dxa" w:w="1440"/>
            <w:vAlign w:val="center"/>
          </w:tcPr>
          <w:p>
            <w:r/>
            <w:r>
              <w:rPr>
                <w:b w:val="0"/>
                <w:sz w:val="17"/>
              </w:rPr>
              <w:t>3</w:t>
            </w:r>
          </w:p>
        </w:tc>
      </w:tr>
      <w:tr>
        <w:tc>
          <w:tcPr>
            <w:tcW w:type="dxa" w:w="2304"/>
            <w:vAlign w:val="center"/>
          </w:tcPr>
          <w:p>
            <w:r/>
            <w:r>
              <w:rPr>
                <w:b w:val="0"/>
                <w:sz w:val="17"/>
              </w:rPr>
              <w:t>Playbook</w:t>
            </w:r>
          </w:p>
        </w:tc>
        <w:tc>
          <w:tcPr>
            <w:tcW w:type="dxa" w:w="6768"/>
            <w:vAlign w:val="center"/>
          </w:tcPr>
          <w:p>
            <w:r/>
            <w:r>
              <w:rPr>
                <w:b w:val="0"/>
                <w:sz w:val="17"/>
              </w:rPr>
              <w:t>Run the privileged-user investigation for USER123.</w:t>
            </w:r>
          </w:p>
        </w:tc>
        <w:tc>
          <w:tcPr>
            <w:tcW w:type="dxa" w:w="1440"/>
            <w:vAlign w:val="center"/>
          </w:tcPr>
          <w:p>
            <w:r/>
            <w:r>
              <w:rPr>
                <w:b w:val="0"/>
                <w:sz w:val="17"/>
              </w:rPr>
              <w:t>3</w:t>
            </w:r>
          </w:p>
        </w:tc>
      </w:tr>
      <w:tr>
        <w:tc>
          <w:tcPr>
            <w:tcW w:type="dxa" w:w="2304"/>
            <w:vAlign w:val="center"/>
          </w:tcPr>
          <w:p>
            <w:r/>
            <w:r>
              <w:rPr>
                <w:b w:val="0"/>
                <w:sz w:val="17"/>
              </w:rPr>
              <w:t>Natural language</w:t>
            </w:r>
          </w:p>
        </w:tc>
        <w:tc>
          <w:tcPr>
            <w:tcW w:type="dxa" w:w="6768"/>
            <w:vAlign w:val="center"/>
          </w:tcPr>
          <w:p>
            <w:r/>
            <w:r>
              <w:rPr>
                <w:b w:val="0"/>
                <w:sz w:val="17"/>
              </w:rPr>
              <w:t>Find suspicious activity involving SE16N last weekend.</w:t>
            </w:r>
          </w:p>
        </w:tc>
        <w:tc>
          <w:tcPr>
            <w:tcW w:type="dxa" w:w="1440"/>
            <w:vAlign w:val="center"/>
          </w:tcPr>
          <w:p>
            <w:r/>
            <w:r>
              <w:rPr>
                <w:b w:val="0"/>
                <w:sz w:val="17"/>
              </w:rPr>
              <w:t>3</w:t>
            </w:r>
          </w:p>
        </w:tc>
      </w:tr>
    </w:tbl>
    <w:p/>
    <w:p>
      <w:pPr>
        <w:pStyle w:val="Heading1"/>
      </w:pPr>
      <w:r>
        <w:t>Appendix B — Stage Gate Checklist</w:t>
      </w:r>
    </w:p>
    <w:p>
      <w:pPr>
        <w:pStyle w:val="ListBullet"/>
        <w:spacing w:after="40"/>
      </w:pPr>
      <w:r>
        <w:t>Stage 1 gate: SAP connectivity validated.</w:t>
      </w:r>
    </w:p>
    <w:p>
      <w:pPr>
        <w:pStyle w:val="ListBullet"/>
        <w:spacing w:after="40"/>
      </w:pPr>
      <w:r>
        <w:t>Stage 1 gate: SM20 extraction reconciled against manual SM20 results.</w:t>
      </w:r>
    </w:p>
    <w:p>
      <w:pPr>
        <w:pStyle w:val="ListBullet"/>
        <w:spacing w:after="40"/>
      </w:pPr>
      <w:r>
        <w:t>Stage 1 gate: Data retention and security controls approved.</w:t>
      </w:r>
    </w:p>
    <w:p>
      <w:pPr>
        <w:pStyle w:val="ListBullet"/>
        <w:spacing w:after="40"/>
      </w:pPr>
      <w:r>
        <w:t>Stage 1 gate: FBL5N transaction-usage scenario demonstrated end-to-end.</w:t>
      </w:r>
    </w:p>
    <w:p>
      <w:pPr>
        <w:pStyle w:val="ListBullet"/>
        <w:spacing w:after="40"/>
      </w:pPr>
      <w:r>
        <w:t>Stage 1 gate: Exported evidence contains scope and provenance.</w:t>
      </w:r>
    </w:p>
    <w:p>
      <w:pPr>
        <w:pStyle w:val="ListBullet"/>
        <w:spacing w:after="40"/>
      </w:pPr>
      <w:r>
        <w:t>Stage 2 gate: User/role correlation validated against SAP data.</w:t>
      </w:r>
    </w:p>
    <w:p>
      <w:pPr>
        <w:pStyle w:val="ListBullet"/>
        <w:spacing w:after="40"/>
      </w:pPr>
      <w:r>
        <w:t>Stage 2 gate: Firefighter correlation validated on representative sessions.</w:t>
      </w:r>
    </w:p>
    <w:p>
      <w:pPr>
        <w:pStyle w:val="ListBullet"/>
        <w:spacing w:after="40"/>
      </w:pPr>
      <w:r>
        <w:t>Stage 2 gate: Cross-system results correctly attribute system/client.</w:t>
      </w:r>
    </w:p>
    <w:p>
      <w:pPr>
        <w:pStyle w:val="ListBullet"/>
        <w:spacing w:after="40"/>
      </w:pPr>
      <w:r>
        <w:t>Stage 2 gate: Detection rules have documented false-positive handling.</w:t>
      </w:r>
    </w:p>
    <w:p>
      <w:pPr>
        <w:pStyle w:val="ListBullet"/>
        <w:spacing w:after="40"/>
      </w:pPr>
      <w:r>
        <w:t>Stage 3 gate: AI cannot access data outside SAL authorization scope.</w:t>
      </w:r>
    </w:p>
    <w:p>
      <w:pPr>
        <w:pStyle w:val="ListBullet"/>
        <w:spacing w:after="40"/>
      </w:pPr>
      <w:r>
        <w:t>Stage 3 gate: AI outputs are evidence-grounded.</w:t>
      </w:r>
    </w:p>
    <w:p>
      <w:pPr>
        <w:pStyle w:val="ListBullet"/>
        <w:spacing w:after="40"/>
      </w:pPr>
      <w:r>
        <w:t>Stage 3 gate: Cases and evidence have appropriate retention and access controls.</w:t>
      </w:r>
    </w:p>
    <w:p>
      <w:pPr>
        <w:pStyle w:val="ListBullet"/>
        <w:spacing w:after="40"/>
      </w:pPr>
      <w:r>
        <w:t>Production gate: Performance, security, backup/recovery and operational support are approved.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 — Security Audit Log Tool | Implementation &amp; Brainstorming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