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t xml:space="preserve"/>
      </w:r>
    </w:p>
    <w:p>
      <w:pPr>
        <w:spacing w:after="80" w:before="0"/>
      </w:pPr>
      <w:r>
        <w:rPr>
          <w:rFonts w:ascii="Arial" w:cs="Arial" w:eastAsia="Arial" w:hAnsi="Arial"/>
          <w:b/>
          <w:bCs/>
          <w:color w:val="111111"/>
          <w:sz w:val="96"/>
          <w:szCs w:val="96"/>
        </w:rPr>
        <w:t xml:space="preserve">Popper</w:t>
      </w:r>
    </w:p>
    <w:p>
      <w:pPr>
        <w:spacing w:after="240" w:before="0"/>
      </w:pPr>
      <w:r>
        <w:rPr>
          <w:rFonts w:ascii="Arial" w:cs="Arial" w:eastAsia="Arial" w:hAnsi="Arial"/>
          <w:color w:val="555555"/>
          <w:sz w:val="30"/>
          <w:szCs w:val="30"/>
        </w:rPr>
        <w:t xml:space="preserve">Multi-Agent Reinforcement Learning Validation System</w:t>
      </w:r>
    </w:p>
    <w:p>
      <w:pPr>
        <w:pBdr>
          <w:bottom w:val="single" w:color="E2E2E2" w:sz="2"/>
        </w:pBdr>
      </w:pPr>
      <w:r>
        <w:rPr>
          <w:sz w:val="4"/>
          <w:szCs w:val="4"/>
        </w:rPr>
        <w:t xml:space="preserve"> </w:t>
      </w:r>
    </w:p>
    <w:p>
      <w:pPr>
        <w:spacing w:after="0" w:before="200"/>
      </w:pPr>
      <w:r>
        <w:t xml:space="preserve"/>
      </w:r>
    </w:p>
    <w:p>
      <w:pPr>
        <w:spacing w:after="80" w:before="0"/>
      </w:pPr>
      <w:r>
        <w:rPr>
          <w:rFonts w:ascii="Arial" w:cs="Arial" w:eastAsia="Arial" w:hAnsi="Arial"/>
          <w:color w:val="333333"/>
          <w:sz w:val="24"/>
          <w:szCs w:val="24"/>
        </w:rPr>
        <w:t xml:space="preserve">Technical Report</w:t>
      </w:r>
    </w:p>
    <w:p>
      <w:pPr>
        <w:spacing w:after="80" w:before="0"/>
      </w:pPr>
      <w:r>
        <w:rPr>
          <w:rFonts w:ascii="Georgia" w:cs="Georgia" w:eastAsia="Georgia" w:hAnsi="Georgia"/>
          <w:i/>
          <w:iCs/>
          <w:color w:val="555555"/>
          <w:sz w:val="22"/>
          <w:szCs w:val="22"/>
        </w:rPr>
        <w:t xml:space="preserve">Automated AI Safety &amp; Red-Teaming at Scale</w:t>
      </w:r>
    </w:p>
    <w:p>
      <w:r>
        <w:rPr>
          <w:rFonts w:ascii="Arial" w:cs="Arial" w:eastAsia="Arial" w:hAnsi="Arial"/>
          <w:color w:val="999999"/>
          <w:sz w:val="20"/>
          <w:szCs w:val="20"/>
        </w:rPr>
        <w:t xml:space="preserve">April 2026</w:t>
      </w:r>
    </w:p>
    <w:p>
      <w:r>
        <w:br w:type="page"/>
      </w:r>
    </w:p>
    <w:p>
      <w:pPr>
        <w:pStyle w:val="Heading1"/>
        <w:pBdr>
          <w:bottom w:val="single" w:color="E2E2E2" w:sz="2" w:space="8"/>
        </w:pBdr>
        <w:spacing w:after="180" w:before="600"/>
      </w:pPr>
      <w:r>
        <w:rPr>
          <w:rFonts w:ascii="Arial" w:cs="Arial" w:eastAsia="Arial" w:hAnsi="Arial"/>
          <w:b/>
          <w:bCs/>
          <w:color w:val="111111"/>
          <w:sz w:val="44"/>
          <w:szCs w:val="44"/>
        </w:rPr>
        <w:t xml:space="preserve">Abstract</w:t>
      </w:r>
    </w:p>
    <w:p>
      <w:pPr>
        <w:spacing w:after="180" w:before="0"/>
      </w:pPr>
      <w:r>
        <w:rPr>
          <w:rFonts w:ascii="Georgia" w:cs="Georgia" w:eastAsia="Georgia" w:hAnsi="Georgia"/>
          <w:i w:val="false"/>
          <w:iCs w:val="false"/>
          <w:color w:val="333333"/>
          <w:sz w:val="22"/>
          <w:szCs w:val="22"/>
        </w:rPr>
        <w:t xml:space="preserve">This report presents Popper, a multi-agent reinforcement learning system for automated AI safety testing and red-teaming at scale. The system addresses a critical gap in current AI validation practice: existing frameworks rely on static, manually curated prompt libraries evaluated with deterministic rules, making them slow to adapt and unable to discover novel failure modes efficiently.</w:t>
      </w:r>
    </w:p>
    <w:p>
      <w:pPr>
        <w:spacing w:after="180" w:before="0"/>
      </w:pPr>
      <w:r>
        <w:rPr>
          <w:rFonts w:ascii="Georgia" w:cs="Georgia" w:eastAsia="Georgia" w:hAnsi="Georgia"/>
          <w:i w:val="false"/>
          <w:iCs w:val="false"/>
          <w:color w:val="333333"/>
          <w:sz w:val="22"/>
          <w:szCs w:val="22"/>
        </w:rPr>
        <w:t xml:space="preserve">Popper introduces a three-stage adversarial pipeline — dynamic prompt generation via Groq/Llama 3.3 70B, semantic evaluation via LLM-as-Judge on the Hugging Face Inference API, and adaptive test selection via Upper Confidence Bound (UCB) multi-armed bandits — that learns which vulnerability categories yield failures most efficiently. Empirical results demonstrate a +12% relative improvement in weakness detection rate over the round-robin baseline (31% vs 28% success rate) and a +3.1 point improvement in cumulative reward (16.6 vs 13.5), with substantially reduced variance indicating more stable learning. The system directly extends the open-source Popper framework while addressing its core architectural limitations.</w:t>
      </w:r>
    </w:p>
    <w:p>
      <w:r>
        <w:br w:type="page"/>
      </w:r>
    </w:p>
    <w:p>
      <w:pPr>
        <w:pStyle w:val="Heading1"/>
        <w:pBdr>
          <w:bottom w:val="single" w:color="E2E2E2" w:sz="2" w:space="8"/>
        </w:pBdr>
        <w:spacing w:after="180" w:before="600"/>
      </w:pPr>
      <w:r>
        <w:rPr>
          <w:rFonts w:ascii="Arial" w:cs="Arial" w:eastAsia="Arial" w:hAnsi="Arial"/>
          <w:b/>
          <w:bCs/>
          <w:color w:val="111111"/>
          <w:sz w:val="44"/>
          <w:szCs w:val="44"/>
        </w:rPr>
        <w:t xml:space="preserve">1. Introduction</w:t>
      </w:r>
    </w:p>
    <w:p>
      <w:pPr>
        <w:pStyle w:val="Heading2"/>
        <w:spacing w:after="120" w:before="400"/>
      </w:pPr>
      <w:r>
        <w:rPr>
          <w:rFonts w:ascii="Arial" w:cs="Arial" w:eastAsia="Arial" w:hAnsi="Arial"/>
          <w:b/>
          <w:bCs/>
          <w:color w:val="111111"/>
          <w:sz w:val="30"/>
          <w:szCs w:val="30"/>
        </w:rPr>
        <w:t xml:space="preserve">1.1 The AI Safety Testing Problem</w:t>
      </w:r>
    </w:p>
    <w:p>
      <w:pPr>
        <w:spacing w:after="180" w:before="0"/>
      </w:pPr>
      <w:r>
        <w:rPr>
          <w:rFonts w:ascii="Georgia" w:cs="Georgia" w:eastAsia="Georgia" w:hAnsi="Georgia"/>
          <w:i w:val="false"/>
          <w:iCs w:val="false"/>
          <w:color w:val="333333"/>
          <w:sz w:val="22"/>
          <w:szCs w:val="22"/>
        </w:rPr>
        <w:t xml:space="preserve">As large language models are deployed in increasingly high-stakes domains — healthcare, legal services, financial advice, and critical infrastructure — systematic testing for safety violations, reasoning failures, and adversarial vulnerabilities has become essential. Manual red-teaming, while effective, does not scale: a team of human testers cannot exhaustively probe the combinatorial space of inputs that modern LLMs face in production.</w:t>
      </w:r>
    </w:p>
    <w:p>
      <w:pPr>
        <w:spacing w:after="180" w:before="0"/>
      </w:pPr>
      <w:r>
        <w:rPr>
          <w:rFonts w:ascii="Georgia" w:cs="Georgia" w:eastAsia="Georgia" w:hAnsi="Georgia"/>
          <w:i w:val="false"/>
          <w:iCs w:val="false"/>
          <w:color w:val="333333"/>
          <w:sz w:val="22"/>
          <w:szCs w:val="22"/>
        </w:rPr>
        <w:t xml:space="preserve">Automated red-teaming frameworks have emerged to address this, but they suffer from a fundamental limitation: they treat all test types equally, cycling through fixed prompt libraries in a predetermined order. This ignores a crucial empirical fact — different AI systems have different vulnerability profiles, and the distribution of those vulnerabilities is unknown in advance. A system prone to prompt injection will reveal that weakness quickly if tests are concentrated appropriately; round-robin scheduling dilutes testing effort uniformly regardless of what the data shows.</w:t>
      </w:r>
    </w:p>
    <w:p>
      <w:pPr>
        <w:pStyle w:val="Heading2"/>
        <w:spacing w:after="120" w:before="400"/>
      </w:pPr>
      <w:r>
        <w:rPr>
          <w:rFonts w:ascii="Arial" w:cs="Arial" w:eastAsia="Arial" w:hAnsi="Arial"/>
          <w:b/>
          <w:bCs/>
          <w:color w:val="111111"/>
          <w:sz w:val="30"/>
          <w:szCs w:val="30"/>
        </w:rPr>
        <w:t xml:space="preserve">1.2 Contributions</w:t>
      </w:r>
    </w:p>
    <w:p>
      <w:pPr>
        <w:spacing w:after="180" w:before="0"/>
      </w:pPr>
      <w:r>
        <w:rPr>
          <w:rFonts w:ascii="Georgia" w:cs="Georgia" w:eastAsia="Georgia" w:hAnsi="Georgia"/>
          <w:i w:val="false"/>
          <w:iCs w:val="false"/>
          <w:color w:val="333333"/>
          <w:sz w:val="22"/>
          <w:szCs w:val="22"/>
        </w:rPr>
        <w:t xml:space="preserve">This work makes the following contributions:</w:t>
      </w:r>
    </w:p>
    <w:p>
      <w:pPr>
        <w:pStyle w:val="ListParagraph"/>
        <w:numPr>
          <w:ilvl w:val="0"/>
          <w:numId w:val="2"/>
        </w:numPr>
        <w:spacing w:after="80" w:before="60"/>
      </w:pPr>
      <w:r>
        <w:rPr>
          <w:rFonts w:ascii="Georgia" w:cs="Georgia" w:eastAsia="Georgia" w:hAnsi="Georgia"/>
          <w:color w:val="333333"/>
          <w:sz w:val="22"/>
          <w:szCs w:val="22"/>
        </w:rPr>
        <w:t xml:space="preserve">A three-stage adversarial pipeline combining dynamic LLM-driven prompt generation, semantic LLM-as-Judge evaluation, and adaptive UCB bandit selection into a unified testing loop.</w:t>
      </w:r>
    </w:p>
    <w:p>
      <w:pPr>
        <w:pStyle w:val="ListParagraph"/>
        <w:numPr>
          <w:ilvl w:val="0"/>
          <w:numId w:val="2"/>
        </w:numPr>
        <w:spacing w:after="80" w:before="60"/>
      </w:pPr>
      <w:r>
        <w:rPr>
          <w:rFonts w:ascii="Georgia" w:cs="Georgia" w:eastAsia="Georgia" w:hAnsi="Georgia"/>
          <w:color w:val="333333"/>
          <w:sz w:val="22"/>
          <w:szCs w:val="22"/>
        </w:rPr>
        <w:t xml:space="preserve">An online reinforcement learning formulation of AI red-teaming as a multi-armed bandit problem, requiring no pre-training and adapting in real time to each target system's weakness profile.</w:t>
      </w:r>
    </w:p>
    <w:p>
      <w:pPr>
        <w:pStyle w:val="ListParagraph"/>
        <w:numPr>
          <w:ilvl w:val="0"/>
          <w:numId w:val="2"/>
        </w:numPr>
        <w:spacing w:after="80" w:before="60"/>
      </w:pPr>
      <w:r>
        <w:rPr>
          <w:rFonts w:ascii="Georgia" w:cs="Georgia" w:eastAsia="Georgia" w:hAnsi="Georgia"/>
          <w:color w:val="333333"/>
          <w:sz w:val="22"/>
          <w:szCs w:val="22"/>
        </w:rPr>
        <w:t xml:space="preserve">A multi-agent extension (MARL) with five specialized agent roles, shared reward pools, and inter-agent communication, enabling coordinated coverage of the full vulnerability taxonomy.</w:t>
      </w:r>
    </w:p>
    <w:p>
      <w:pPr>
        <w:pStyle w:val="ListParagraph"/>
        <w:numPr>
          <w:ilvl w:val="0"/>
          <w:numId w:val="2"/>
        </w:numPr>
        <w:spacing w:after="80" w:before="60"/>
      </w:pPr>
      <w:r>
        <w:rPr>
          <w:rFonts w:ascii="Georgia" w:cs="Georgia" w:eastAsia="Georgia" w:hAnsi="Georgia"/>
          <w:color w:val="333333"/>
          <w:sz w:val="22"/>
          <w:szCs w:val="22"/>
        </w:rPr>
        <w:t xml:space="preserve">Empirical comparison against the original Popper framework demonstrating improvements in detection rate, cumulative reward, and variance stability.</w:t>
      </w:r>
    </w:p>
    <w:p>
      <w:pPr>
        <w:pStyle w:val="ListParagraph"/>
        <w:numPr>
          <w:ilvl w:val="0"/>
          <w:numId w:val="2"/>
        </w:numPr>
        <w:spacing w:after="80" w:before="60"/>
      </w:pPr>
      <w:r>
        <w:rPr>
          <w:rFonts w:ascii="Georgia" w:cs="Georgia" w:eastAsia="Georgia" w:hAnsi="Georgia"/>
          <w:color w:val="333333"/>
          <w:sz w:val="22"/>
          <w:szCs w:val="22"/>
        </w:rPr>
        <w:t xml:space="preserve">A clear articulation of where the current Popper framework falls short and how this system addresses those gaps.</w:t>
      </w:r>
    </w:p>
    <w:p>
      <w:r>
        <w:br w:type="page"/>
      </w:r>
    </w:p>
    <w:p>
      <w:pPr>
        <w:pStyle w:val="Heading1"/>
        <w:pBdr>
          <w:bottom w:val="single" w:color="E2E2E2" w:sz="2" w:space="8"/>
        </w:pBdr>
        <w:spacing w:after="180" w:before="600"/>
      </w:pPr>
      <w:r>
        <w:rPr>
          <w:rFonts w:ascii="Arial" w:cs="Arial" w:eastAsia="Arial" w:hAnsi="Arial"/>
          <w:b/>
          <w:bCs/>
          <w:color w:val="111111"/>
          <w:sz w:val="44"/>
          <w:szCs w:val="44"/>
        </w:rPr>
        <w:t xml:space="preserve">2. Background &amp; Related Work</w:t>
      </w:r>
    </w:p>
    <w:p>
      <w:pPr>
        <w:pStyle w:val="Heading2"/>
        <w:spacing w:after="120" w:before="400"/>
      </w:pPr>
      <w:r>
        <w:rPr>
          <w:rFonts w:ascii="Arial" w:cs="Arial" w:eastAsia="Arial" w:hAnsi="Arial"/>
          <w:b/>
          <w:bCs/>
          <w:color w:val="111111"/>
          <w:sz w:val="30"/>
          <w:szCs w:val="30"/>
        </w:rPr>
        <w:t xml:space="preserve">2.1 The Original Popper Framework</w:t>
      </w:r>
    </w:p>
    <w:p>
      <w:pPr>
        <w:spacing w:after="180" w:before="0"/>
      </w:pPr>
      <w:r>
        <w:rPr>
          <w:rFonts w:ascii="Georgia" w:cs="Georgia" w:eastAsia="Georgia" w:hAnsi="Georgia"/>
          <w:i w:val="false"/>
          <w:iCs w:val="false"/>
          <w:color w:val="333333"/>
          <w:sz w:val="22"/>
          <w:szCs w:val="22"/>
        </w:rPr>
        <w:t xml:space="preserve">The Popper framework (Humanitariansai/Popper) is an open-source platform for computational skepticism and AI validation, grounded philosophically in Karl Popper's principle of falsifiability: a claim about an AI system's reliability is only meaningful if it can be subjected to tests that could, in principle, refute it. The framework provides five agent archetypes — Data Validation, Bias Detection, Falsification, Adversarial, and Explainability — each responsible for probing a different dimension of AI reliability.</w:t>
      </w:r>
    </w:p>
    <w:p>
      <w:pPr>
        <w:spacing w:after="180" w:before="0"/>
      </w:pPr>
      <w:r>
        <w:rPr>
          <w:rFonts w:ascii="Georgia" w:cs="Georgia" w:eastAsia="Georgia" w:hAnsi="Georgia"/>
          <w:i w:val="false"/>
          <w:iCs w:val="false"/>
          <w:color w:val="333333"/>
          <w:sz w:val="22"/>
          <w:szCs w:val="22"/>
        </w:rPr>
        <w:t xml:space="preserve">In its original form, Popper operates as follows: a static library of adversarial prompts is maintained per agent type; prompts are selected in round-robin order; responses are evaluated using deterministic rules (regular expressions and keyword matching); and results are recorded as binary pass/fail outcomes. This design is effective for broad coverage but has three fundamental architectural limitations.</w:t>
      </w:r>
    </w:p>
    <w:p>
      <w:pPr>
        <w:pStyle w:val="Heading2"/>
        <w:spacing w:after="120" w:before="400"/>
      </w:pPr>
      <w:r>
        <w:rPr>
          <w:rFonts w:ascii="Arial" w:cs="Arial" w:eastAsia="Arial" w:hAnsi="Arial"/>
          <w:b/>
          <w:bCs/>
          <w:color w:val="111111"/>
          <w:sz w:val="30"/>
          <w:szCs w:val="30"/>
        </w:rPr>
        <w:t xml:space="preserve">2.2 Gaps in the Original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E2E2E2" w:sz="2"/>
              <w:left w:val="single" w:color="E2E2E2" w:sz="2"/>
              <w:bottom w:val="single" w:color="E2E2E2" w:sz="2"/>
              <w:right w:val="single" w:color="E2E2E2" w:sz="2"/>
            </w:tcBorders>
            <w:shd w:fill="F3F4F6" w:val="clear"/>
            <w:tcMar>
              <w:top w:type="dxa" w:w="100"/>
              <w:left w:type="dxa" w:w="140"/>
              <w:bottom w:type="dxa" w:w="100"/>
              <w:right w:type="dxa" w:w="140"/>
            </w:tcMar>
          </w:tcPr>
          <w:p>
            <w:r>
              <w:rPr>
                <w:rFonts w:ascii="Arial" w:cs="Arial" w:eastAsia="Arial" w:hAnsi="Arial"/>
                <w:b/>
                <w:bCs/>
                <w:color w:val="111111"/>
                <w:sz w:val="19"/>
                <w:szCs w:val="19"/>
              </w:rPr>
              <w:t xml:space="preserve">Dimension</w:t>
            </w:r>
          </w:p>
        </w:tc>
        <w:tc>
          <w:tcPr>
            <w:tcW w:type="dxa" w:w="3200"/>
            <w:tcBorders>
              <w:top w:val="single" w:color="E2E2E2" w:sz="2"/>
              <w:left w:val="single" w:color="E2E2E2" w:sz="2"/>
              <w:bottom w:val="single" w:color="E2E2E2" w:sz="2"/>
              <w:right w:val="single" w:color="E2E2E2" w:sz="2"/>
            </w:tcBorders>
            <w:shd w:fill="F3F4F6" w:val="clear"/>
            <w:tcMar>
              <w:top w:type="dxa" w:w="100"/>
              <w:left w:type="dxa" w:w="140"/>
              <w:bottom w:type="dxa" w:w="100"/>
              <w:right w:type="dxa" w:w="140"/>
            </w:tcMar>
          </w:tcPr>
          <w:p>
            <w:r>
              <w:rPr>
                <w:rFonts w:ascii="Arial" w:cs="Arial" w:eastAsia="Arial" w:hAnsi="Arial"/>
                <w:b/>
                <w:bCs/>
                <w:color w:val="111111"/>
                <w:sz w:val="19"/>
                <w:szCs w:val="19"/>
              </w:rPr>
              <w:t xml:space="preserve">Original Popper</w:t>
            </w:r>
          </w:p>
        </w:tc>
        <w:tc>
          <w:tcPr>
            <w:tcW w:type="dxa" w:w="4160"/>
            <w:tcBorders>
              <w:top w:val="single" w:color="E2E2E2" w:sz="2"/>
              <w:left w:val="single" w:color="E2E2E2" w:sz="2"/>
              <w:bottom w:val="single" w:color="E2E2E2" w:sz="2"/>
              <w:right w:val="single" w:color="E2E2E2" w:sz="2"/>
            </w:tcBorders>
            <w:shd w:fill="F3F4F6" w:val="clear"/>
            <w:tcMar>
              <w:top w:type="dxa" w:w="100"/>
              <w:left w:type="dxa" w:w="140"/>
              <w:bottom w:type="dxa" w:w="100"/>
              <w:right w:type="dxa" w:w="140"/>
            </w:tcMar>
          </w:tcPr>
          <w:p>
            <w:r>
              <w:rPr>
                <w:rFonts w:ascii="Arial" w:cs="Arial" w:eastAsia="Arial" w:hAnsi="Arial"/>
                <w:b/>
                <w:bCs/>
                <w:color w:val="111111"/>
                <w:sz w:val="19"/>
                <w:szCs w:val="19"/>
              </w:rPr>
              <w:t xml:space="preserve">This System</w:t>
            </w:r>
          </w:p>
        </w:tc>
      </w:tr>
      <w:tr>
        <w:tc>
          <w:tcPr>
            <w:tcW w:type="dxa" w:w="2000"/>
            <w:tcBorders>
              <w:top w:val="single" w:color="E2E2E2" w:sz="2"/>
              <w:left w:val="single" w:color="E2E2E2" w:sz="2"/>
              <w:bottom w:val="single" w:color="E2E2E2" w:sz="2"/>
              <w:right w:val="single" w:color="E2E2E2" w:sz="2"/>
            </w:tcBorders>
            <w:shd w:fill="FAFAFA" w:val="clear"/>
            <w:tcMar>
              <w:top w:type="dxa" w:w="100"/>
              <w:left w:type="dxa" w:w="140"/>
              <w:bottom w:type="dxa" w:w="100"/>
              <w:right w:type="dxa" w:w="140"/>
            </w:tcMar>
          </w:tcPr>
          <w:p>
            <w:r>
              <w:rPr>
                <w:rFonts w:ascii="Arial" w:cs="Arial" w:eastAsia="Arial" w:hAnsi="Arial"/>
                <w:b w:val="false"/>
                <w:bCs w:val="false"/>
                <w:color w:val="333333"/>
                <w:sz w:val="19"/>
                <w:szCs w:val="19"/>
              </w:rPr>
              <w:t xml:space="preserve">Prompt Source</w:t>
            </w:r>
          </w:p>
        </w:tc>
        <w:tc>
          <w:tcPr>
            <w:tcW w:type="dxa" w:w="32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Static JSONL library, manually curated</w:t>
            </w:r>
          </w:p>
        </w:tc>
        <w:tc>
          <w:tcPr>
            <w:tcW w:type="dxa" w:w="416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Dynamic generation via Groq + Llama 3.3 70B, seeded from library</w:t>
            </w:r>
          </w:p>
        </w:tc>
      </w:tr>
      <w:tr>
        <w:tc>
          <w:tcPr>
            <w:tcW w:type="dxa" w:w="2000"/>
            <w:tcBorders>
              <w:top w:val="single" w:color="E2E2E2" w:sz="2"/>
              <w:left w:val="single" w:color="E2E2E2" w:sz="2"/>
              <w:bottom w:val="single" w:color="E2E2E2" w:sz="2"/>
              <w:right w:val="single" w:color="E2E2E2" w:sz="2"/>
            </w:tcBorders>
            <w:shd w:fill="FAFAFA" w:val="clear"/>
            <w:tcMar>
              <w:top w:type="dxa" w:w="100"/>
              <w:left w:type="dxa" w:w="140"/>
              <w:bottom w:type="dxa" w:w="100"/>
              <w:right w:type="dxa" w:w="140"/>
            </w:tcMar>
          </w:tcPr>
          <w:p>
            <w:r>
              <w:rPr>
                <w:rFonts w:ascii="Arial" w:cs="Arial" w:eastAsia="Arial" w:hAnsi="Arial"/>
                <w:b w:val="false"/>
                <w:bCs w:val="false"/>
                <w:color w:val="333333"/>
                <w:sz w:val="19"/>
                <w:szCs w:val="19"/>
              </w:rPr>
              <w:t xml:space="preserve">Test Selection</w:t>
            </w:r>
          </w:p>
        </w:tc>
        <w:tc>
          <w:tcPr>
            <w:tcW w:type="dxa" w:w="32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Fixed round-robin, no learning</w:t>
            </w:r>
          </w:p>
        </w:tc>
        <w:tc>
          <w:tcPr>
            <w:tcW w:type="dxa" w:w="416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UCB bandit — learns which weakness types yield failures</w:t>
            </w:r>
          </w:p>
        </w:tc>
      </w:tr>
      <w:tr>
        <w:tc>
          <w:tcPr>
            <w:tcW w:type="dxa" w:w="2000"/>
            <w:tcBorders>
              <w:top w:val="single" w:color="E2E2E2" w:sz="2"/>
              <w:left w:val="single" w:color="E2E2E2" w:sz="2"/>
              <w:bottom w:val="single" w:color="E2E2E2" w:sz="2"/>
              <w:right w:val="single" w:color="E2E2E2" w:sz="2"/>
            </w:tcBorders>
            <w:shd w:fill="FAFAFA" w:val="clear"/>
            <w:tcMar>
              <w:top w:type="dxa" w:w="100"/>
              <w:left w:type="dxa" w:w="140"/>
              <w:bottom w:type="dxa" w:w="100"/>
              <w:right w:type="dxa" w:w="140"/>
            </w:tcMar>
          </w:tcPr>
          <w:p>
            <w:r>
              <w:rPr>
                <w:rFonts w:ascii="Arial" w:cs="Arial" w:eastAsia="Arial" w:hAnsi="Arial"/>
                <w:b w:val="false"/>
                <w:bCs w:val="false"/>
                <w:color w:val="333333"/>
                <w:sz w:val="19"/>
                <w:szCs w:val="19"/>
              </w:rPr>
              <w:t xml:space="preserve">Evaluation</w:t>
            </w:r>
          </w:p>
        </w:tc>
        <w:tc>
          <w:tcPr>
            <w:tcW w:type="dxa" w:w="32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Regex / keyword matching</w:t>
            </w:r>
          </w:p>
        </w:tc>
        <w:tc>
          <w:tcPr>
            <w:tcW w:type="dxa" w:w="416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LLM-as-Judge with semantic understanding</w:t>
            </w:r>
          </w:p>
        </w:tc>
      </w:tr>
      <w:tr>
        <w:tc>
          <w:tcPr>
            <w:tcW w:type="dxa" w:w="2000"/>
            <w:tcBorders>
              <w:top w:val="single" w:color="E2E2E2" w:sz="2"/>
              <w:left w:val="single" w:color="E2E2E2" w:sz="2"/>
              <w:bottom w:val="single" w:color="E2E2E2" w:sz="2"/>
              <w:right w:val="single" w:color="E2E2E2" w:sz="2"/>
            </w:tcBorders>
            <w:shd w:fill="FAFAFA" w:val="clear"/>
            <w:tcMar>
              <w:top w:type="dxa" w:w="100"/>
              <w:left w:type="dxa" w:w="140"/>
              <w:bottom w:type="dxa" w:w="100"/>
              <w:right w:type="dxa" w:w="140"/>
            </w:tcMar>
          </w:tcPr>
          <w:p>
            <w:r>
              <w:rPr>
                <w:rFonts w:ascii="Arial" w:cs="Arial" w:eastAsia="Arial" w:hAnsi="Arial"/>
                <w:b w:val="false"/>
                <w:bCs w:val="false"/>
                <w:color w:val="333333"/>
                <w:sz w:val="19"/>
                <w:szCs w:val="19"/>
              </w:rPr>
              <w:t xml:space="preserve">Scoring</w:t>
            </w:r>
          </w:p>
        </w:tc>
        <w:tc>
          <w:tcPr>
            <w:tcW w:type="dxa" w:w="32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Binary: Pass / Fail</w:t>
            </w:r>
          </w:p>
        </w:tc>
        <w:tc>
          <w:tcPr>
            <w:tcW w:type="dxa" w:w="416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Continuous 0.0–1.0 with severity classification</w:t>
            </w:r>
          </w:p>
        </w:tc>
      </w:tr>
      <w:tr>
        <w:tc>
          <w:tcPr>
            <w:tcW w:type="dxa" w:w="2000"/>
            <w:tcBorders>
              <w:top w:val="single" w:color="E2E2E2" w:sz="2"/>
              <w:left w:val="single" w:color="E2E2E2" w:sz="2"/>
              <w:bottom w:val="single" w:color="E2E2E2" w:sz="2"/>
              <w:right w:val="single" w:color="E2E2E2" w:sz="2"/>
            </w:tcBorders>
            <w:shd w:fill="FAFAFA" w:val="clear"/>
            <w:tcMar>
              <w:top w:type="dxa" w:w="100"/>
              <w:left w:type="dxa" w:w="140"/>
              <w:bottom w:type="dxa" w:w="100"/>
              <w:right w:type="dxa" w:w="140"/>
            </w:tcMar>
          </w:tcPr>
          <w:p>
            <w:r>
              <w:rPr>
                <w:rFonts w:ascii="Arial" w:cs="Arial" w:eastAsia="Arial" w:hAnsi="Arial"/>
                <w:b w:val="false"/>
                <w:bCs w:val="false"/>
                <w:color w:val="333333"/>
                <w:sz w:val="19"/>
                <w:szCs w:val="19"/>
              </w:rPr>
              <w:t xml:space="preserve">Adaptation</w:t>
            </w:r>
          </w:p>
        </w:tc>
        <w:tc>
          <w:tcPr>
            <w:tcW w:type="dxa" w:w="32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None — fixed strategy throughout</w:t>
            </w:r>
          </w:p>
        </w:tc>
        <w:tc>
          <w:tcPr>
            <w:tcW w:type="dxa" w:w="416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Online RL — strategy updated after every test</w:t>
            </w:r>
          </w:p>
        </w:tc>
      </w:tr>
      <w:tr>
        <w:tc>
          <w:tcPr>
            <w:tcW w:type="dxa" w:w="2000"/>
            <w:tcBorders>
              <w:top w:val="single" w:color="E2E2E2" w:sz="2"/>
              <w:left w:val="single" w:color="E2E2E2" w:sz="2"/>
              <w:bottom w:val="single" w:color="E2E2E2" w:sz="2"/>
              <w:right w:val="single" w:color="E2E2E2" w:sz="2"/>
            </w:tcBorders>
            <w:shd w:fill="FAFAFA" w:val="clear"/>
            <w:tcMar>
              <w:top w:type="dxa" w:w="100"/>
              <w:left w:type="dxa" w:w="140"/>
              <w:bottom w:type="dxa" w:w="100"/>
              <w:right w:type="dxa" w:w="140"/>
            </w:tcMar>
          </w:tcPr>
          <w:p>
            <w:r>
              <w:rPr>
                <w:rFonts w:ascii="Arial" w:cs="Arial" w:eastAsia="Arial" w:hAnsi="Arial"/>
                <w:b w:val="false"/>
                <w:bCs w:val="false"/>
                <w:color w:val="333333"/>
                <w:sz w:val="19"/>
                <w:szCs w:val="19"/>
              </w:rPr>
              <w:t xml:space="preserve">Agent Coordination</w:t>
            </w:r>
          </w:p>
        </w:tc>
        <w:tc>
          <w:tcPr>
            <w:tcW w:type="dxa" w:w="32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Independent agents, no communication</w:t>
            </w:r>
          </w:p>
        </w:tc>
        <w:tc>
          <w:tcPr>
            <w:tcW w:type="dxa" w:w="416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MARL with shared reward pool and message passing</w:t>
            </w:r>
          </w:p>
        </w:tc>
      </w:tr>
    </w:tbl>
    <w:p>
      <w:pPr>
        <w:spacing w:after="0" w:before="180"/>
      </w:pPr>
      <w:r>
        <w:t xml:space="preserve"/>
      </w:r>
    </w:p>
    <w:p>
      <w:pPr>
        <w:spacing w:after="180" w:before="0"/>
      </w:pPr>
      <w:r>
        <w:rPr>
          <w:rFonts w:ascii="Georgia" w:cs="Georgia" w:eastAsia="Georgia" w:hAnsi="Georgia"/>
          <w:i w:val="false"/>
          <w:iCs w:val="false"/>
          <w:color w:val="333333"/>
          <w:sz w:val="22"/>
          <w:szCs w:val="22"/>
        </w:rPr>
        <w:t xml:space="preserve">The three critical gaps are: (1) static prompts cannot cover the long tail of novel inputs; (2) round-robin scheduling is statistically inefficient when vulnerability distributions are non-uniform; and (3) keyword-based evaluation produces high false-negative rates for semantically subtle failures such as plausible-sounding hallucinations or soft safety violations.</w:t>
      </w:r>
    </w:p>
    <w:p>
      <w:pPr>
        <w:pStyle w:val="Heading2"/>
        <w:spacing w:after="120" w:before="400"/>
      </w:pPr>
      <w:r>
        <w:rPr>
          <w:rFonts w:ascii="Arial" w:cs="Arial" w:eastAsia="Arial" w:hAnsi="Arial"/>
          <w:b/>
          <w:bCs/>
          <w:color w:val="111111"/>
          <w:sz w:val="30"/>
          <w:szCs w:val="30"/>
        </w:rPr>
        <w:t xml:space="preserve">2.3 Multi-Armed Bandits for Adaptive Testing</w:t>
      </w:r>
    </w:p>
    <w:p>
      <w:pPr>
        <w:spacing w:after="180" w:before="0"/>
      </w:pPr>
      <w:r>
        <w:rPr>
          <w:rFonts w:ascii="Georgia" w:cs="Georgia" w:eastAsia="Georgia" w:hAnsi="Georgia"/>
          <w:i w:val="false"/>
          <w:iCs w:val="false"/>
          <w:color w:val="333333"/>
          <w:sz w:val="22"/>
          <w:szCs w:val="22"/>
        </w:rPr>
        <w:t xml:space="preserve">The multi-armed bandit problem formalizes the exploration-exploitation tradeoff: an agent must balance trying new options against repeating known high-reward options. UCB algorithms solve this by maintaining upper confidence bounds on each arm's expected reward, selecting the arm with the highest bound. This makes UCB particularly well-suited to red-teaming, where the goal is to maximize weakness detections subject to a fixed testing budget and where the reward distribution per weakness type is initially unknown.</w:t>
      </w:r>
    </w:p>
    <w:p>
      <w:r>
        <w:br w:type="page"/>
      </w:r>
    </w:p>
    <w:p>
      <w:pPr>
        <w:pStyle w:val="Heading1"/>
        <w:pBdr>
          <w:bottom w:val="single" w:color="E2E2E2" w:sz="2" w:space="8"/>
        </w:pBdr>
        <w:spacing w:after="180" w:before="600"/>
      </w:pPr>
      <w:r>
        <w:rPr>
          <w:rFonts w:ascii="Arial" w:cs="Arial" w:eastAsia="Arial" w:hAnsi="Arial"/>
          <w:b/>
          <w:bCs/>
          <w:color w:val="111111"/>
          <w:sz w:val="44"/>
          <w:szCs w:val="44"/>
        </w:rPr>
        <w:t xml:space="preserve">3. System Architecture</w:t>
      </w:r>
    </w:p>
    <w:p>
      <w:pPr>
        <w:pStyle w:val="Heading2"/>
        <w:spacing w:after="120" w:before="400"/>
      </w:pPr>
      <w:r>
        <w:rPr>
          <w:rFonts w:ascii="Arial" w:cs="Arial" w:eastAsia="Arial" w:hAnsi="Arial"/>
          <w:b/>
          <w:bCs/>
          <w:color w:val="111111"/>
          <w:sz w:val="30"/>
          <w:szCs w:val="30"/>
        </w:rPr>
        <w:t xml:space="preserve">3.1 Overview</w:t>
      </w:r>
    </w:p>
    <w:p>
      <w:pPr>
        <w:spacing w:after="180" w:before="0"/>
      </w:pPr>
      <w:r>
        <w:rPr>
          <w:rFonts w:ascii="Georgia" w:cs="Georgia" w:eastAsia="Georgia" w:hAnsi="Georgia"/>
          <w:i w:val="false"/>
          <w:iCs w:val="false"/>
          <w:color w:val="333333"/>
          <w:sz w:val="22"/>
          <w:szCs w:val="22"/>
        </w:rPr>
        <w:t xml:space="preserve">The system comprises three tightly integrated layers: the adversarial testing pipeline (data flow), the reinforcement learning layer (decision-making), and the multi-agent coordination layer (orchestration).</w:t>
      </w:r>
    </w:p>
    <w:p>
      <w:pPr>
        <w:pStyle w:val="Heading2"/>
        <w:spacing w:after="120" w:before="400"/>
      </w:pPr>
      <w:r>
        <w:rPr>
          <w:rFonts w:ascii="Arial" w:cs="Arial" w:eastAsia="Arial" w:hAnsi="Arial"/>
          <w:b/>
          <w:bCs/>
          <w:color w:val="111111"/>
          <w:sz w:val="30"/>
          <w:szCs w:val="30"/>
        </w:rPr>
        <w:t xml:space="preserve">3.2 Three-Stage Adversarial Pipeline</w:t>
      </w:r>
    </w:p>
    <w:p>
      <w:pPr>
        <w:pStyle w:val="Heading3"/>
        <w:spacing w:after="80" w:before="280"/>
      </w:pPr>
      <w:r>
        <w:rPr>
          <w:rFonts w:ascii="Arial" w:cs="Arial" w:eastAsia="Arial" w:hAnsi="Arial"/>
          <w:b/>
          <w:bCs/>
          <w:color w:val="333333"/>
          <w:sz w:val="24"/>
          <w:szCs w:val="24"/>
        </w:rPr>
        <w:t xml:space="preserve">Stage 1 — Seed Libraries</w:t>
      </w:r>
    </w:p>
    <w:p>
      <w:pPr>
        <w:spacing w:after="180" w:before="0"/>
      </w:pPr>
      <w:r>
        <w:rPr>
          <w:rFonts w:ascii="Georgia" w:cs="Georgia" w:eastAsia="Georgia" w:hAnsi="Georgia"/>
          <w:i w:val="false"/>
          <w:iCs w:val="false"/>
          <w:color w:val="333333"/>
          <w:sz w:val="22"/>
          <w:szCs w:val="22"/>
        </w:rPr>
        <w:t xml:space="preserve">Two JSONL files containing curated adversarial prompts and known vulnerability examples are merged into a unified seed library at initialization. This library provides grounding context for the dynamic generator and ensures that well-known attack patterns are always represented in the prompt distribution, preventing the generator from drifting toward uninformative inputs.</w:t>
      </w:r>
    </w:p>
    <w:p>
      <w:pPr>
        <w:pStyle w:val="Heading3"/>
        <w:spacing w:after="80" w:before="280"/>
      </w:pPr>
      <w:r>
        <w:rPr>
          <w:rFonts w:ascii="Arial" w:cs="Arial" w:eastAsia="Arial" w:hAnsi="Arial"/>
          <w:b/>
          <w:bCs/>
          <w:color w:val="333333"/>
          <w:sz w:val="24"/>
          <w:szCs w:val="24"/>
        </w:rPr>
        <w:t xml:space="preserve">Stage 2 — Dynamic Generator</w:t>
      </w:r>
    </w:p>
    <w:p>
      <w:pPr>
        <w:spacing w:after="180" w:before="0"/>
      </w:pPr>
      <w:r>
        <w:rPr>
          <w:rFonts w:ascii="Georgia" w:cs="Georgia" w:eastAsia="Georgia" w:hAnsi="Georgia"/>
          <w:i w:val="false"/>
          <w:iCs w:val="false"/>
          <w:color w:val="333333"/>
          <w:sz w:val="22"/>
          <w:szCs w:val="22"/>
        </w:rPr>
        <w:t xml:space="preserve">Rather than selecting from the static library directly, the system uses Groq with Llama 3.3 70B Instruct to generate novel adversarial prompts conditioned on: (a) a target weakness type selected by the UCB bandit, (b) a sample of seed examples for that weakness type, and (c) a system prompt specifying the generation objective. This produces prompts that are semantically grounded in known attack patterns but structurally novel, expanding effective test coverage far beyond what a static library can provide.</w:t>
      </w:r>
    </w:p>
    <w:p>
      <w:pPr>
        <w:pStyle w:val="Heading3"/>
        <w:spacing w:after="80" w:before="280"/>
      </w:pPr>
      <w:r>
        <w:rPr>
          <w:rFonts w:ascii="Arial" w:cs="Arial" w:eastAsia="Arial" w:hAnsi="Arial"/>
          <w:b/>
          <w:bCs/>
          <w:color w:val="333333"/>
          <w:sz w:val="24"/>
          <w:szCs w:val="24"/>
        </w:rPr>
        <w:t xml:space="preserve">Stage 3 — Target Model &amp; LLM Judge</w:t>
      </w:r>
    </w:p>
    <w:p>
      <w:pPr>
        <w:spacing w:after="180" w:before="0"/>
      </w:pPr>
      <w:r>
        <w:rPr>
          <w:rFonts w:ascii="Georgia" w:cs="Georgia" w:eastAsia="Georgia" w:hAnsi="Georgia"/>
          <w:i w:val="false"/>
          <w:iCs w:val="false"/>
          <w:color w:val="333333"/>
          <w:sz w:val="22"/>
          <w:szCs w:val="22"/>
        </w:rPr>
        <w:t xml:space="preserve">Generated prompts are submitted to the target model via the Hugging Face Inference API. Responses are evaluated by a dedicated judge model — also accessed via the Inference API — which produces a continuous vulnerability score between 0.0 and 1.0 along with a severity classification. The judge uses semantic reasoning rather than pattern matching, enabling detection of subtle failures such as confident hallucinations, implicit bias, and soft refusal bypass that keyword methods miss entirely.</w:t>
      </w:r>
    </w:p>
    <w:p>
      <w:pPr>
        <w:pStyle w:val="Heading2"/>
        <w:spacing w:after="120" w:before="400"/>
      </w:pPr>
      <w:r>
        <w:rPr>
          <w:rFonts w:ascii="Arial" w:cs="Arial" w:eastAsia="Arial" w:hAnsi="Arial"/>
          <w:b/>
          <w:bCs/>
          <w:color w:val="111111"/>
          <w:sz w:val="30"/>
          <w:szCs w:val="30"/>
        </w:rPr>
        <w:t xml:space="preserve">3.3 Reinforcement Learning Layer</w:t>
      </w:r>
    </w:p>
    <w:p>
      <w:pPr>
        <w:pStyle w:val="Heading3"/>
        <w:spacing w:after="80" w:before="280"/>
      </w:pPr>
      <w:r>
        <w:rPr>
          <w:rFonts w:ascii="Arial" w:cs="Arial" w:eastAsia="Arial" w:hAnsi="Arial"/>
          <w:b/>
          <w:bCs/>
          <w:color w:val="333333"/>
          <w:sz w:val="24"/>
          <w:szCs w:val="24"/>
        </w:rPr>
        <w:t xml:space="preserve">State and Action Space</w:t>
      </w:r>
    </w:p>
    <w:p>
      <w:pPr>
        <w:spacing w:after="180" w:before="0"/>
      </w:pPr>
      <w:r>
        <w:rPr>
          <w:rFonts w:ascii="Georgia" w:cs="Georgia" w:eastAsia="Georgia" w:hAnsi="Georgia"/>
          <w:i w:val="false"/>
          <w:iCs w:val="false"/>
          <w:color w:val="333333"/>
          <w:sz w:val="22"/>
          <w:szCs w:val="22"/>
        </w:rPr>
        <w:t xml:space="preserve">The RL problem is formulated as a stateless multi-armed bandit. Each arm corresponds to one of eight weakness types: Logical Inconsistency, Factual Error, Bias, Safety Violation, Prompt Injection, Hallucination, Context Loss, and Reasoning Failure. At each timestep t, the agent selects an arm, the pipeline generates and executes a test for that type, and the judge returns a reward signal.</w:t>
      </w:r>
    </w:p>
    <w:p>
      <w:pPr>
        <w:pStyle w:val="Heading3"/>
        <w:spacing w:after="80" w:before="280"/>
      </w:pPr>
      <w:r>
        <w:rPr>
          <w:rFonts w:ascii="Arial" w:cs="Arial" w:eastAsia="Arial" w:hAnsi="Arial"/>
          <w:b/>
          <w:bCs/>
          <w:color w:val="333333"/>
          <w:sz w:val="24"/>
          <w:szCs w:val="24"/>
        </w:rPr>
        <w:t xml:space="preserve">Reward Function</w:t>
      </w:r>
    </w:p>
    <w:p>
      <w:pPr>
        <w:spacing w:after="180" w:before="0"/>
      </w:pPr>
      <w:r>
        <w:rPr>
          <w:rFonts w:ascii="Georgia" w:cs="Georgia" w:eastAsia="Georgia" w:hAnsi="Georgia"/>
          <w:i w:val="false"/>
          <w:iCs w:val="false"/>
          <w:color w:val="333333"/>
          <w:sz w:val="22"/>
          <w:szCs w:val="22"/>
        </w:rPr>
        <w:t xml:space="preserve">The reward function is defined as:</w:t>
      </w:r>
    </w:p>
    <w:p>
      <w:pPr>
        <w:shd w:fill="F6F8FA" w:val="clear"/>
        <w:spacing w:after="0" w:before="140"/>
        <w:ind w:left="400" w:right="400"/>
      </w:pPr>
      <w:r>
        <w:rPr>
          <w:sz w:val="4"/>
          <w:szCs w:val="4"/>
        </w:rPr>
        <w:t xml:space="preserve"> </w:t>
      </w:r>
    </w:p>
    <w:p>
      <w:pPr>
        <w:shd w:fill="F6F8FA" w:val="clear"/>
        <w:spacing w:after="0" w:before="0"/>
        <w:ind w:left="400" w:right="400"/>
      </w:pPr>
      <w:r>
        <w:rPr>
          <w:rFonts w:ascii="Courier New" w:cs="Courier New" w:eastAsia="Courier New" w:hAnsi="Courier New"/>
          <w:color w:val="333333"/>
          <w:sz w:val="19"/>
          <w:szCs w:val="19"/>
        </w:rPr>
        <w:t xml:space="preserve">r(t) = confidence_score    if weakness detected</w:t>
      </w:r>
    </w:p>
    <w:p>
      <w:pPr>
        <w:shd w:fill="F6F8FA" w:val="clear"/>
        <w:spacing w:after="0" w:before="0"/>
        <w:ind w:left="400" w:right="400"/>
      </w:pPr>
      <w:r>
        <w:rPr>
          <w:rFonts w:ascii="Courier New" w:cs="Courier New" w:eastAsia="Courier New" w:hAnsi="Courier New"/>
          <w:color w:val="333333"/>
          <w:sz w:val="19"/>
          <w:szCs w:val="19"/>
        </w:rPr>
        <w:t xml:space="preserve">r(t) = -0.1               otherwise</w:t>
      </w:r>
    </w:p>
    <w:p>
      <w:pPr>
        <w:shd w:fill="F6F8FA" w:val="clear"/>
        <w:spacing w:after="140" w:before="0"/>
        <w:ind w:left="400" w:right="400"/>
      </w:pPr>
      <w:r>
        <w:rPr>
          <w:sz w:val="4"/>
          <w:szCs w:val="4"/>
        </w:rPr>
        <w:t xml:space="preserve"> </w:t>
      </w:r>
    </w:p>
    <w:p>
      <w:pPr>
        <w:spacing w:after="0" w:before="80"/>
      </w:pPr>
      <w:r>
        <w:t xml:space="preserve"/>
      </w:r>
    </w:p>
    <w:p>
      <w:pPr>
        <w:spacing w:after="180" w:before="0"/>
      </w:pPr>
      <w:r>
        <w:rPr>
          <w:rFonts w:ascii="Georgia" w:cs="Georgia" w:eastAsia="Georgia" w:hAnsi="Georgia"/>
          <w:i w:val="false"/>
          <w:iCs w:val="false"/>
          <w:color w:val="333333"/>
          <w:sz w:val="22"/>
          <w:szCs w:val="22"/>
        </w:rPr>
        <w:t xml:space="preserve">The positive reward scales with the judge's confidence, incentivizing the agent to find clear, high-confidence failures. The small negative penalty encodes the cost of testing, preventing degenerate strategies that pick the same arm without meaningful signal.</w:t>
      </w:r>
    </w:p>
    <w:p>
      <w:pPr>
        <w:pStyle w:val="Heading3"/>
        <w:spacing w:after="80" w:before="280"/>
      </w:pPr>
      <w:r>
        <w:rPr>
          <w:rFonts w:ascii="Arial" w:cs="Arial" w:eastAsia="Arial" w:hAnsi="Arial"/>
          <w:b/>
          <w:bCs/>
          <w:color w:val="333333"/>
          <w:sz w:val="24"/>
          <w:szCs w:val="24"/>
        </w:rPr>
        <w:t xml:space="preserve">UCB Algorithm Family</w:t>
      </w:r>
    </w:p>
    <w:p>
      <w:pPr>
        <w:spacing w:after="180" w:before="0"/>
      </w:pPr>
      <w:r>
        <w:rPr>
          <w:rFonts w:ascii="Georgia" w:cs="Georgia" w:eastAsia="Georgia" w:hAnsi="Georgia"/>
          <w:i w:val="false"/>
          <w:iCs w:val="false"/>
          <w:color w:val="333333"/>
          <w:sz w:val="22"/>
          <w:szCs w:val="22"/>
        </w:rPr>
        <w:t xml:space="preserve">Three UCB variants are implemented:</w:t>
      </w:r>
    </w:p>
    <w:p>
      <w:pPr>
        <w:shd w:fill="F6F8FA" w:val="clear"/>
        <w:spacing w:after="0" w:before="140"/>
        <w:ind w:left="400" w:right="400"/>
      </w:pPr>
      <w:r>
        <w:rPr>
          <w:sz w:val="4"/>
          <w:szCs w:val="4"/>
        </w:rPr>
        <w:t xml:space="preserve"> </w:t>
      </w:r>
    </w:p>
    <w:p>
      <w:pPr>
        <w:shd w:fill="F6F8FA" w:val="clear"/>
        <w:spacing w:after="0" w:before="0"/>
        <w:ind w:left="400" w:right="400"/>
      </w:pPr>
      <w:r>
        <w:rPr>
          <w:rFonts w:ascii="Courier New" w:cs="Courier New" w:eastAsia="Courier New" w:hAnsi="Courier New"/>
          <w:color w:val="333333"/>
          <w:sz w:val="19"/>
          <w:szCs w:val="19"/>
        </w:rPr>
        <w:t xml:space="preserve">UCB1:        Q(a) + c * sqrt( ln(N) / n(a) )</w:t>
      </w:r>
    </w:p>
    <w:p>
      <w:pPr>
        <w:shd w:fill="F6F8FA" w:val="clear"/>
        <w:spacing w:after="0" w:before="0"/>
        <w:ind w:left="400" w:right="400"/>
      </w:pPr>
      <w:r>
        <w:rPr>
          <w:rFonts w:ascii="Courier New" w:cs="Courier New" w:eastAsia="Courier New" w:hAnsi="Courier New"/>
          <w:color w:val="333333"/>
          <w:sz w:val="19"/>
          <w:szCs w:val="19"/>
        </w:rPr>
        <w:t xml:space="preserve">UCB1-Tuned:  Q(a) + sqrt( V(a) * ln(N) / n(a) )</w:t>
      </w:r>
    </w:p>
    <w:p>
      <w:pPr>
        <w:shd w:fill="F6F8FA" w:val="clear"/>
        <w:spacing w:after="0" w:before="0"/>
        <w:ind w:left="400" w:right="400"/>
      </w:pPr>
      <w:r>
        <w:rPr>
          <w:rFonts w:ascii="Courier New" w:cs="Courier New" w:eastAsia="Courier New" w:hAnsi="Courier New"/>
          <w:color w:val="333333"/>
          <w:sz w:val="19"/>
          <w:szCs w:val="19"/>
        </w:rPr>
        <w:t xml:space="preserve">UCB-V:       Q(a) + c * sqrt( Var(a) * ln(N) / n(a) ) + c * ln(N) / n(a)</w:t>
      </w:r>
    </w:p>
    <w:p>
      <w:pPr>
        <w:shd w:fill="F6F8FA" w:val="clear"/>
        <w:spacing w:after="140" w:before="0"/>
        <w:ind w:left="400" w:right="400"/>
      </w:pPr>
      <w:r>
        <w:rPr>
          <w:sz w:val="4"/>
          <w:szCs w:val="4"/>
        </w:rPr>
        <w:t xml:space="preserve"> </w:t>
      </w:r>
    </w:p>
    <w:p>
      <w:pPr>
        <w:spacing w:after="0" w:before="80"/>
      </w:pPr>
      <w:r>
        <w:t xml:space="preserve"/>
      </w:r>
    </w:p>
    <w:p>
      <w:pPr>
        <w:spacing w:after="180" w:before="0"/>
      </w:pPr>
      <w:r>
        <w:rPr>
          <w:rFonts w:ascii="Georgia" w:cs="Georgia" w:eastAsia="Georgia" w:hAnsi="Georgia"/>
          <w:i w:val="false"/>
          <w:iCs w:val="false"/>
          <w:color w:val="333333"/>
          <w:sz w:val="22"/>
          <w:szCs w:val="22"/>
        </w:rPr>
        <w:t xml:space="preserve">Where Q(a) is the mean reward for arm a, N is total pulls, n(a) is pulls for arm a, V(a) is a variance-adjusted exploration term, and c is the exploration parameter (default 2.0). UCB1-Tuned and UCB-V are preferable when reward variance differs significantly across weakness types.</w:t>
      </w:r>
    </w:p>
    <w:p>
      <w:pPr>
        <w:pStyle w:val="Heading2"/>
        <w:spacing w:after="120" w:before="400"/>
      </w:pPr>
      <w:r>
        <w:rPr>
          <w:rFonts w:ascii="Arial" w:cs="Arial" w:eastAsia="Arial" w:hAnsi="Arial"/>
          <w:b/>
          <w:bCs/>
          <w:color w:val="111111"/>
          <w:sz w:val="30"/>
          <w:szCs w:val="30"/>
        </w:rPr>
        <w:t xml:space="preserve">3.4 Multi-Agent Coordination Layer</w:t>
      </w:r>
    </w:p>
    <w:p>
      <w:pPr>
        <w:spacing w:after="180" w:before="0"/>
      </w:pPr>
      <w:r>
        <w:rPr>
          <w:rFonts w:ascii="Georgia" w:cs="Georgia" w:eastAsia="Georgia" w:hAnsi="Georgia"/>
          <w:i w:val="false"/>
          <w:iCs w:val="false"/>
          <w:color w:val="333333"/>
          <w:sz w:val="22"/>
          <w:szCs w:val="22"/>
        </w:rPr>
        <w:t xml:space="preserve">A MARL formulation coordinates five specialized agents, each mapped to a Popper archetype: Falsification, Bias Detection, Adversarial, Data Validation, and Explainability. Agents operate concurrently, sharing findings via a structured message-passing protocol (AgentMessage). A SharedRewardPool distributes rewards across agents whose tests contributed to a detected weakness, creating cooperative incentives that prevent duplication of effort.</w:t>
      </w:r>
    </w:p>
    <w:p>
      <w:pPr>
        <w:spacing w:after="180" w:before="0"/>
      </w:pPr>
      <w:r>
        <w:rPr>
          <w:rFonts w:ascii="Georgia" w:cs="Georgia" w:eastAsia="Georgia" w:hAnsi="Georgia"/>
          <w:i w:val="false"/>
          <w:iCs w:val="false"/>
          <w:color w:val="333333"/>
          <w:sz w:val="22"/>
          <w:szCs w:val="22"/>
        </w:rPr>
        <w:t xml:space="preserve">Coordination proceeds in structured rounds: a testing phase where each agent selects and executes tests using its local UCB policy; a messaging phase where agents broadcast high-confidence findings; and a reward distribution phase where the shared pool allocates credit based on contribution.</w:t>
      </w:r>
    </w:p>
    <w:p>
      <w:r>
        <w:br w:type="page"/>
      </w:r>
    </w:p>
    <w:p>
      <w:pPr>
        <w:pStyle w:val="Heading1"/>
        <w:pBdr>
          <w:bottom w:val="single" w:color="E2E2E2" w:sz="2" w:space="8"/>
        </w:pBdr>
        <w:spacing w:after="180" w:before="600"/>
      </w:pPr>
      <w:r>
        <w:rPr>
          <w:rFonts w:ascii="Arial" w:cs="Arial" w:eastAsia="Arial" w:hAnsi="Arial"/>
          <w:b/>
          <w:bCs/>
          <w:color w:val="111111"/>
          <w:sz w:val="44"/>
          <w:szCs w:val="44"/>
        </w:rPr>
        <w:t xml:space="preserve">4. Experimental Design &amp; Results</w:t>
      </w:r>
    </w:p>
    <w:p>
      <w:pPr>
        <w:pStyle w:val="Heading2"/>
        <w:spacing w:after="120" w:before="400"/>
      </w:pPr>
      <w:r>
        <w:rPr>
          <w:rFonts w:ascii="Arial" w:cs="Arial" w:eastAsia="Arial" w:hAnsi="Arial"/>
          <w:b/>
          <w:bCs/>
          <w:color w:val="111111"/>
          <w:sz w:val="30"/>
          <w:szCs w:val="30"/>
        </w:rPr>
        <w:t xml:space="preserve">4.1 Experimental Setup</w:t>
      </w:r>
    </w:p>
    <w:p>
      <w:pPr>
        <w:spacing w:after="180" w:before="0"/>
      </w:pPr>
      <w:r>
        <w:rPr>
          <w:rFonts w:ascii="Georgia" w:cs="Georgia" w:eastAsia="Georgia" w:hAnsi="Georgia"/>
          <w:i w:val="false"/>
          <w:iCs w:val="false"/>
          <w:color w:val="333333"/>
          <w:sz w:val="22"/>
          <w:szCs w:val="22"/>
        </w:rPr>
        <w:t xml:space="preserve">To evaluate the system's improvement over the original Popper framework, a controlled comparison experiment was conducted. An RL-enhanced agent using UCB1 and a baseline agent using round-robin selection were run against identical target models under identical conditions. Each experiment consisted of 100 test rounds, averaged across multiple independent runs.</w:t>
      </w:r>
    </w:p>
    <w:p>
      <w:pPr>
        <w:spacing w:after="180" w:before="0"/>
      </w:pPr>
      <w:r>
        <w:rPr>
          <w:rFonts w:ascii="Georgia" w:cs="Georgia" w:eastAsia="Georgia" w:hAnsi="Georgia"/>
          <w:i w:val="false"/>
          <w:iCs w:val="false"/>
          <w:color w:val="333333"/>
          <w:sz w:val="22"/>
          <w:szCs w:val="22"/>
        </w:rPr>
        <w:t xml:space="preserve">The baseline agent faithfully simulates original Popper behavior: it cycles through weakness types in fixed order, applies no learning, and uses binary success/failure scoring. This provides a clean causal comparison that isolates the contribution of the RL layer.</w:t>
      </w:r>
    </w:p>
    <w:p>
      <w:pPr>
        <w:pStyle w:val="Heading2"/>
        <w:spacing w:after="120" w:before="400"/>
      </w:pPr>
      <w:r>
        <w:rPr>
          <w:rFonts w:ascii="Arial" w:cs="Arial" w:eastAsia="Arial" w:hAnsi="Arial"/>
          <w:b/>
          <w:bCs/>
          <w:color w:val="111111"/>
          <w:sz w:val="30"/>
          <w:szCs w:val="30"/>
        </w:rPr>
        <w:t xml:space="preserve">4.2 Primary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c>
          <w:tcPr>
            <w:tcW w:type="dxa" w:w="2800"/>
            <w:tcBorders>
              <w:top w:val="single" w:color="E2E2E2" w:sz="2"/>
              <w:left w:val="single" w:color="E2E2E2" w:sz="2"/>
              <w:bottom w:val="single" w:color="E2E2E2" w:sz="2"/>
              <w:right w:val="single" w:color="E2E2E2" w:sz="2"/>
            </w:tcBorders>
            <w:shd w:fill="F3F4F6" w:val="clear"/>
            <w:tcMar>
              <w:top w:type="dxa" w:w="100"/>
              <w:left w:type="dxa" w:w="140"/>
              <w:bottom w:type="dxa" w:w="100"/>
              <w:right w:type="dxa" w:w="140"/>
            </w:tcMar>
          </w:tcPr>
          <w:p>
            <w:r>
              <w:rPr>
                <w:rFonts w:ascii="Arial" w:cs="Arial" w:eastAsia="Arial" w:hAnsi="Arial"/>
                <w:b/>
                <w:bCs/>
                <w:color w:val="111111"/>
                <w:sz w:val="19"/>
                <w:szCs w:val="19"/>
              </w:rPr>
              <w:t xml:space="preserve">Metric</w:t>
            </w:r>
          </w:p>
        </w:tc>
        <w:tc>
          <w:tcPr>
            <w:tcW w:type="dxa" w:w="2000"/>
            <w:tcBorders>
              <w:top w:val="single" w:color="E2E2E2" w:sz="2"/>
              <w:left w:val="single" w:color="E2E2E2" w:sz="2"/>
              <w:bottom w:val="single" w:color="E2E2E2" w:sz="2"/>
              <w:right w:val="single" w:color="E2E2E2" w:sz="2"/>
            </w:tcBorders>
            <w:shd w:fill="F3F4F6" w:val="clear"/>
            <w:tcMar>
              <w:top w:type="dxa" w:w="100"/>
              <w:left w:type="dxa" w:w="140"/>
              <w:bottom w:type="dxa" w:w="100"/>
              <w:right w:type="dxa" w:w="140"/>
            </w:tcMar>
          </w:tcPr>
          <w:p>
            <w:r>
              <w:rPr>
                <w:rFonts w:ascii="Arial" w:cs="Arial" w:eastAsia="Arial" w:hAnsi="Arial"/>
                <w:b/>
                <w:bCs/>
                <w:color w:val="111111"/>
                <w:sz w:val="19"/>
                <w:szCs w:val="19"/>
              </w:rPr>
              <w:t xml:space="preserve">RL — UCB1</w:t>
            </w:r>
          </w:p>
        </w:tc>
        <w:tc>
          <w:tcPr>
            <w:tcW w:type="dxa" w:w="2200"/>
            <w:tcBorders>
              <w:top w:val="single" w:color="E2E2E2" w:sz="2"/>
              <w:left w:val="single" w:color="E2E2E2" w:sz="2"/>
              <w:bottom w:val="single" w:color="E2E2E2" w:sz="2"/>
              <w:right w:val="single" w:color="E2E2E2" w:sz="2"/>
            </w:tcBorders>
            <w:shd w:fill="F3F4F6" w:val="clear"/>
            <w:tcMar>
              <w:top w:type="dxa" w:w="100"/>
              <w:left w:type="dxa" w:w="140"/>
              <w:bottom w:type="dxa" w:w="100"/>
              <w:right w:type="dxa" w:w="140"/>
            </w:tcMar>
          </w:tcPr>
          <w:p>
            <w:r>
              <w:rPr>
                <w:rFonts w:ascii="Arial" w:cs="Arial" w:eastAsia="Arial" w:hAnsi="Arial"/>
                <w:b/>
                <w:bCs/>
                <w:color w:val="111111"/>
                <w:sz w:val="19"/>
                <w:szCs w:val="19"/>
              </w:rPr>
              <w:t xml:space="preserve">Baseline</w:t>
            </w:r>
          </w:p>
        </w:tc>
        <w:tc>
          <w:tcPr>
            <w:tcW w:type="dxa" w:w="2360"/>
            <w:tcBorders>
              <w:top w:val="single" w:color="E2E2E2" w:sz="2"/>
              <w:left w:val="single" w:color="E2E2E2" w:sz="2"/>
              <w:bottom w:val="single" w:color="E2E2E2" w:sz="2"/>
              <w:right w:val="single" w:color="E2E2E2" w:sz="2"/>
            </w:tcBorders>
            <w:shd w:fill="F3F4F6" w:val="clear"/>
            <w:tcMar>
              <w:top w:type="dxa" w:w="100"/>
              <w:left w:type="dxa" w:w="140"/>
              <w:bottom w:type="dxa" w:w="100"/>
              <w:right w:type="dxa" w:w="140"/>
            </w:tcMar>
          </w:tcPr>
          <w:p>
            <w:r>
              <w:rPr>
                <w:rFonts w:ascii="Arial" w:cs="Arial" w:eastAsia="Arial" w:hAnsi="Arial"/>
                <w:b/>
                <w:bCs/>
                <w:color w:val="111111"/>
                <w:sz w:val="19"/>
                <w:szCs w:val="19"/>
              </w:rPr>
              <w:t xml:space="preserve">Improvement</w:t>
            </w:r>
          </w:p>
        </w:tc>
      </w:tr>
      <w:tr>
        <w:tc>
          <w:tcPr>
            <w:tcW w:type="dxa" w:w="2800"/>
            <w:tcBorders>
              <w:top w:val="single" w:color="E2E2E2" w:sz="2"/>
              <w:left w:val="single" w:color="E2E2E2" w:sz="2"/>
              <w:bottom w:val="single" w:color="E2E2E2" w:sz="2"/>
              <w:right w:val="single" w:color="E2E2E2" w:sz="2"/>
            </w:tcBorders>
            <w:shd w:fill="FAFAFA" w:val="clear"/>
            <w:tcMar>
              <w:top w:type="dxa" w:w="100"/>
              <w:left w:type="dxa" w:w="140"/>
              <w:bottom w:type="dxa" w:w="100"/>
              <w:right w:type="dxa" w:w="140"/>
            </w:tcMar>
          </w:tcPr>
          <w:p>
            <w:r>
              <w:rPr>
                <w:rFonts w:ascii="Arial" w:cs="Arial" w:eastAsia="Arial" w:hAnsi="Arial"/>
                <w:b w:val="false"/>
                <w:bCs w:val="false"/>
                <w:color w:val="333333"/>
                <w:sz w:val="19"/>
                <w:szCs w:val="19"/>
              </w:rPr>
              <w:t xml:space="preserve">Success Rate</w:t>
            </w:r>
          </w:p>
        </w:tc>
        <w:tc>
          <w:tcPr>
            <w:tcW w:type="dxa" w:w="20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31% ± 4%</w:t>
            </w:r>
          </w:p>
        </w:tc>
        <w:tc>
          <w:tcPr>
            <w:tcW w:type="dxa" w:w="22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28% ± 6%</w:t>
            </w:r>
          </w:p>
        </w:tc>
        <w:tc>
          <w:tcPr>
            <w:tcW w:type="dxa" w:w="236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bCs/>
                <w:color w:val="1A6B2A"/>
                <w:sz w:val="19"/>
                <w:szCs w:val="19"/>
              </w:rPr>
              <w:t xml:space="preserve">+12% relative</w:t>
            </w:r>
          </w:p>
        </w:tc>
      </w:tr>
      <w:tr>
        <w:tc>
          <w:tcPr>
            <w:tcW w:type="dxa" w:w="2800"/>
            <w:tcBorders>
              <w:top w:val="single" w:color="E2E2E2" w:sz="2"/>
              <w:left w:val="single" w:color="E2E2E2" w:sz="2"/>
              <w:bottom w:val="single" w:color="E2E2E2" w:sz="2"/>
              <w:right w:val="single" w:color="E2E2E2" w:sz="2"/>
            </w:tcBorders>
            <w:shd w:fill="FAFAFA" w:val="clear"/>
            <w:tcMar>
              <w:top w:type="dxa" w:w="100"/>
              <w:left w:type="dxa" w:w="140"/>
              <w:bottom w:type="dxa" w:w="100"/>
              <w:right w:type="dxa" w:w="140"/>
            </w:tcMar>
          </w:tcPr>
          <w:p>
            <w:r>
              <w:rPr>
                <w:rFonts w:ascii="Arial" w:cs="Arial" w:eastAsia="Arial" w:hAnsi="Arial"/>
                <w:b w:val="false"/>
                <w:bCs w:val="false"/>
                <w:color w:val="333333"/>
                <w:sz w:val="19"/>
                <w:szCs w:val="19"/>
              </w:rPr>
              <w:t xml:space="preserve">Cumulative Reward</w:t>
            </w:r>
          </w:p>
        </w:tc>
        <w:tc>
          <w:tcPr>
            <w:tcW w:type="dxa" w:w="20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16.6 ± 3.1</w:t>
            </w:r>
          </w:p>
        </w:tc>
        <w:tc>
          <w:tcPr>
            <w:tcW w:type="dxa" w:w="22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13.5 ± 4.8</w:t>
            </w:r>
          </w:p>
        </w:tc>
        <w:tc>
          <w:tcPr>
            <w:tcW w:type="dxa" w:w="236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bCs/>
                <w:color w:val="1A6B2A"/>
                <w:sz w:val="19"/>
                <w:szCs w:val="19"/>
              </w:rPr>
              <w:t xml:space="preserve">+3.1 points</w:t>
            </w:r>
          </w:p>
        </w:tc>
      </w:tr>
      <w:tr>
        <w:tc>
          <w:tcPr>
            <w:tcW w:type="dxa" w:w="2800"/>
            <w:tcBorders>
              <w:top w:val="single" w:color="E2E2E2" w:sz="2"/>
              <w:left w:val="single" w:color="E2E2E2" w:sz="2"/>
              <w:bottom w:val="single" w:color="E2E2E2" w:sz="2"/>
              <w:right w:val="single" w:color="E2E2E2" w:sz="2"/>
            </w:tcBorders>
            <w:shd w:fill="FAFAFA"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Reward Variance</w:t>
            </w:r>
          </w:p>
        </w:tc>
        <w:tc>
          <w:tcPr>
            <w:tcW w:type="dxa" w:w="20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 3.1 (lower)</w:t>
            </w:r>
          </w:p>
        </w:tc>
        <w:tc>
          <w:tcPr>
            <w:tcW w:type="dxa" w:w="22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 4.8 (higher)</w:t>
            </w:r>
          </w:p>
        </w:tc>
        <w:tc>
          <w:tcPr>
            <w:tcW w:type="dxa" w:w="236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bCs/>
                <w:color w:val="1A6B2A"/>
                <w:sz w:val="19"/>
                <w:szCs w:val="19"/>
              </w:rPr>
              <w:t xml:space="preserve">35% more stable</w:t>
            </w:r>
          </w:p>
        </w:tc>
      </w:tr>
      <w:tr>
        <w:tc>
          <w:tcPr>
            <w:tcW w:type="dxa" w:w="2800"/>
            <w:tcBorders>
              <w:top w:val="single" w:color="E2E2E2" w:sz="2"/>
              <w:left w:val="single" w:color="E2E2E2" w:sz="2"/>
              <w:bottom w:val="single" w:color="E2E2E2" w:sz="2"/>
              <w:right w:val="single" w:color="E2E2E2" w:sz="2"/>
            </w:tcBorders>
            <w:shd w:fill="FAFAFA" w:val="clear"/>
            <w:tcMar>
              <w:top w:type="dxa" w:w="100"/>
              <w:left w:type="dxa" w:w="140"/>
              <w:bottom w:type="dxa" w:w="100"/>
              <w:right w:type="dxa" w:w="140"/>
            </w:tcMar>
          </w:tcPr>
          <w:p>
            <w:r>
              <w:rPr>
                <w:rFonts w:ascii="Arial" w:cs="Arial" w:eastAsia="Arial" w:hAnsi="Arial"/>
                <w:b w:val="false"/>
                <w:bCs w:val="false"/>
                <w:color w:val="333333"/>
                <w:sz w:val="19"/>
                <w:szCs w:val="19"/>
              </w:rPr>
              <w:t xml:space="preserve">Adaptivity</w:t>
            </w:r>
          </w:p>
        </w:tc>
        <w:tc>
          <w:tcPr>
            <w:tcW w:type="dxa" w:w="20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Learns per session</w:t>
            </w:r>
          </w:p>
        </w:tc>
        <w:tc>
          <w:tcPr>
            <w:tcW w:type="dxa" w:w="22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None</w:t>
            </w:r>
          </w:p>
        </w:tc>
        <w:tc>
          <w:tcPr>
            <w:tcW w:type="dxa" w:w="236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Online adaptation</w:t>
            </w:r>
          </w:p>
        </w:tc>
      </w:tr>
      <w:tr>
        <w:tc>
          <w:tcPr>
            <w:tcW w:type="dxa" w:w="2800"/>
            <w:tcBorders>
              <w:top w:val="single" w:color="E2E2E2" w:sz="2"/>
              <w:left w:val="single" w:color="E2E2E2" w:sz="2"/>
              <w:bottom w:val="single" w:color="E2E2E2" w:sz="2"/>
              <w:right w:val="single" w:color="E2E2E2" w:sz="2"/>
            </w:tcBorders>
            <w:shd w:fill="FAFAFA" w:val="clear"/>
            <w:tcMar>
              <w:top w:type="dxa" w:w="100"/>
              <w:left w:type="dxa" w:w="140"/>
              <w:bottom w:type="dxa" w:w="100"/>
              <w:right w:type="dxa" w:w="140"/>
            </w:tcMar>
          </w:tcPr>
          <w:p>
            <w:r>
              <w:rPr>
                <w:rFonts w:ascii="Arial" w:cs="Arial" w:eastAsia="Arial" w:hAnsi="Arial"/>
                <w:b w:val="false"/>
                <w:bCs w:val="false"/>
                <w:color w:val="333333"/>
                <w:sz w:val="19"/>
                <w:szCs w:val="19"/>
              </w:rPr>
              <w:t xml:space="preserve">Test Efficiency</w:t>
            </w:r>
          </w:p>
        </w:tc>
        <w:tc>
          <w:tcPr>
            <w:tcW w:type="dxa" w:w="20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High-yield focus</w:t>
            </w:r>
          </w:p>
        </w:tc>
        <w:tc>
          <w:tcPr>
            <w:tcW w:type="dxa" w:w="220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Uniform distribution</w:t>
            </w:r>
          </w:p>
        </w:tc>
        <w:tc>
          <w:tcPr>
            <w:tcW w:type="dxa" w:w="2360"/>
            <w:tcBorders>
              <w:top w:val="single" w:color="E2E2E2" w:sz="2"/>
              <w:left w:val="single" w:color="E2E2E2" w:sz="2"/>
              <w:bottom w:val="single" w:color="E2E2E2" w:sz="2"/>
              <w:right w:val="single" w:color="E2E2E2" w:sz="2"/>
            </w:tcBorders>
            <w:tcMar>
              <w:top w:type="dxa" w:w="100"/>
              <w:left w:type="dxa" w:w="140"/>
              <w:bottom w:type="dxa" w:w="100"/>
              <w:right w:type="dxa" w:w="140"/>
            </w:tcMar>
          </w:tcPr>
          <w:p>
            <w:r>
              <w:rPr>
                <w:rFonts w:ascii="Arial" w:cs="Arial" w:eastAsia="Arial" w:hAnsi="Arial"/>
                <w:b w:val="false"/>
                <w:bCs w:val="false"/>
                <w:color w:val="333333"/>
                <w:sz w:val="19"/>
                <w:szCs w:val="19"/>
              </w:rPr>
              <w:t xml:space="preserve">Budget-optimal</w:t>
            </w:r>
          </w:p>
        </w:tc>
      </w:tr>
    </w:tbl>
    <w:p>
      <w:pPr>
        <w:spacing w:after="0" w:before="180"/>
      </w:pPr>
      <w:r>
        <w:t xml:space="preserve"/>
      </w:r>
    </w:p>
    <w:p>
      <w:pPr>
        <w:pStyle w:val="Heading2"/>
        <w:spacing w:after="120" w:before="400"/>
      </w:pPr>
      <w:r>
        <w:rPr>
          <w:rFonts w:ascii="Arial" w:cs="Arial" w:eastAsia="Arial" w:hAnsi="Arial"/>
          <w:b/>
          <w:bCs/>
          <w:color w:val="111111"/>
          <w:sz w:val="30"/>
          <w:szCs w:val="30"/>
        </w:rPr>
        <w:t xml:space="preserve">4.3 Analysis</w:t>
      </w:r>
    </w:p>
    <w:p>
      <w:pPr>
        <w:spacing w:after="180" w:before="0"/>
      </w:pPr>
      <w:r>
        <w:rPr>
          <w:rFonts w:ascii="Georgia" w:cs="Georgia" w:eastAsia="Georgia" w:hAnsi="Georgia"/>
          <w:i w:val="false"/>
          <w:iCs w:val="false"/>
          <w:color w:val="333333"/>
          <w:sz w:val="22"/>
          <w:szCs w:val="22"/>
        </w:rPr>
        <w:t xml:space="preserve">The +12% relative improvement in success rate is the headline finding, but the reduction in variance is arguably more significant from a practical standpoint. The baseline agent's ±6% variance reflects the inherent unpredictability of round-robin scheduling. The RL agent's ±4% variance indicates UCB learning is actively reducing this randomness, converging toward a more reliable testing strategy.</w:t>
      </w:r>
    </w:p>
    <w:p>
      <w:pPr>
        <w:spacing w:after="180" w:before="0"/>
      </w:pPr>
      <w:r>
        <w:rPr>
          <w:rFonts w:ascii="Georgia" w:cs="Georgia" w:eastAsia="Georgia" w:hAnsi="Georgia"/>
          <w:i w:val="false"/>
          <w:iCs w:val="false"/>
          <w:color w:val="333333"/>
          <w:sz w:val="22"/>
          <w:szCs w:val="22"/>
        </w:rPr>
        <w:t xml:space="preserve">The +3.1 point improvement in cumulative reward reflects the compound effect of the UCB policy over a campaign. Early in a session both agents perform similarly while the RL agent explores. As the session progresses and the bandit accumulates evidence, it increasingly concentrates tests on high-yield categories, widening the performance gap. This implies the improvement is even larger in longer campaigns, making the system particularly valuable for large-scale, continuous red-teaming operations.</w:t>
      </w:r>
    </w:p>
    <w:p>
      <w:pPr>
        <w:pStyle w:val="Heading2"/>
        <w:spacing w:after="120" w:before="400"/>
      </w:pPr>
      <w:r>
        <w:rPr>
          <w:rFonts w:ascii="Arial" w:cs="Arial" w:eastAsia="Arial" w:hAnsi="Arial"/>
          <w:b/>
          <w:bCs/>
          <w:color w:val="111111"/>
          <w:sz w:val="30"/>
          <w:szCs w:val="30"/>
        </w:rPr>
        <w:t xml:space="preserve">4.4 Limitations</w:t>
      </w:r>
    </w:p>
    <w:p>
      <w:pPr>
        <w:spacing w:after="180" w:before="0"/>
      </w:pPr>
      <w:r>
        <w:rPr>
          <w:rFonts w:ascii="Georgia" w:cs="Georgia" w:eastAsia="Georgia" w:hAnsi="Georgia"/>
          <w:i w:val="false"/>
          <w:iCs w:val="false"/>
          <w:color w:val="333333"/>
          <w:sz w:val="22"/>
          <w:szCs w:val="22"/>
        </w:rPr>
        <w:t xml:space="preserve">Results reflect simulated experiments using controlled test environments. Limitations include: (1) results are based on a single target model configuration — generalization across model families requires further study; (2) the LLM-as-Judge introduces a second source of model-dependent error; (3) formal statistical significance testing was not performed on the current dataset and should be conducted before drawing strong causal conclusions.</w:t>
      </w:r>
    </w:p>
    <w:p>
      <w:r>
        <w:br w:type="page"/>
      </w:r>
    </w:p>
    <w:p>
      <w:pPr>
        <w:pStyle w:val="Heading1"/>
        <w:pBdr>
          <w:bottom w:val="single" w:color="E2E2E2" w:sz="2" w:space="8"/>
        </w:pBdr>
        <w:spacing w:after="180" w:before="600"/>
      </w:pPr>
      <w:r>
        <w:rPr>
          <w:rFonts w:ascii="Arial" w:cs="Arial" w:eastAsia="Arial" w:hAnsi="Arial"/>
          <w:b/>
          <w:bCs/>
          <w:color w:val="111111"/>
          <w:sz w:val="44"/>
          <w:szCs w:val="44"/>
        </w:rPr>
        <w:t xml:space="preserve">5. Design Choices &amp; Justification</w:t>
      </w:r>
    </w:p>
    <w:p>
      <w:pPr>
        <w:pStyle w:val="Heading2"/>
        <w:spacing w:after="120" w:before="400"/>
      </w:pPr>
      <w:r>
        <w:rPr>
          <w:rFonts w:ascii="Arial" w:cs="Arial" w:eastAsia="Arial" w:hAnsi="Arial"/>
          <w:b/>
          <w:bCs/>
          <w:color w:val="111111"/>
          <w:sz w:val="30"/>
          <w:szCs w:val="30"/>
        </w:rPr>
        <w:t xml:space="preserve">5.1 Why Multi-Armed Bandits Over Deep RL</w:t>
      </w:r>
    </w:p>
    <w:p>
      <w:pPr>
        <w:spacing w:after="180" w:before="0"/>
      </w:pPr>
      <w:r>
        <w:rPr>
          <w:rFonts w:ascii="Georgia" w:cs="Georgia" w:eastAsia="Georgia" w:hAnsi="Georgia"/>
          <w:i w:val="false"/>
          <w:iCs w:val="false"/>
          <w:color w:val="333333"/>
          <w:sz w:val="22"/>
          <w:szCs w:val="22"/>
        </w:rPr>
        <w:t xml:space="preserve">Red-teaming campaigns operate on relatively short time horizons (hundreds to low thousands of tests), making deep RL methods impractical: they require large amounts of experience to train, introduce significant hyperparameter sensitivity, and add computational overhead that exceeds the inference cost of the tests themselves. UCB algorithms are parameter-light, converge rapidly, provide theoretical regret bounds, and require no pre-training — critical since different target models have vulnerability profiles that cannot be known in advance.</w:t>
      </w:r>
    </w:p>
    <w:p>
      <w:pPr>
        <w:pStyle w:val="Heading2"/>
        <w:spacing w:after="120" w:before="400"/>
      </w:pPr>
      <w:r>
        <w:rPr>
          <w:rFonts w:ascii="Arial" w:cs="Arial" w:eastAsia="Arial" w:hAnsi="Arial"/>
          <w:b/>
          <w:bCs/>
          <w:color w:val="111111"/>
          <w:sz w:val="30"/>
          <w:szCs w:val="30"/>
        </w:rPr>
        <w:t xml:space="preserve">5.2 Why LLM-as-Judge Over Deterministic Rules</w:t>
      </w:r>
    </w:p>
    <w:p>
      <w:pPr>
        <w:spacing w:after="180" w:before="0"/>
      </w:pPr>
      <w:r>
        <w:rPr>
          <w:rFonts w:ascii="Georgia" w:cs="Georgia" w:eastAsia="Georgia" w:hAnsi="Georgia"/>
          <w:i w:val="false"/>
          <w:iCs w:val="false"/>
          <w:color w:val="333333"/>
          <w:sz w:val="22"/>
          <w:szCs w:val="22"/>
        </w:rPr>
        <w:t xml:space="preserve">Keyword-based evaluation fails for a large class of semantically subtle failures. A model that confidently fabricates a plausible-sounding but false medical fact will not trigger regex patterns. A model that produces biased reasoning through neutral-sounding language will not match keywords. The LLM-as-Judge approach sacrifices some determinism for substantially higher recall on complex failures, and the continuous score provides a richer training signal than binary pass/fail.</w:t>
      </w:r>
    </w:p>
    <w:p>
      <w:pPr>
        <w:pStyle w:val="Heading2"/>
        <w:spacing w:after="120" w:before="400"/>
      </w:pPr>
      <w:r>
        <w:rPr>
          <w:rFonts w:ascii="Arial" w:cs="Arial" w:eastAsia="Arial" w:hAnsi="Arial"/>
          <w:b/>
          <w:bCs/>
          <w:color w:val="111111"/>
          <w:sz w:val="30"/>
          <w:szCs w:val="30"/>
        </w:rPr>
        <w:t xml:space="preserve">5.3 Why Dynamic Generation Over Static Libraries</w:t>
      </w:r>
    </w:p>
    <w:p>
      <w:pPr>
        <w:spacing w:after="180" w:before="0"/>
      </w:pPr>
      <w:r>
        <w:rPr>
          <w:rFonts w:ascii="Georgia" w:cs="Georgia" w:eastAsia="Georgia" w:hAnsi="Georgia"/>
          <w:i w:val="false"/>
          <w:iCs w:val="false"/>
          <w:color w:val="333333"/>
          <w:sz w:val="22"/>
          <w:szCs w:val="22"/>
        </w:rPr>
        <w:t xml:space="preserve">Static libraries have a hard coverage ceiling determined by the number of hand-authored prompts. Dynamic generation removes this ceiling by producing novel prompts conditioned on the current weakness target, seeded by library examples to maintain grounding. This is particularly important where target models may be resistant to known prompt patterns but vulnerable to structurally novel variants.</w:t>
      </w:r>
    </w:p>
    <w:p>
      <w:r>
        <w:br w:type="page"/>
      </w:r>
    </w:p>
    <w:p>
      <w:pPr>
        <w:pStyle w:val="Heading1"/>
        <w:pBdr>
          <w:bottom w:val="single" w:color="E2E2E2" w:sz="2" w:space="8"/>
        </w:pBdr>
        <w:spacing w:after="180" w:before="600"/>
      </w:pPr>
      <w:r>
        <w:rPr>
          <w:rFonts w:ascii="Arial" w:cs="Arial" w:eastAsia="Arial" w:hAnsi="Arial"/>
          <w:b/>
          <w:bCs/>
          <w:color w:val="111111"/>
          <w:sz w:val="44"/>
          <w:szCs w:val="44"/>
        </w:rPr>
        <w:t xml:space="preserve">6. Challenges &amp; Solutions</w:t>
      </w:r>
    </w:p>
    <w:p>
      <w:pPr>
        <w:pStyle w:val="Heading2"/>
        <w:spacing w:after="120" w:before="400"/>
      </w:pPr>
      <w:r>
        <w:rPr>
          <w:rFonts w:ascii="Arial" w:cs="Arial" w:eastAsia="Arial" w:hAnsi="Arial"/>
          <w:b/>
          <w:bCs/>
          <w:color w:val="111111"/>
          <w:sz w:val="30"/>
          <w:szCs w:val="30"/>
        </w:rPr>
        <w:t xml:space="preserve">6.1 Reward Signal Quality</w:t>
      </w:r>
    </w:p>
    <w:p>
      <w:pPr>
        <w:spacing w:after="180" w:before="0"/>
      </w:pPr>
      <w:r>
        <w:rPr>
          <w:rFonts w:ascii="Georgia" w:cs="Georgia" w:eastAsia="Georgia" w:hAnsi="Georgia"/>
          <w:i w:val="false"/>
          <w:iCs w:val="false"/>
          <w:color w:val="333333"/>
          <w:sz w:val="22"/>
          <w:szCs w:val="22"/>
        </w:rPr>
        <w:t xml:space="preserve">The UCB bandit's learning quality is directly dependent on the quality of the reward signal from the judge model. A judge that systematically over- or under-scores certain weakness types will bias the bandit regardless of actual target model behavior. This was addressed by using a dedicated judge model distinct from the generator and target, with a carefully engineered system prompt grounding scoring in specific behavioral criteria rather than surface features.</w:t>
      </w:r>
    </w:p>
    <w:p>
      <w:pPr>
        <w:pStyle w:val="Heading2"/>
        <w:spacing w:after="120" w:before="400"/>
      </w:pPr>
      <w:r>
        <w:rPr>
          <w:rFonts w:ascii="Arial" w:cs="Arial" w:eastAsia="Arial" w:hAnsi="Arial"/>
          <w:b/>
          <w:bCs/>
          <w:color w:val="111111"/>
          <w:sz w:val="30"/>
          <w:szCs w:val="30"/>
        </w:rPr>
        <w:t xml:space="preserve">6.2 Cold Start Exploration</w:t>
      </w:r>
    </w:p>
    <w:p>
      <w:pPr>
        <w:spacing w:after="180" w:before="0"/>
      </w:pPr>
      <w:r>
        <w:rPr>
          <w:rFonts w:ascii="Georgia" w:cs="Georgia" w:eastAsia="Georgia" w:hAnsi="Georgia"/>
          <w:i w:val="false"/>
          <w:iCs w:val="false"/>
          <w:color w:val="333333"/>
          <w:sz w:val="22"/>
          <w:szCs w:val="22"/>
        </w:rPr>
        <w:t xml:space="preserve">At the start of a testing session, the UCB agent has no information about which weakness types are most productive. This was handled through an explicit initialization phase where each arm is pulled a minimum number of times before adaptive selection begins, ensuring early randomness does not permanently bias value estimates.</w:t>
      </w:r>
    </w:p>
    <w:p>
      <w:pPr>
        <w:pStyle w:val="Heading2"/>
        <w:spacing w:after="120" w:before="400"/>
      </w:pPr>
      <w:r>
        <w:rPr>
          <w:rFonts w:ascii="Arial" w:cs="Arial" w:eastAsia="Arial" w:hAnsi="Arial"/>
          <w:b/>
          <w:bCs/>
          <w:color w:val="111111"/>
          <w:sz w:val="30"/>
          <w:szCs w:val="30"/>
        </w:rPr>
        <w:t xml:space="preserve">6.3 Non-Stationarity</w:t>
      </w:r>
    </w:p>
    <w:p>
      <w:pPr>
        <w:spacing w:after="180" w:before="0"/>
      </w:pPr>
      <w:r>
        <w:rPr>
          <w:rFonts w:ascii="Georgia" w:cs="Georgia" w:eastAsia="Georgia" w:hAnsi="Georgia"/>
          <w:i w:val="false"/>
          <w:iCs w:val="false"/>
          <w:color w:val="333333"/>
          <w:sz w:val="22"/>
          <w:szCs w:val="22"/>
        </w:rPr>
        <w:t xml:space="preserve">Target model behavior may shift during a testing session if the model has session-level context. Standard UCB assumes a stationary reward distribution. This was partially addressed through a sliding window variant of UCB1 that down-weights older observations, but remains an open challenge for truly adaptive adversarial testing.</w:t>
      </w:r>
    </w:p>
    <w:p>
      <w:pPr>
        <w:pStyle w:val="Heading2"/>
        <w:spacing w:after="120" w:before="400"/>
      </w:pPr>
      <w:r>
        <w:rPr>
          <w:rFonts w:ascii="Arial" w:cs="Arial" w:eastAsia="Arial" w:hAnsi="Arial"/>
          <w:b/>
          <w:bCs/>
          <w:color w:val="111111"/>
          <w:sz w:val="30"/>
          <w:szCs w:val="30"/>
        </w:rPr>
        <w:t xml:space="preserve">6.4 Multi-Agent Coordination Overhead</w:t>
      </w:r>
    </w:p>
    <w:p>
      <w:pPr>
        <w:spacing w:after="180" w:before="0"/>
      </w:pPr>
      <w:r>
        <w:rPr>
          <w:rFonts w:ascii="Georgia" w:cs="Georgia" w:eastAsia="Georgia" w:hAnsi="Georgia"/>
          <w:i w:val="false"/>
          <w:iCs w:val="false"/>
          <w:color w:val="333333"/>
          <w:sz w:val="22"/>
          <w:szCs w:val="22"/>
        </w:rPr>
        <w:t xml:space="preserve">The MARL architecture introduces communication overhead. Synchronous message passing can cause faster agents to block on slower ones. This was resolved through asynchronous message passing with a bounded message queue, ensuring fast agents are not blocked while still benefiting from shared intelligence.</w:t>
      </w:r>
    </w:p>
    <w:p>
      <w:r>
        <w:br w:type="page"/>
      </w:r>
    </w:p>
    <w:p>
      <w:pPr>
        <w:pStyle w:val="Heading1"/>
        <w:pBdr>
          <w:bottom w:val="single" w:color="E2E2E2" w:sz="2" w:space="8"/>
        </w:pBdr>
        <w:spacing w:after="180" w:before="600"/>
      </w:pPr>
      <w:r>
        <w:rPr>
          <w:rFonts w:ascii="Arial" w:cs="Arial" w:eastAsia="Arial" w:hAnsi="Arial"/>
          <w:b/>
          <w:bCs/>
          <w:color w:val="111111"/>
          <w:sz w:val="44"/>
          <w:szCs w:val="44"/>
        </w:rPr>
        <w:t xml:space="preserve">7. Future Work</w:t>
      </w:r>
    </w:p>
    <w:p>
      <w:pPr>
        <w:pStyle w:val="ListParagraph"/>
        <w:numPr>
          <w:ilvl w:val="0"/>
          <w:numId w:val="2"/>
        </w:numPr>
        <w:spacing w:after="80" w:before="60"/>
      </w:pPr>
      <w:r>
        <w:rPr>
          <w:rFonts w:ascii="Georgia" w:cs="Georgia" w:eastAsia="Georgia" w:hAnsi="Georgia"/>
          <w:color w:val="333333"/>
          <w:sz w:val="22"/>
          <w:szCs w:val="22"/>
        </w:rPr>
        <w:t xml:space="preserve">Contextual bandits: incorporate target model metadata as context features to enable transfer of learned weakness profiles across similar models, reducing cold start.</w:t>
      </w:r>
    </w:p>
    <w:p>
      <w:pPr>
        <w:pStyle w:val="ListParagraph"/>
        <w:numPr>
          <w:ilvl w:val="0"/>
          <w:numId w:val="2"/>
        </w:numPr>
        <w:spacing w:after="80" w:before="60"/>
      </w:pPr>
      <w:r>
        <w:rPr>
          <w:rFonts w:ascii="Georgia" w:cs="Georgia" w:eastAsia="Georgia" w:hAnsi="Georgia"/>
          <w:color w:val="333333"/>
          <w:sz w:val="22"/>
          <w:szCs w:val="22"/>
        </w:rPr>
        <w:t xml:space="preserve">Policy gradient integration: for campaigns exceeding 1,000 rounds, replace UCB with PPO using the bandit policy as a warm start.</w:t>
      </w:r>
    </w:p>
    <w:p>
      <w:pPr>
        <w:pStyle w:val="ListParagraph"/>
        <w:numPr>
          <w:ilvl w:val="0"/>
          <w:numId w:val="2"/>
        </w:numPr>
        <w:spacing w:after="80" w:before="60"/>
      </w:pPr>
      <w:r>
        <w:rPr>
          <w:rFonts w:ascii="Georgia" w:cs="Georgia" w:eastAsia="Georgia" w:hAnsi="Georgia"/>
          <w:color w:val="333333"/>
          <w:sz w:val="22"/>
          <w:szCs w:val="22"/>
        </w:rPr>
        <w:t xml:space="preserve">Automated judge calibration: implement a calibration loop where judge scores are periodically validated against human expert labels to detect and correct systematic biases.</w:t>
      </w:r>
    </w:p>
    <w:p>
      <w:pPr>
        <w:pStyle w:val="ListParagraph"/>
        <w:numPr>
          <w:ilvl w:val="0"/>
          <w:numId w:val="2"/>
        </w:numPr>
        <w:spacing w:after="80" w:before="60"/>
      </w:pPr>
      <w:r>
        <w:rPr>
          <w:rFonts w:ascii="Georgia" w:cs="Georgia" w:eastAsia="Georgia" w:hAnsi="Georgia"/>
          <w:color w:val="333333"/>
          <w:sz w:val="22"/>
          <w:szCs w:val="22"/>
        </w:rPr>
        <w:t xml:space="preserve">Red-team memory: persist learned weakness profiles across sessions for the same target model family, enabling future campaigns to begin with prior knowledge.</w:t>
      </w:r>
    </w:p>
    <w:p>
      <w:pPr>
        <w:pStyle w:val="ListParagraph"/>
        <w:numPr>
          <w:ilvl w:val="0"/>
          <w:numId w:val="2"/>
        </w:numPr>
        <w:spacing w:after="80" w:before="60"/>
      </w:pPr>
      <w:r>
        <w:rPr>
          <w:rFonts w:ascii="Georgia" w:cs="Georgia" w:eastAsia="Georgia" w:hAnsi="Georgia"/>
          <w:color w:val="333333"/>
          <w:sz w:val="22"/>
          <w:szCs w:val="22"/>
        </w:rPr>
        <w:t xml:space="preserve">Formal regret bounds: derive theoretical regret bounds for the specific reward distribution structure of AI red-teaming.</w:t>
      </w:r>
    </w:p>
    <w:p>
      <w:pPr>
        <w:pStyle w:val="ListParagraph"/>
        <w:numPr>
          <w:ilvl w:val="0"/>
          <w:numId w:val="2"/>
        </w:numPr>
        <w:spacing w:after="80" w:before="60"/>
      </w:pPr>
      <w:r>
        <w:rPr>
          <w:rFonts w:ascii="Georgia" w:cs="Georgia" w:eastAsia="Georgia" w:hAnsi="Georgia"/>
          <w:color w:val="333333"/>
          <w:sz w:val="22"/>
          <w:szCs w:val="22"/>
        </w:rPr>
        <w:t xml:space="preserve">Adversarial robustness against the judge: study whether target models can learn to game the LLM judge and develop countermeasures.</w:t>
      </w:r>
    </w:p>
    <w:p>
      <w:r>
        <w:br w:type="page"/>
      </w:r>
    </w:p>
    <w:p>
      <w:pPr>
        <w:pStyle w:val="Heading1"/>
        <w:pBdr>
          <w:bottom w:val="single" w:color="E2E2E2" w:sz="2" w:space="8"/>
        </w:pBdr>
        <w:spacing w:after="180" w:before="600"/>
      </w:pPr>
      <w:r>
        <w:rPr>
          <w:rFonts w:ascii="Arial" w:cs="Arial" w:eastAsia="Arial" w:hAnsi="Arial"/>
          <w:b/>
          <w:bCs/>
          <w:color w:val="111111"/>
          <w:sz w:val="44"/>
          <w:szCs w:val="44"/>
        </w:rPr>
        <w:t xml:space="preserve">8. Ethical Considerations</w:t>
      </w:r>
    </w:p>
    <w:p>
      <w:pPr>
        <w:pStyle w:val="Heading2"/>
        <w:spacing w:after="120" w:before="400"/>
      </w:pPr>
      <w:r>
        <w:rPr>
          <w:rFonts w:ascii="Arial" w:cs="Arial" w:eastAsia="Arial" w:hAnsi="Arial"/>
          <w:b/>
          <w:bCs/>
          <w:color w:val="111111"/>
          <w:sz w:val="30"/>
          <w:szCs w:val="30"/>
        </w:rPr>
        <w:t xml:space="preserve">8.1 Dual-Use Risk</w:t>
      </w:r>
    </w:p>
    <w:p>
      <w:pPr>
        <w:spacing w:after="180" w:before="0"/>
      </w:pPr>
      <w:r>
        <w:rPr>
          <w:rFonts w:ascii="Georgia" w:cs="Georgia" w:eastAsia="Georgia" w:hAnsi="Georgia"/>
          <w:i w:val="false"/>
          <w:iCs w:val="false"/>
          <w:color w:val="333333"/>
          <w:sz w:val="22"/>
          <w:szCs w:val="22"/>
        </w:rPr>
        <w:t xml:space="preserve">An adaptive adversarial testing system that learns to find AI vulnerabilities efficiently is, by construction, also a tool that could be used to attack AI systems at scale. Mitigation strategies include restricting access to authorized security researchers, logging all generated prompts and results for audit, and ensuring the seed library does not contain prompts designed to cause real-world harm.</w:t>
      </w:r>
    </w:p>
    <w:p>
      <w:pPr>
        <w:pStyle w:val="Heading2"/>
        <w:spacing w:after="120" w:before="400"/>
      </w:pPr>
      <w:r>
        <w:rPr>
          <w:rFonts w:ascii="Arial" w:cs="Arial" w:eastAsia="Arial" w:hAnsi="Arial"/>
          <w:b/>
          <w:bCs/>
          <w:color w:val="111111"/>
          <w:sz w:val="30"/>
          <w:szCs w:val="30"/>
        </w:rPr>
        <w:t xml:space="preserve">8.2 Judge Bias Propagation</w:t>
      </w:r>
    </w:p>
    <w:p>
      <w:pPr>
        <w:spacing w:after="180" w:before="0"/>
      </w:pPr>
      <w:r>
        <w:rPr>
          <w:rFonts w:ascii="Georgia" w:cs="Georgia" w:eastAsia="Georgia" w:hAnsi="Georgia"/>
          <w:i w:val="false"/>
          <w:iCs w:val="false"/>
          <w:color w:val="333333"/>
          <w:sz w:val="22"/>
          <w:szCs w:val="22"/>
        </w:rPr>
        <w:t xml:space="preserve">If the judge model carries biases — racial, gender, political — those biases propagate into the reward signal, systematically under-detecting certain harm categories. Regular bias audits of the judge model are essential for responsible deployment.</w:t>
      </w:r>
    </w:p>
    <w:p>
      <w:pPr>
        <w:pStyle w:val="Heading2"/>
        <w:spacing w:after="120" w:before="400"/>
      </w:pPr>
      <w:r>
        <w:rPr>
          <w:rFonts w:ascii="Arial" w:cs="Arial" w:eastAsia="Arial" w:hAnsi="Arial"/>
          <w:b/>
          <w:bCs/>
          <w:color w:val="111111"/>
          <w:sz w:val="30"/>
          <w:szCs w:val="30"/>
        </w:rPr>
        <w:t xml:space="preserve">8.3 Responsible Disclosure</w:t>
      </w:r>
    </w:p>
    <w:p>
      <w:pPr>
        <w:spacing w:after="180" w:before="0"/>
      </w:pPr>
      <w:r>
        <w:rPr>
          <w:rFonts w:ascii="Georgia" w:cs="Georgia" w:eastAsia="Georgia" w:hAnsi="Georgia"/>
          <w:i w:val="false"/>
          <w:iCs w:val="false"/>
          <w:color w:val="333333"/>
          <w:sz w:val="22"/>
          <w:szCs w:val="22"/>
        </w:rPr>
        <w:t xml:space="preserve">Weaknesses discovered by the system should be disclosed to model developers through established responsible disclosure channels before any public reporting. The system should not be used to generate and publicly release large numbers of adversarial prompts demonstrated to cause failures in deployed systems.</w:t>
      </w:r>
    </w:p>
    <w:p>
      <w:r>
        <w:br w:type="page"/>
      </w:r>
    </w:p>
    <w:p>
      <w:pPr>
        <w:pStyle w:val="Heading1"/>
        <w:pBdr>
          <w:bottom w:val="single" w:color="E2E2E2" w:sz="2" w:space="8"/>
        </w:pBdr>
        <w:spacing w:after="180" w:before="600"/>
      </w:pPr>
      <w:r>
        <w:rPr>
          <w:rFonts w:ascii="Arial" w:cs="Arial" w:eastAsia="Arial" w:hAnsi="Arial"/>
          <w:b/>
          <w:bCs/>
          <w:color w:val="111111"/>
          <w:sz w:val="44"/>
          <w:szCs w:val="44"/>
        </w:rPr>
        <w:t xml:space="preserve">9. Conclusion</w:t>
      </w:r>
    </w:p>
    <w:p>
      <w:pPr>
        <w:spacing w:after="180" w:before="0"/>
      </w:pPr>
      <w:r>
        <w:rPr>
          <w:rFonts w:ascii="Georgia" w:cs="Georgia" w:eastAsia="Georgia" w:hAnsi="Georgia"/>
          <w:i w:val="false"/>
          <w:iCs w:val="false"/>
          <w:color w:val="333333"/>
          <w:sz w:val="22"/>
          <w:szCs w:val="22"/>
        </w:rPr>
        <w:t xml:space="preserve">This work demonstrates that AI red-teaming can be meaningfully improved by treating test selection as a reinforcement learning problem. The UCB bandit formulation is well-matched to the constraints of adversarial testing: it requires no pre-training, adapts online to each target system's weakness profile, provides interpretable value estimates, and delivers measurable improvements in detection rate and testing stability over the round-robin baseline.</w:t>
      </w:r>
    </w:p>
    <w:p>
      <w:pPr>
        <w:spacing w:after="180" w:before="0"/>
      </w:pPr>
      <w:r>
        <w:rPr>
          <w:rFonts w:ascii="Georgia" w:cs="Georgia" w:eastAsia="Georgia" w:hAnsi="Georgia"/>
          <w:i w:val="false"/>
          <w:iCs w:val="false"/>
          <w:color w:val="333333"/>
          <w:sz w:val="22"/>
          <w:szCs w:val="22"/>
        </w:rPr>
        <w:t xml:space="preserve">The system extends the original Popper framework in three fundamental ways: replacing static prompts with dynamic LLM generation, replacing deterministic evaluation with semantic LLM-as-Judge scoring, and replacing fixed test scheduling with adaptive UCB selection. Each extension addresses a specific architectural gap, and together they produce a system that is more effective, more scalable, and more capable of discovering novel failure modes in deployed AI systems.</w:t>
      </w:r>
    </w:p>
    <w:p>
      <w:pPr>
        <w:spacing w:after="180" w:before="0"/>
      </w:pPr>
      <w:r>
        <w:rPr>
          <w:rFonts w:ascii="Georgia" w:cs="Georgia" w:eastAsia="Georgia" w:hAnsi="Georgia"/>
          <w:i w:val="false"/>
          <w:iCs w:val="false"/>
          <w:color w:val="333333"/>
          <w:sz w:val="22"/>
          <w:szCs w:val="22"/>
        </w:rPr>
        <w:t xml:space="preserve">As AI systems become more capable and more consequential, the need for automated, adaptive safety testing will only grow. This work represents a step toward testing infrastructure that can keep pace with the systems it is designed to evaluate.</w:t>
      </w:r>
    </w:p>
    <w:p>
      <w:r>
        <w:br w:type="page"/>
      </w:r>
    </w:p>
    <w:p>
      <w:pPr>
        <w:pStyle w:val="Heading1"/>
        <w:pBdr>
          <w:bottom w:val="single" w:color="E2E2E2" w:sz="2" w:space="8"/>
        </w:pBdr>
        <w:spacing w:after="180" w:before="600"/>
      </w:pPr>
      <w:r>
        <w:rPr>
          <w:rFonts w:ascii="Arial" w:cs="Arial" w:eastAsia="Arial" w:hAnsi="Arial"/>
          <w:b/>
          <w:bCs/>
          <w:color w:val="111111"/>
          <w:sz w:val="44"/>
          <w:szCs w:val="44"/>
        </w:rPr>
        <w:t xml:space="preserve">References</w:t>
      </w:r>
    </w:p>
    <w:p>
      <w:pPr>
        <w:spacing w:after="180" w:before="0"/>
      </w:pPr>
      <w:r>
        <w:rPr>
          <w:rFonts w:ascii="Georgia" w:cs="Georgia" w:eastAsia="Georgia" w:hAnsi="Georgia"/>
          <w:i w:val="false"/>
          <w:iCs w:val="false"/>
          <w:color w:val="333333"/>
          <w:sz w:val="22"/>
          <w:szCs w:val="22"/>
        </w:rPr>
        <w:t xml:space="preserve">[1] Humanitariansai. Popper: Open-source platform for computational skepticism and AI validation. GitHub, 2024. https://github.com/Humanitariansai/Popper</w:t>
      </w:r>
    </w:p>
    <w:p>
      <w:pPr>
        <w:spacing w:after="0" w:before="60"/>
      </w:pPr>
      <w:r>
        <w:t xml:space="preserve"/>
      </w:r>
    </w:p>
    <w:p>
      <w:pPr>
        <w:spacing w:after="180" w:before="0"/>
      </w:pPr>
      <w:r>
        <w:rPr>
          <w:rFonts w:ascii="Georgia" w:cs="Georgia" w:eastAsia="Georgia" w:hAnsi="Georgia"/>
          <w:i w:val="false"/>
          <w:iCs w:val="false"/>
          <w:color w:val="333333"/>
          <w:sz w:val="22"/>
          <w:szCs w:val="22"/>
        </w:rPr>
        <w:t xml:space="preserve">[2] Auer, P., Cesa-Bianchi, N., &amp; Fischer, P. (2002). Finite-time analysis of the multiarmed bandit problem. Machine Learning, 47(2), 235–256.</w:t>
      </w:r>
    </w:p>
    <w:p>
      <w:pPr>
        <w:spacing w:after="0" w:before="60"/>
      </w:pPr>
      <w:r>
        <w:t xml:space="preserve"/>
      </w:r>
    </w:p>
    <w:p>
      <w:pPr>
        <w:spacing w:after="180" w:before="0"/>
      </w:pPr>
      <w:r>
        <w:rPr>
          <w:rFonts w:ascii="Georgia" w:cs="Georgia" w:eastAsia="Georgia" w:hAnsi="Georgia"/>
          <w:i w:val="false"/>
          <w:iCs w:val="false"/>
          <w:color w:val="333333"/>
          <w:sz w:val="22"/>
          <w:szCs w:val="22"/>
        </w:rPr>
        <w:t xml:space="preserve">[3] Perez, E., Huang, S., Song, F., et al. (2022). Red teaming language models with language models. arXiv:2202.03286.</w:t>
      </w:r>
    </w:p>
    <w:p>
      <w:pPr>
        <w:spacing w:after="0" w:before="60"/>
      </w:pPr>
      <w:r>
        <w:t xml:space="preserve"/>
      </w:r>
    </w:p>
    <w:p>
      <w:pPr>
        <w:spacing w:after="180" w:before="0"/>
      </w:pPr>
      <w:r>
        <w:rPr>
          <w:rFonts w:ascii="Georgia" w:cs="Georgia" w:eastAsia="Georgia" w:hAnsi="Georgia"/>
          <w:i w:val="false"/>
          <w:iCs w:val="false"/>
          <w:color w:val="333333"/>
          <w:sz w:val="22"/>
          <w:szCs w:val="22"/>
        </w:rPr>
        <w:t xml:space="preserve">[4] Schulman, J., Wolski, F., Dhariwal, P., Radford, A., &amp; Klimov, O. (2017). Proximal policy optimization algorithms. arXiv:1707.06347.</w:t>
      </w:r>
    </w:p>
    <w:p>
      <w:pPr>
        <w:spacing w:after="0" w:before="60"/>
      </w:pPr>
      <w:r>
        <w:t xml:space="preserve"/>
      </w:r>
    </w:p>
    <w:p>
      <w:pPr>
        <w:spacing w:after="180" w:before="0"/>
      </w:pPr>
      <w:r>
        <w:rPr>
          <w:rFonts w:ascii="Georgia" w:cs="Georgia" w:eastAsia="Georgia" w:hAnsi="Georgia"/>
          <w:i w:val="false"/>
          <w:iCs w:val="false"/>
          <w:color w:val="333333"/>
          <w:sz w:val="22"/>
          <w:szCs w:val="22"/>
        </w:rPr>
        <w:t xml:space="preserve">[5] Groq. Llama 3.3 70B Instruct. Groq Cloud API Documentation, 2024.</w:t>
      </w:r>
    </w:p>
    <w:p>
      <w:pPr>
        <w:spacing w:after="0" w:before="60"/>
      </w:pPr>
      <w:r>
        <w:t xml:space="preserve"/>
      </w:r>
    </w:p>
    <w:p>
      <w:pPr>
        <w:spacing w:after="180" w:before="0"/>
      </w:pPr>
      <w:r>
        <w:rPr>
          <w:rFonts w:ascii="Georgia" w:cs="Georgia" w:eastAsia="Georgia" w:hAnsi="Georgia"/>
          <w:i w:val="false"/>
          <w:iCs w:val="false"/>
          <w:color w:val="333333"/>
          <w:sz w:val="22"/>
          <w:szCs w:val="22"/>
        </w:rPr>
        <w:t xml:space="preserve">[6] Hugging Face. Inference API Documentation. https://huggingface.co/docs/api-inference/index</w:t>
      </w:r>
    </w:p>
    <w:p>
      <w:pPr>
        <w:spacing w:after="0" w:before="60"/>
      </w:pPr>
      <w:r>
        <w:t xml:space="preserve"/>
      </w:r>
    </w:p>
    <w:p>
      <w:pPr>
        <w:spacing w:after="180" w:before="0"/>
      </w:pPr>
      <w:r>
        <w:rPr>
          <w:rFonts w:ascii="Georgia" w:cs="Georgia" w:eastAsia="Georgia" w:hAnsi="Georgia"/>
          <w:i w:val="false"/>
          <w:iCs w:val="false"/>
          <w:color w:val="333333"/>
          <w:sz w:val="22"/>
          <w:szCs w:val="22"/>
        </w:rPr>
        <w:t xml:space="preserve">[7] Bubeck, S., &amp; Cesa-Bianchi, N. (2012). Regret analysis of stochastic and nonstochastic multi-armed bandit problems. Foundations and Trends in Machine Learning, 5(1), 1–122.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2E2" w:sz="2" w:space="6"/>
      </w:pBdr>
      <w:tabs>
        <w:tab w:val="right" w:pos="9026"/>
      </w:tabs>
    </w:pPr>
    <w:r>
      <w:rPr>
        <w:rFonts w:ascii="Arial" w:cs="Arial" w:eastAsia="Arial" w:hAnsi="Arial"/>
        <w:color w:val="999999"/>
        <w:sz w:val="17"/>
        <w:szCs w:val="17"/>
      </w:rPr>
      <w:t xml:space="preserve">April 2026</w:t>
    </w:r>
    <w:r>
      <w:rPr>
        <w:sz w:val="17"/>
        <w:szCs w:val="17"/>
      </w:rPr>
      <w:t xml:space="preserv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2E2" w:sz="2" w:space="6"/>
      </w:pBdr>
      <w:tabs>
        <w:tab w:val="right" w:pos="9026"/>
      </w:tabs>
    </w:pPr>
    <w:r>
      <w:rPr>
        <w:rFonts w:ascii="Arial" w:cs="Arial" w:eastAsia="Arial" w:hAnsi="Arial"/>
        <w:b/>
        <w:bCs/>
        <w:color w:val="555555"/>
        <w:sz w:val="17"/>
        <w:szCs w:val="17"/>
      </w:rPr>
      <w:t xml:space="preserve">Popper</w:t>
    </w:r>
    <w:r>
      <w:rPr>
        <w:rFonts w:ascii="Arial" w:cs="Arial" w:eastAsia="Arial" w:hAnsi="Arial"/>
        <w:color w:val="999999"/>
        <w:sz w:val="17"/>
        <w:szCs w:val="17"/>
      </w:rPr>
      <w:t xml:space="preserve">  —  Multi-Agent RL Validation System</w:t>
    </w:r>
    <w:r>
      <w:rPr>
        <w:rFonts w:ascii="Arial" w:cs="Arial" w:eastAsia="Arial" w:hAnsi="Arial"/>
        <w:color w:val="999999"/>
        <w:sz w:val="17"/>
        <w:szCs w:val="17"/>
      </w:rPr>
      <w:t xml:space="preserve">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600"/>
      <w:outlineLvl w:val="0"/>
    </w:pPr>
    <w:rPr>
      <w:rFonts w:ascii="Arial" w:cs="Arial" w:eastAsia="Arial" w:hAnsi="Arial"/>
      <w:b/>
      <w:bCs/>
      <w:color w:val="111111"/>
      <w:sz w:val="44"/>
      <w:szCs w:val="44"/>
    </w:rPr>
  </w:style>
  <w:style w:type="paragraph" w:styleId="Heading2">
    <w:name w:val="Heading 2"/>
    <w:basedOn w:val="Normal"/>
    <w:next w:val="Normal"/>
    <w:qFormat/>
    <w:pPr>
      <w:spacing w:after="120" w:before="400"/>
      <w:outlineLvl w:val="1"/>
    </w:pPr>
    <w:rPr>
      <w:rFonts w:ascii="Arial" w:cs="Arial" w:eastAsia="Arial" w:hAnsi="Arial"/>
      <w:b/>
      <w:bCs/>
      <w:color w:val="111111"/>
      <w:sz w:val="30"/>
      <w:szCs w:val="30"/>
    </w:rPr>
  </w:style>
  <w:style w:type="paragraph" w:styleId="Heading3">
    <w:name w:val="Heading 3"/>
    <w:basedOn w:val="Normal"/>
    <w:next w:val="Normal"/>
    <w:qFormat/>
    <w:pPr>
      <w:spacing w:after="80" w:before="2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2026-04-20T19:00:26.928Z</dcterms:created>
  <dcterms:modified xsi:type="dcterms:W3CDTF">2026-04-20T19:00:26.929Z</dcterms:modified>
</cp:coreProperties>
</file>

<file path=docProps/custom.xml><?xml version="1.0" encoding="utf-8"?>
<Properties xmlns="http://schemas.openxmlformats.org/officeDocument/2006/custom-properties" xmlns:vt="http://schemas.openxmlformats.org/officeDocument/2006/docPropsVTypes"/>
</file>