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1AB93" w14:textId="0A00999C" w:rsidR="008F6A8A" w:rsidRDefault="008F6A8A">
      <w:pPr>
        <w:rPr>
          <w:b/>
          <w:bCs/>
          <w:sz w:val="40"/>
          <w:szCs w:val="40"/>
        </w:rPr>
      </w:pPr>
      <w:r>
        <w:rPr>
          <w:b/>
          <w:bCs/>
          <w:sz w:val="40"/>
          <w:szCs w:val="40"/>
        </w:rPr>
        <w:t>Summary of South Korea Project</w:t>
      </w:r>
    </w:p>
    <w:p w14:paraId="46369598" w14:textId="2A2E728F" w:rsidR="008F6A8A" w:rsidRDefault="008F6A8A">
      <w:pPr>
        <w:rPr>
          <w:sz w:val="28"/>
          <w:szCs w:val="28"/>
        </w:rPr>
      </w:pPr>
      <w:r w:rsidRPr="008F6A8A">
        <w:rPr>
          <w:sz w:val="28"/>
          <w:szCs w:val="28"/>
        </w:rPr>
        <w:t>Optimize South Korea's overseas hydrogen (H₂) supply chain (2025–2040) using MILP to minimize costs while meeting decarbonization targets.</w:t>
      </w:r>
      <w:r>
        <w:rPr>
          <w:sz w:val="28"/>
          <w:szCs w:val="28"/>
        </w:rPr>
        <w:t xml:space="preserve"> </w:t>
      </w:r>
    </w:p>
    <w:p w14:paraId="1F558048" w14:textId="77777777" w:rsidR="008F6A8A" w:rsidRPr="008F6A8A" w:rsidRDefault="008F6A8A" w:rsidP="008F6A8A">
      <w:pPr>
        <w:rPr>
          <w:b/>
          <w:bCs/>
          <w:sz w:val="28"/>
          <w:szCs w:val="28"/>
        </w:rPr>
      </w:pPr>
      <w:r w:rsidRPr="008F6A8A">
        <w:rPr>
          <w:b/>
          <w:bCs/>
          <w:sz w:val="28"/>
          <w:szCs w:val="28"/>
        </w:rPr>
        <w:t>Types of Data Used</w:t>
      </w:r>
    </w:p>
    <w:p w14:paraId="2E270653" w14:textId="77777777" w:rsidR="008F6A8A" w:rsidRPr="008F6A8A" w:rsidRDefault="008F6A8A" w:rsidP="008F6A8A">
      <w:pPr>
        <w:rPr>
          <w:b/>
          <w:bCs/>
          <w:sz w:val="28"/>
          <w:szCs w:val="28"/>
        </w:rPr>
      </w:pPr>
      <w:r w:rsidRPr="008F6A8A">
        <w:rPr>
          <w:b/>
          <w:bCs/>
          <w:sz w:val="28"/>
          <w:szCs w:val="28"/>
        </w:rPr>
        <w:t>1. Hydrogen Demand Data</w:t>
      </w:r>
    </w:p>
    <w:p w14:paraId="2A2A7286" w14:textId="77777777" w:rsidR="008F6A8A" w:rsidRPr="008F6A8A" w:rsidRDefault="008F6A8A" w:rsidP="008F6A8A">
      <w:pPr>
        <w:numPr>
          <w:ilvl w:val="0"/>
          <w:numId w:val="1"/>
        </w:numPr>
        <w:rPr>
          <w:sz w:val="28"/>
          <w:szCs w:val="28"/>
        </w:rPr>
      </w:pPr>
      <w:r w:rsidRPr="008F6A8A">
        <w:rPr>
          <w:b/>
          <w:bCs/>
          <w:sz w:val="28"/>
          <w:szCs w:val="28"/>
        </w:rPr>
        <w:t>Source</w:t>
      </w:r>
      <w:r w:rsidRPr="008F6A8A">
        <w:rPr>
          <w:sz w:val="28"/>
          <w:szCs w:val="28"/>
        </w:rPr>
        <w:t>: South Korea’s national hydrogen roadmap (2019).</w:t>
      </w:r>
    </w:p>
    <w:p w14:paraId="39784663" w14:textId="62852106" w:rsidR="008F6A8A" w:rsidRPr="008F6A8A" w:rsidRDefault="008F6A8A" w:rsidP="008F6A8A">
      <w:pPr>
        <w:numPr>
          <w:ilvl w:val="0"/>
          <w:numId w:val="1"/>
        </w:numPr>
        <w:rPr>
          <w:sz w:val="28"/>
          <w:szCs w:val="28"/>
        </w:rPr>
      </w:pPr>
      <w:r w:rsidRPr="008F6A8A">
        <w:rPr>
          <w:b/>
          <w:bCs/>
          <w:sz w:val="28"/>
          <w:szCs w:val="28"/>
        </w:rPr>
        <w:t>Details</w:t>
      </w:r>
      <w:r w:rsidRPr="008F6A8A">
        <w:rPr>
          <w:sz w:val="28"/>
          <w:szCs w:val="28"/>
        </w:rPr>
        <w:t>: Projected hydrogen demand for 2018, 2030, and 2040, including breakdowns by hydrogen type (gr</w:t>
      </w:r>
      <w:r>
        <w:rPr>
          <w:sz w:val="28"/>
          <w:szCs w:val="28"/>
        </w:rPr>
        <w:t>e</w:t>
      </w:r>
      <w:r w:rsidRPr="008F6A8A">
        <w:rPr>
          <w:sz w:val="28"/>
          <w:szCs w:val="28"/>
        </w:rPr>
        <w:t>y, blue, green, byproduct).</w:t>
      </w:r>
    </w:p>
    <w:p w14:paraId="56311749" w14:textId="77777777" w:rsidR="008F6A8A" w:rsidRPr="008F6A8A" w:rsidRDefault="008F6A8A" w:rsidP="008F6A8A">
      <w:pPr>
        <w:numPr>
          <w:ilvl w:val="0"/>
          <w:numId w:val="1"/>
        </w:numPr>
        <w:rPr>
          <w:sz w:val="28"/>
          <w:szCs w:val="28"/>
        </w:rPr>
      </w:pPr>
      <w:r w:rsidRPr="008F6A8A">
        <w:rPr>
          <w:b/>
          <w:bCs/>
          <w:sz w:val="28"/>
          <w:szCs w:val="28"/>
        </w:rPr>
        <w:t>Purpose</w:t>
      </w:r>
      <w:r w:rsidRPr="008F6A8A">
        <w:rPr>
          <w:sz w:val="28"/>
          <w:szCs w:val="28"/>
        </w:rPr>
        <w:t>: To set the targets and constraints for how much hydrogen needs to be supplied/imported in each year.</w:t>
      </w:r>
    </w:p>
    <w:p w14:paraId="345724C3" w14:textId="77777777" w:rsidR="008F6A8A" w:rsidRPr="008F6A8A" w:rsidRDefault="008F6A8A" w:rsidP="008F6A8A">
      <w:pPr>
        <w:rPr>
          <w:b/>
          <w:bCs/>
          <w:sz w:val="28"/>
          <w:szCs w:val="28"/>
        </w:rPr>
      </w:pPr>
      <w:r w:rsidRPr="008F6A8A">
        <w:rPr>
          <w:b/>
          <w:bCs/>
          <w:sz w:val="28"/>
          <w:szCs w:val="28"/>
        </w:rPr>
        <w:t>2. Production Capacity Data (Exporting Countries)</w:t>
      </w:r>
    </w:p>
    <w:p w14:paraId="0E2A0D22" w14:textId="77777777" w:rsidR="008F6A8A" w:rsidRPr="008F6A8A" w:rsidRDefault="008F6A8A" w:rsidP="008F6A8A">
      <w:pPr>
        <w:numPr>
          <w:ilvl w:val="0"/>
          <w:numId w:val="2"/>
        </w:numPr>
        <w:rPr>
          <w:sz w:val="28"/>
          <w:szCs w:val="28"/>
        </w:rPr>
      </w:pPr>
      <w:r w:rsidRPr="008F6A8A">
        <w:rPr>
          <w:b/>
          <w:bCs/>
          <w:sz w:val="28"/>
          <w:szCs w:val="28"/>
        </w:rPr>
        <w:t>Natural Gas Capacity</w:t>
      </w:r>
      <w:r w:rsidRPr="008F6A8A">
        <w:rPr>
          <w:sz w:val="28"/>
          <w:szCs w:val="28"/>
        </w:rPr>
        <w:t>: For blue hydrogen (SMR with CCS), data on natural gas production and export volumes from candidate countries (e.g., Qatar, Russia).</w:t>
      </w:r>
    </w:p>
    <w:p w14:paraId="7E467EFB" w14:textId="77777777" w:rsidR="008F6A8A" w:rsidRPr="008F6A8A" w:rsidRDefault="008F6A8A" w:rsidP="008F6A8A">
      <w:pPr>
        <w:numPr>
          <w:ilvl w:val="0"/>
          <w:numId w:val="2"/>
        </w:numPr>
        <w:rPr>
          <w:sz w:val="28"/>
          <w:szCs w:val="28"/>
        </w:rPr>
      </w:pPr>
      <w:r w:rsidRPr="008F6A8A">
        <w:rPr>
          <w:b/>
          <w:bCs/>
          <w:sz w:val="28"/>
          <w:szCs w:val="28"/>
        </w:rPr>
        <w:t>Renewable Energy Capacity</w:t>
      </w:r>
      <w:r w:rsidRPr="008F6A8A">
        <w:rPr>
          <w:sz w:val="28"/>
          <w:szCs w:val="28"/>
        </w:rPr>
        <w:t>: For green hydrogen (water electrolysis), data on solar and wind generation capacities in exporting countries (e.g., UAE, India, Australia, Chile, Indonesia).</w:t>
      </w:r>
    </w:p>
    <w:p w14:paraId="718254C6" w14:textId="77777777" w:rsidR="008F6A8A" w:rsidRPr="008F6A8A" w:rsidRDefault="008F6A8A" w:rsidP="008F6A8A">
      <w:pPr>
        <w:numPr>
          <w:ilvl w:val="0"/>
          <w:numId w:val="2"/>
        </w:numPr>
        <w:rPr>
          <w:sz w:val="28"/>
          <w:szCs w:val="28"/>
        </w:rPr>
      </w:pPr>
      <w:r w:rsidRPr="008F6A8A">
        <w:rPr>
          <w:b/>
          <w:bCs/>
          <w:sz w:val="28"/>
          <w:szCs w:val="28"/>
        </w:rPr>
        <w:t>Purpose</w:t>
      </w:r>
      <w:r w:rsidRPr="008F6A8A">
        <w:rPr>
          <w:sz w:val="28"/>
          <w:szCs w:val="28"/>
        </w:rPr>
        <w:t>: To determine how much hydrogen each country could potentially export.</w:t>
      </w:r>
    </w:p>
    <w:p w14:paraId="2FFB17DB" w14:textId="77777777" w:rsidR="008F6A8A" w:rsidRPr="008F6A8A" w:rsidRDefault="008F6A8A" w:rsidP="008F6A8A">
      <w:pPr>
        <w:rPr>
          <w:b/>
          <w:bCs/>
          <w:sz w:val="28"/>
          <w:szCs w:val="28"/>
        </w:rPr>
      </w:pPr>
      <w:r w:rsidRPr="008F6A8A">
        <w:rPr>
          <w:b/>
          <w:bCs/>
          <w:sz w:val="28"/>
          <w:szCs w:val="28"/>
        </w:rPr>
        <w:t>3. Resource Price Data</w:t>
      </w:r>
    </w:p>
    <w:p w14:paraId="4ECF0400" w14:textId="77777777" w:rsidR="008F6A8A" w:rsidRPr="008F6A8A" w:rsidRDefault="008F6A8A" w:rsidP="008F6A8A">
      <w:pPr>
        <w:numPr>
          <w:ilvl w:val="0"/>
          <w:numId w:val="3"/>
        </w:numPr>
        <w:rPr>
          <w:sz w:val="28"/>
          <w:szCs w:val="28"/>
        </w:rPr>
      </w:pPr>
      <w:r w:rsidRPr="008F6A8A">
        <w:rPr>
          <w:b/>
          <w:bCs/>
          <w:sz w:val="28"/>
          <w:szCs w:val="28"/>
        </w:rPr>
        <w:t>Natural Gas Prices</w:t>
      </w:r>
      <w:r w:rsidRPr="008F6A8A">
        <w:rPr>
          <w:sz w:val="28"/>
          <w:szCs w:val="28"/>
        </w:rPr>
        <w:t>: 10-year historical data for candidate exporters.</w:t>
      </w:r>
    </w:p>
    <w:p w14:paraId="76D94CDD" w14:textId="77777777" w:rsidR="008F6A8A" w:rsidRPr="008F6A8A" w:rsidRDefault="008F6A8A" w:rsidP="008F6A8A">
      <w:pPr>
        <w:numPr>
          <w:ilvl w:val="0"/>
          <w:numId w:val="3"/>
        </w:numPr>
        <w:rPr>
          <w:sz w:val="28"/>
          <w:szCs w:val="28"/>
        </w:rPr>
      </w:pPr>
      <w:r w:rsidRPr="008F6A8A">
        <w:rPr>
          <w:b/>
          <w:bCs/>
          <w:sz w:val="28"/>
          <w:szCs w:val="28"/>
        </w:rPr>
        <w:t>Renewable Electricity Prices</w:t>
      </w:r>
      <w:r w:rsidRPr="008F6A8A">
        <w:rPr>
          <w:sz w:val="28"/>
          <w:szCs w:val="28"/>
        </w:rPr>
        <w:t>: 10-year historical data for solar PV and wind in each exporter country.</w:t>
      </w:r>
    </w:p>
    <w:p w14:paraId="0966A476" w14:textId="77777777" w:rsidR="008F6A8A" w:rsidRPr="008F6A8A" w:rsidRDefault="008F6A8A" w:rsidP="008F6A8A">
      <w:pPr>
        <w:numPr>
          <w:ilvl w:val="0"/>
          <w:numId w:val="3"/>
        </w:numPr>
        <w:rPr>
          <w:sz w:val="28"/>
          <w:szCs w:val="28"/>
        </w:rPr>
      </w:pPr>
      <w:r w:rsidRPr="008F6A8A">
        <w:rPr>
          <w:b/>
          <w:bCs/>
          <w:sz w:val="28"/>
          <w:szCs w:val="28"/>
        </w:rPr>
        <w:t>Purpose</w:t>
      </w:r>
      <w:r w:rsidRPr="008F6A8A">
        <w:rPr>
          <w:sz w:val="28"/>
          <w:szCs w:val="28"/>
        </w:rPr>
        <w:t>: To estimate the cost of hydrogen production in each exporting country.</w:t>
      </w:r>
    </w:p>
    <w:p w14:paraId="41C0052E" w14:textId="77777777" w:rsidR="008F6A8A" w:rsidRPr="008F6A8A" w:rsidRDefault="008F6A8A" w:rsidP="008F6A8A">
      <w:pPr>
        <w:rPr>
          <w:b/>
          <w:bCs/>
          <w:sz w:val="28"/>
          <w:szCs w:val="28"/>
        </w:rPr>
      </w:pPr>
      <w:r w:rsidRPr="008F6A8A">
        <w:rPr>
          <w:b/>
          <w:bCs/>
          <w:sz w:val="28"/>
          <w:szCs w:val="28"/>
        </w:rPr>
        <w:t>4. Transportation and Conversion Data</w:t>
      </w:r>
    </w:p>
    <w:p w14:paraId="7E938608" w14:textId="77777777" w:rsidR="008F6A8A" w:rsidRPr="008F6A8A" w:rsidRDefault="008F6A8A" w:rsidP="008F6A8A">
      <w:pPr>
        <w:numPr>
          <w:ilvl w:val="0"/>
          <w:numId w:val="4"/>
        </w:numPr>
        <w:rPr>
          <w:sz w:val="28"/>
          <w:szCs w:val="28"/>
        </w:rPr>
      </w:pPr>
      <w:r w:rsidRPr="008F6A8A">
        <w:rPr>
          <w:b/>
          <w:bCs/>
          <w:sz w:val="28"/>
          <w:szCs w:val="28"/>
        </w:rPr>
        <w:t>Distances</w:t>
      </w:r>
      <w:r w:rsidRPr="008F6A8A">
        <w:rPr>
          <w:sz w:val="28"/>
          <w:szCs w:val="28"/>
        </w:rPr>
        <w:t>: Shipping distances between exporters and South Korea.</w:t>
      </w:r>
    </w:p>
    <w:p w14:paraId="7C89D651" w14:textId="77777777" w:rsidR="008F6A8A" w:rsidRPr="008F6A8A" w:rsidRDefault="008F6A8A" w:rsidP="008F6A8A">
      <w:pPr>
        <w:numPr>
          <w:ilvl w:val="0"/>
          <w:numId w:val="4"/>
        </w:numPr>
        <w:rPr>
          <w:sz w:val="28"/>
          <w:szCs w:val="28"/>
        </w:rPr>
      </w:pPr>
      <w:r w:rsidRPr="008F6A8A">
        <w:rPr>
          <w:b/>
          <w:bCs/>
          <w:sz w:val="28"/>
          <w:szCs w:val="28"/>
        </w:rPr>
        <w:t>Carrier Options</w:t>
      </w:r>
      <w:r w:rsidRPr="008F6A8A">
        <w:rPr>
          <w:sz w:val="28"/>
          <w:szCs w:val="28"/>
        </w:rPr>
        <w:t>: Data on costs and technical feasibility for different carriers (liquefied hydrogen, ammonia, methylcyclohexane).</w:t>
      </w:r>
    </w:p>
    <w:p w14:paraId="4EEFD38A" w14:textId="77777777" w:rsidR="008F6A8A" w:rsidRPr="008F6A8A" w:rsidRDefault="008F6A8A" w:rsidP="008F6A8A">
      <w:pPr>
        <w:numPr>
          <w:ilvl w:val="0"/>
          <w:numId w:val="4"/>
        </w:numPr>
        <w:rPr>
          <w:sz w:val="28"/>
          <w:szCs w:val="28"/>
        </w:rPr>
      </w:pPr>
      <w:r w:rsidRPr="008F6A8A">
        <w:rPr>
          <w:b/>
          <w:bCs/>
          <w:sz w:val="28"/>
          <w:szCs w:val="28"/>
        </w:rPr>
        <w:lastRenderedPageBreak/>
        <w:t>Conversion Costs</w:t>
      </w:r>
      <w:r w:rsidRPr="008F6A8A">
        <w:rPr>
          <w:sz w:val="28"/>
          <w:szCs w:val="28"/>
        </w:rPr>
        <w:t>: Costs for converting hydrogen into each carrier form and reconversion at the destination.</w:t>
      </w:r>
    </w:p>
    <w:p w14:paraId="6193478C" w14:textId="77777777" w:rsidR="008F6A8A" w:rsidRPr="008F6A8A" w:rsidRDefault="008F6A8A" w:rsidP="008F6A8A">
      <w:pPr>
        <w:numPr>
          <w:ilvl w:val="0"/>
          <w:numId w:val="4"/>
        </w:numPr>
        <w:rPr>
          <w:sz w:val="28"/>
          <w:szCs w:val="28"/>
        </w:rPr>
      </w:pPr>
      <w:r w:rsidRPr="008F6A8A">
        <w:rPr>
          <w:b/>
          <w:bCs/>
          <w:sz w:val="28"/>
          <w:szCs w:val="28"/>
        </w:rPr>
        <w:t>Purpose</w:t>
      </w:r>
      <w:r w:rsidRPr="008F6A8A">
        <w:rPr>
          <w:sz w:val="28"/>
          <w:szCs w:val="28"/>
        </w:rPr>
        <w:t>: To model the end-to-end supply chain cost and feasibility.</w:t>
      </w:r>
    </w:p>
    <w:p w14:paraId="6A2CADB5" w14:textId="77777777" w:rsidR="008F6A8A" w:rsidRPr="008F6A8A" w:rsidRDefault="008F6A8A" w:rsidP="008F6A8A">
      <w:pPr>
        <w:rPr>
          <w:b/>
          <w:bCs/>
          <w:sz w:val="28"/>
          <w:szCs w:val="28"/>
        </w:rPr>
      </w:pPr>
      <w:r w:rsidRPr="008F6A8A">
        <w:rPr>
          <w:b/>
          <w:bCs/>
          <w:sz w:val="28"/>
          <w:szCs w:val="28"/>
        </w:rPr>
        <w:t>5. Carbon Emissions Data</w:t>
      </w:r>
    </w:p>
    <w:p w14:paraId="4F10EF84" w14:textId="77777777" w:rsidR="008F6A8A" w:rsidRPr="008F6A8A" w:rsidRDefault="008F6A8A" w:rsidP="008F6A8A">
      <w:pPr>
        <w:numPr>
          <w:ilvl w:val="0"/>
          <w:numId w:val="5"/>
        </w:numPr>
        <w:rPr>
          <w:sz w:val="28"/>
          <w:szCs w:val="28"/>
        </w:rPr>
      </w:pPr>
      <w:r w:rsidRPr="008F6A8A">
        <w:rPr>
          <w:b/>
          <w:bCs/>
          <w:sz w:val="28"/>
          <w:szCs w:val="28"/>
        </w:rPr>
        <w:t>Capture Rates</w:t>
      </w:r>
      <w:r w:rsidRPr="008F6A8A">
        <w:rPr>
          <w:sz w:val="28"/>
          <w:szCs w:val="28"/>
        </w:rPr>
        <w:t>: For blue hydrogen, data on CO₂ capture efficiency (e.g., 90% for SMR-CCS).</w:t>
      </w:r>
    </w:p>
    <w:p w14:paraId="57C170F8" w14:textId="77777777" w:rsidR="008F6A8A" w:rsidRPr="008F6A8A" w:rsidRDefault="008F6A8A" w:rsidP="008F6A8A">
      <w:pPr>
        <w:numPr>
          <w:ilvl w:val="0"/>
          <w:numId w:val="5"/>
        </w:numPr>
        <w:rPr>
          <w:sz w:val="28"/>
          <w:szCs w:val="28"/>
        </w:rPr>
      </w:pPr>
      <w:r w:rsidRPr="008F6A8A">
        <w:rPr>
          <w:b/>
          <w:bCs/>
          <w:sz w:val="28"/>
          <w:szCs w:val="28"/>
        </w:rPr>
        <w:t>Grid Emissions</w:t>
      </w:r>
      <w:r w:rsidRPr="008F6A8A">
        <w:rPr>
          <w:sz w:val="28"/>
          <w:szCs w:val="28"/>
        </w:rPr>
        <w:t>: Emission factors for electricity used in green hydrogen production.</w:t>
      </w:r>
    </w:p>
    <w:p w14:paraId="3317C804" w14:textId="77777777" w:rsidR="008F6A8A" w:rsidRPr="008F6A8A" w:rsidRDefault="008F6A8A" w:rsidP="008F6A8A">
      <w:pPr>
        <w:numPr>
          <w:ilvl w:val="0"/>
          <w:numId w:val="5"/>
        </w:numPr>
        <w:rPr>
          <w:sz w:val="28"/>
          <w:szCs w:val="28"/>
        </w:rPr>
      </w:pPr>
      <w:r w:rsidRPr="008F6A8A">
        <w:rPr>
          <w:b/>
          <w:bCs/>
          <w:sz w:val="28"/>
          <w:szCs w:val="28"/>
        </w:rPr>
        <w:t>Purpose</w:t>
      </w:r>
      <w:r w:rsidRPr="008F6A8A">
        <w:rPr>
          <w:sz w:val="28"/>
          <w:szCs w:val="28"/>
        </w:rPr>
        <w:t>: To ensure supply chains meet decarbonization targets.</w:t>
      </w:r>
    </w:p>
    <w:p w14:paraId="326106D6" w14:textId="77777777" w:rsidR="008F6A8A" w:rsidRPr="008F6A8A" w:rsidRDefault="008F6A8A" w:rsidP="008F6A8A">
      <w:pPr>
        <w:rPr>
          <w:b/>
          <w:bCs/>
          <w:sz w:val="28"/>
          <w:szCs w:val="28"/>
        </w:rPr>
      </w:pPr>
      <w:r w:rsidRPr="008F6A8A">
        <w:rPr>
          <w:b/>
          <w:bCs/>
          <w:sz w:val="28"/>
          <w:szCs w:val="28"/>
        </w:rPr>
        <w:t>6. Policy and Scenario Data</w:t>
      </w:r>
    </w:p>
    <w:p w14:paraId="4F502139" w14:textId="77777777" w:rsidR="008F6A8A" w:rsidRPr="008F6A8A" w:rsidRDefault="008F6A8A" w:rsidP="008F6A8A">
      <w:pPr>
        <w:numPr>
          <w:ilvl w:val="0"/>
          <w:numId w:val="6"/>
        </w:numPr>
        <w:rPr>
          <w:sz w:val="28"/>
          <w:szCs w:val="28"/>
        </w:rPr>
      </w:pPr>
      <w:r w:rsidRPr="008F6A8A">
        <w:rPr>
          <w:b/>
          <w:bCs/>
          <w:sz w:val="28"/>
          <w:szCs w:val="28"/>
        </w:rPr>
        <w:t>Carbon Tax</w:t>
      </w:r>
      <w:r w:rsidRPr="008F6A8A">
        <w:rPr>
          <w:sz w:val="28"/>
          <w:szCs w:val="28"/>
        </w:rPr>
        <w:t>: Assumed or scenario-based carbon price (e.g., $50/ton CO₂).</w:t>
      </w:r>
    </w:p>
    <w:p w14:paraId="50176D9C" w14:textId="77777777" w:rsidR="008F6A8A" w:rsidRPr="008F6A8A" w:rsidRDefault="008F6A8A" w:rsidP="008F6A8A">
      <w:pPr>
        <w:numPr>
          <w:ilvl w:val="0"/>
          <w:numId w:val="6"/>
        </w:numPr>
        <w:rPr>
          <w:sz w:val="28"/>
          <w:szCs w:val="28"/>
        </w:rPr>
      </w:pPr>
      <w:r w:rsidRPr="008F6A8A">
        <w:rPr>
          <w:b/>
          <w:bCs/>
          <w:sz w:val="28"/>
          <w:szCs w:val="28"/>
        </w:rPr>
        <w:t>Subsidies/Regulations</w:t>
      </w:r>
      <w:r w:rsidRPr="008F6A8A">
        <w:rPr>
          <w:sz w:val="28"/>
          <w:szCs w:val="28"/>
        </w:rPr>
        <w:t>: Any relevant policy incentives or constraints.</w:t>
      </w:r>
    </w:p>
    <w:p w14:paraId="2DD4D4B6" w14:textId="77777777" w:rsidR="008F6A8A" w:rsidRPr="008F6A8A" w:rsidRDefault="008F6A8A" w:rsidP="008F6A8A">
      <w:pPr>
        <w:rPr>
          <w:sz w:val="28"/>
          <w:szCs w:val="28"/>
        </w:rPr>
      </w:pPr>
      <w:r w:rsidRPr="008F6A8A">
        <w:rPr>
          <w:sz w:val="28"/>
          <w:szCs w:val="28"/>
        </w:rPr>
        <w:pict w14:anchorId="6D5D8E73">
          <v:rect id="_x0000_i1043" style="width:0;height:.75pt" o:hralign="center" o:hrstd="t" o:hr="t" fillcolor="#a0a0a0" stroked="f"/>
        </w:pict>
      </w:r>
    </w:p>
    <w:p w14:paraId="58F11831" w14:textId="77777777" w:rsidR="008F6A8A" w:rsidRPr="008F6A8A" w:rsidRDefault="008F6A8A" w:rsidP="008F6A8A">
      <w:pPr>
        <w:rPr>
          <w:b/>
          <w:bCs/>
          <w:sz w:val="28"/>
          <w:szCs w:val="28"/>
        </w:rPr>
      </w:pPr>
      <w:r w:rsidRPr="008F6A8A">
        <w:rPr>
          <w:b/>
          <w:bCs/>
          <w:sz w:val="28"/>
          <w:szCs w:val="28"/>
        </w:rPr>
        <w:t>Predictions Made by the Model</w:t>
      </w:r>
    </w:p>
    <w:p w14:paraId="3439F3FB" w14:textId="77777777" w:rsidR="008F6A8A" w:rsidRPr="008F6A8A" w:rsidRDefault="008F6A8A" w:rsidP="008F6A8A">
      <w:pPr>
        <w:numPr>
          <w:ilvl w:val="0"/>
          <w:numId w:val="7"/>
        </w:numPr>
        <w:rPr>
          <w:sz w:val="28"/>
          <w:szCs w:val="28"/>
        </w:rPr>
      </w:pPr>
      <w:r w:rsidRPr="008F6A8A">
        <w:rPr>
          <w:b/>
          <w:bCs/>
          <w:sz w:val="28"/>
          <w:szCs w:val="28"/>
        </w:rPr>
        <w:t>Optimal Mix of Hydrogen Supply</w:t>
      </w:r>
      <w:r w:rsidRPr="008F6A8A">
        <w:rPr>
          <w:sz w:val="28"/>
          <w:szCs w:val="28"/>
        </w:rPr>
        <w:t>: How much hydrogen should be imported from each country, using which carrier, and by which production method (blue or green), for each year.</w:t>
      </w:r>
    </w:p>
    <w:p w14:paraId="2E51B868" w14:textId="77777777" w:rsidR="008F6A8A" w:rsidRPr="008F6A8A" w:rsidRDefault="008F6A8A" w:rsidP="008F6A8A">
      <w:pPr>
        <w:numPr>
          <w:ilvl w:val="0"/>
          <w:numId w:val="7"/>
        </w:numPr>
        <w:rPr>
          <w:sz w:val="28"/>
          <w:szCs w:val="28"/>
        </w:rPr>
      </w:pPr>
      <w:r w:rsidRPr="008F6A8A">
        <w:rPr>
          <w:b/>
          <w:bCs/>
          <w:sz w:val="28"/>
          <w:szCs w:val="28"/>
        </w:rPr>
        <w:t>Total and Unit Supply Chain Costs</w:t>
      </w:r>
      <w:r w:rsidRPr="008F6A8A">
        <w:rPr>
          <w:sz w:val="28"/>
          <w:szCs w:val="28"/>
        </w:rPr>
        <w:t>: The cost per kilogram of hydrogen delivered to South Korea, including production, conversion, transportation, and reconversion.</w:t>
      </w:r>
    </w:p>
    <w:p w14:paraId="101C278E" w14:textId="77777777" w:rsidR="008F6A8A" w:rsidRPr="008F6A8A" w:rsidRDefault="008F6A8A" w:rsidP="008F6A8A">
      <w:pPr>
        <w:numPr>
          <w:ilvl w:val="0"/>
          <w:numId w:val="7"/>
        </w:numPr>
        <w:rPr>
          <w:sz w:val="28"/>
          <w:szCs w:val="28"/>
        </w:rPr>
      </w:pPr>
      <w:r w:rsidRPr="008F6A8A">
        <w:rPr>
          <w:b/>
          <w:bCs/>
          <w:sz w:val="28"/>
          <w:szCs w:val="28"/>
        </w:rPr>
        <w:t>Carbon Emissions</w:t>
      </w:r>
      <w:r w:rsidRPr="008F6A8A">
        <w:rPr>
          <w:sz w:val="28"/>
          <w:szCs w:val="28"/>
        </w:rPr>
        <w:t>: Total and per-unit emissions for each supply chain configuration.</w:t>
      </w:r>
    </w:p>
    <w:p w14:paraId="232627CA" w14:textId="77777777" w:rsidR="008F6A8A" w:rsidRPr="008F6A8A" w:rsidRDefault="008F6A8A" w:rsidP="008F6A8A">
      <w:pPr>
        <w:numPr>
          <w:ilvl w:val="0"/>
          <w:numId w:val="7"/>
        </w:numPr>
        <w:rPr>
          <w:sz w:val="28"/>
          <w:szCs w:val="28"/>
        </w:rPr>
      </w:pPr>
      <w:r w:rsidRPr="008F6A8A">
        <w:rPr>
          <w:b/>
          <w:bCs/>
          <w:sz w:val="28"/>
          <w:szCs w:val="28"/>
        </w:rPr>
        <w:t>Impact of Policy Scenarios</w:t>
      </w:r>
      <w:r w:rsidRPr="008F6A8A">
        <w:rPr>
          <w:sz w:val="28"/>
          <w:szCs w:val="28"/>
        </w:rPr>
        <w:t>: How costs and supply mix change under different carbon tax or subsidy scenarios.</w:t>
      </w:r>
    </w:p>
    <w:p w14:paraId="09D12283" w14:textId="77777777" w:rsidR="008F6A8A" w:rsidRPr="008F6A8A" w:rsidRDefault="008F6A8A" w:rsidP="008F6A8A">
      <w:pPr>
        <w:numPr>
          <w:ilvl w:val="0"/>
          <w:numId w:val="7"/>
        </w:numPr>
        <w:rPr>
          <w:sz w:val="28"/>
          <w:szCs w:val="28"/>
        </w:rPr>
      </w:pPr>
      <w:r w:rsidRPr="008F6A8A">
        <w:rPr>
          <w:b/>
          <w:bCs/>
          <w:sz w:val="28"/>
          <w:szCs w:val="28"/>
        </w:rPr>
        <w:t>Future Trends</w:t>
      </w:r>
      <w:r w:rsidRPr="008F6A8A">
        <w:rPr>
          <w:sz w:val="28"/>
          <w:szCs w:val="28"/>
        </w:rPr>
        <w:t>: Projections of when green hydrogen becomes more cost-competitive than blue hydrogen, based on declining renewable energy costs.</w:t>
      </w:r>
    </w:p>
    <w:p w14:paraId="3725C2EC" w14:textId="77777777" w:rsidR="008F6A8A" w:rsidRPr="008F6A8A" w:rsidRDefault="008F6A8A" w:rsidP="008F6A8A">
      <w:pPr>
        <w:rPr>
          <w:sz w:val="28"/>
          <w:szCs w:val="28"/>
        </w:rPr>
      </w:pPr>
      <w:r w:rsidRPr="008F6A8A">
        <w:rPr>
          <w:sz w:val="28"/>
          <w:szCs w:val="28"/>
        </w:rPr>
        <w:pict w14:anchorId="392EBFD9">
          <v:rect id="_x0000_i1044" style="width:0;height:.75pt" o:hralign="center" o:hrstd="t" o:hr="t" fillcolor="#a0a0a0" stroked="f"/>
        </w:pict>
      </w:r>
    </w:p>
    <w:p w14:paraId="3EB3AE94" w14:textId="77777777" w:rsidR="008F6A8A" w:rsidRPr="008F6A8A" w:rsidRDefault="008F6A8A" w:rsidP="008F6A8A">
      <w:pPr>
        <w:rPr>
          <w:sz w:val="28"/>
          <w:szCs w:val="28"/>
        </w:rPr>
      </w:pPr>
      <w:r w:rsidRPr="008F6A8A">
        <w:rPr>
          <w:b/>
          <w:bCs/>
          <w:sz w:val="28"/>
          <w:szCs w:val="28"/>
        </w:rPr>
        <w:t>Summary Table:</w:t>
      </w:r>
    </w:p>
    <w:tbl>
      <w:tblPr>
        <w:tblpPr w:leftFromText="180" w:rightFromText="180" w:horzAnchor="margin" w:tblpXSpec="center" w:tblpY="-264"/>
        <w:tblW w:w="11100" w:type="dxa"/>
        <w:tblCellMar>
          <w:top w:w="15" w:type="dxa"/>
          <w:left w:w="15" w:type="dxa"/>
          <w:bottom w:w="15" w:type="dxa"/>
          <w:right w:w="15" w:type="dxa"/>
        </w:tblCellMar>
        <w:tblLook w:val="04A0" w:firstRow="1" w:lastRow="0" w:firstColumn="1" w:lastColumn="0" w:noHBand="0" w:noVBand="1"/>
      </w:tblPr>
      <w:tblGrid>
        <w:gridCol w:w="2662"/>
        <w:gridCol w:w="3950"/>
        <w:gridCol w:w="4488"/>
      </w:tblGrid>
      <w:tr w:rsidR="008F6A8A" w:rsidRPr="008F6A8A" w14:paraId="5838C5F3" w14:textId="77777777" w:rsidTr="008F6A8A">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E3D2B40" w14:textId="77777777" w:rsidR="008F6A8A" w:rsidRPr="008F6A8A" w:rsidRDefault="008F6A8A" w:rsidP="008F6A8A">
            <w:pPr>
              <w:rPr>
                <w:b/>
                <w:bCs/>
                <w:sz w:val="28"/>
                <w:szCs w:val="28"/>
              </w:rPr>
            </w:pPr>
            <w:r w:rsidRPr="008F6A8A">
              <w:rPr>
                <w:b/>
                <w:bCs/>
                <w:sz w:val="28"/>
                <w:szCs w:val="28"/>
              </w:rPr>
              <w:lastRenderedPageBreak/>
              <w:t>Data Type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BB0F4AA" w14:textId="77777777" w:rsidR="008F6A8A" w:rsidRPr="008F6A8A" w:rsidRDefault="008F6A8A" w:rsidP="008F6A8A">
            <w:pPr>
              <w:rPr>
                <w:b/>
                <w:bCs/>
                <w:sz w:val="28"/>
                <w:szCs w:val="28"/>
              </w:rPr>
            </w:pPr>
            <w:r w:rsidRPr="008F6A8A">
              <w:rPr>
                <w:b/>
                <w:bCs/>
                <w:sz w:val="28"/>
                <w:szCs w:val="28"/>
              </w:rPr>
              <w:t>Used For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EA7035D" w14:textId="77777777" w:rsidR="008F6A8A" w:rsidRPr="008F6A8A" w:rsidRDefault="008F6A8A" w:rsidP="008F6A8A">
            <w:pPr>
              <w:rPr>
                <w:b/>
                <w:bCs/>
                <w:sz w:val="28"/>
                <w:szCs w:val="28"/>
              </w:rPr>
            </w:pPr>
            <w:r w:rsidRPr="008F6A8A">
              <w:rPr>
                <w:b/>
                <w:bCs/>
                <w:sz w:val="28"/>
                <w:szCs w:val="28"/>
              </w:rPr>
              <w:t>Example Source / Value</w:t>
            </w:r>
          </w:p>
        </w:tc>
      </w:tr>
      <w:tr w:rsidR="008F6A8A" w:rsidRPr="008F6A8A" w14:paraId="357891F6" w14:textId="77777777" w:rsidTr="008F6A8A">
        <w:tc>
          <w:tcPr>
            <w:tcW w:w="0" w:type="auto"/>
            <w:tcMar>
              <w:top w:w="137" w:type="dxa"/>
              <w:left w:w="120" w:type="dxa"/>
              <w:bottom w:w="137" w:type="dxa"/>
              <w:right w:w="120" w:type="dxa"/>
            </w:tcMar>
            <w:vAlign w:val="bottom"/>
            <w:hideMark/>
          </w:tcPr>
          <w:p w14:paraId="150ED9D7" w14:textId="77777777" w:rsidR="008F6A8A" w:rsidRPr="008F6A8A" w:rsidRDefault="008F6A8A" w:rsidP="008F6A8A">
            <w:pPr>
              <w:rPr>
                <w:sz w:val="28"/>
                <w:szCs w:val="28"/>
              </w:rPr>
            </w:pPr>
            <w:r w:rsidRPr="008F6A8A">
              <w:rPr>
                <w:sz w:val="28"/>
                <w:szCs w:val="28"/>
              </w:rPr>
              <w:t>Hydrogen demand</w:t>
            </w:r>
          </w:p>
        </w:tc>
        <w:tc>
          <w:tcPr>
            <w:tcW w:w="0" w:type="auto"/>
            <w:tcMar>
              <w:top w:w="137" w:type="dxa"/>
              <w:left w:w="120" w:type="dxa"/>
              <w:bottom w:w="137" w:type="dxa"/>
              <w:right w:w="120" w:type="dxa"/>
            </w:tcMar>
            <w:vAlign w:val="bottom"/>
            <w:hideMark/>
          </w:tcPr>
          <w:p w14:paraId="75C7C96B" w14:textId="77777777" w:rsidR="008F6A8A" w:rsidRPr="008F6A8A" w:rsidRDefault="008F6A8A" w:rsidP="008F6A8A">
            <w:pPr>
              <w:rPr>
                <w:sz w:val="28"/>
                <w:szCs w:val="28"/>
              </w:rPr>
            </w:pPr>
            <w:r w:rsidRPr="008F6A8A">
              <w:rPr>
                <w:sz w:val="28"/>
                <w:szCs w:val="28"/>
              </w:rPr>
              <w:t>Setting supply targets/constraints</w:t>
            </w:r>
          </w:p>
        </w:tc>
        <w:tc>
          <w:tcPr>
            <w:tcW w:w="0" w:type="auto"/>
            <w:tcMar>
              <w:top w:w="137" w:type="dxa"/>
              <w:left w:w="120" w:type="dxa"/>
              <w:bottom w:w="137" w:type="dxa"/>
              <w:right w:w="120" w:type="dxa"/>
            </w:tcMar>
            <w:vAlign w:val="bottom"/>
            <w:hideMark/>
          </w:tcPr>
          <w:p w14:paraId="0C87168B" w14:textId="77777777" w:rsidR="008F6A8A" w:rsidRPr="008F6A8A" w:rsidRDefault="008F6A8A" w:rsidP="008F6A8A">
            <w:pPr>
              <w:rPr>
                <w:sz w:val="28"/>
                <w:szCs w:val="28"/>
              </w:rPr>
            </w:pPr>
            <w:r w:rsidRPr="008F6A8A">
              <w:rPr>
                <w:sz w:val="28"/>
                <w:szCs w:val="28"/>
              </w:rPr>
              <w:t>SK H2 Roadmap: 5.26 MMT/yr by 2040</w:t>
            </w:r>
          </w:p>
        </w:tc>
      </w:tr>
      <w:tr w:rsidR="008F6A8A" w:rsidRPr="008F6A8A" w14:paraId="7DCA58E4" w14:textId="77777777" w:rsidTr="008F6A8A">
        <w:tc>
          <w:tcPr>
            <w:tcW w:w="0" w:type="auto"/>
            <w:tcMar>
              <w:top w:w="137" w:type="dxa"/>
              <w:left w:w="120" w:type="dxa"/>
              <w:bottom w:w="137" w:type="dxa"/>
              <w:right w:w="120" w:type="dxa"/>
            </w:tcMar>
            <w:vAlign w:val="bottom"/>
            <w:hideMark/>
          </w:tcPr>
          <w:p w14:paraId="6D845E6F" w14:textId="77777777" w:rsidR="008F6A8A" w:rsidRPr="008F6A8A" w:rsidRDefault="008F6A8A" w:rsidP="008F6A8A">
            <w:pPr>
              <w:rPr>
                <w:sz w:val="28"/>
                <w:szCs w:val="28"/>
              </w:rPr>
            </w:pPr>
            <w:r w:rsidRPr="008F6A8A">
              <w:rPr>
                <w:sz w:val="28"/>
                <w:szCs w:val="28"/>
              </w:rPr>
              <w:t>Production capacity</w:t>
            </w:r>
          </w:p>
        </w:tc>
        <w:tc>
          <w:tcPr>
            <w:tcW w:w="0" w:type="auto"/>
            <w:tcMar>
              <w:top w:w="137" w:type="dxa"/>
              <w:left w:w="120" w:type="dxa"/>
              <w:bottom w:w="137" w:type="dxa"/>
              <w:right w:w="120" w:type="dxa"/>
            </w:tcMar>
            <w:vAlign w:val="bottom"/>
            <w:hideMark/>
          </w:tcPr>
          <w:p w14:paraId="0A27C0E3" w14:textId="77777777" w:rsidR="008F6A8A" w:rsidRPr="008F6A8A" w:rsidRDefault="008F6A8A" w:rsidP="008F6A8A">
            <w:pPr>
              <w:rPr>
                <w:sz w:val="28"/>
                <w:szCs w:val="28"/>
              </w:rPr>
            </w:pPr>
            <w:r w:rsidRPr="008F6A8A">
              <w:rPr>
                <w:sz w:val="28"/>
                <w:szCs w:val="28"/>
              </w:rPr>
              <w:t>Exporter selection, feasibility</w:t>
            </w:r>
          </w:p>
        </w:tc>
        <w:tc>
          <w:tcPr>
            <w:tcW w:w="0" w:type="auto"/>
            <w:tcMar>
              <w:top w:w="137" w:type="dxa"/>
              <w:left w:w="120" w:type="dxa"/>
              <w:bottom w:w="137" w:type="dxa"/>
              <w:right w:w="120" w:type="dxa"/>
            </w:tcMar>
            <w:vAlign w:val="bottom"/>
            <w:hideMark/>
          </w:tcPr>
          <w:p w14:paraId="321F81FB" w14:textId="77777777" w:rsidR="008F6A8A" w:rsidRPr="008F6A8A" w:rsidRDefault="008F6A8A" w:rsidP="008F6A8A">
            <w:pPr>
              <w:rPr>
                <w:sz w:val="28"/>
                <w:szCs w:val="28"/>
              </w:rPr>
            </w:pPr>
            <w:r w:rsidRPr="008F6A8A">
              <w:rPr>
                <w:sz w:val="28"/>
                <w:szCs w:val="28"/>
              </w:rPr>
              <w:t>Gas exports, solar/wind GW</w:t>
            </w:r>
          </w:p>
        </w:tc>
      </w:tr>
      <w:tr w:rsidR="008F6A8A" w:rsidRPr="008F6A8A" w14:paraId="6B2E6A78" w14:textId="77777777" w:rsidTr="008F6A8A">
        <w:tc>
          <w:tcPr>
            <w:tcW w:w="0" w:type="auto"/>
            <w:tcMar>
              <w:top w:w="137" w:type="dxa"/>
              <w:left w:w="120" w:type="dxa"/>
              <w:bottom w:w="137" w:type="dxa"/>
              <w:right w:w="120" w:type="dxa"/>
            </w:tcMar>
            <w:vAlign w:val="bottom"/>
            <w:hideMark/>
          </w:tcPr>
          <w:p w14:paraId="56C11372" w14:textId="77777777" w:rsidR="008F6A8A" w:rsidRPr="008F6A8A" w:rsidRDefault="008F6A8A" w:rsidP="008F6A8A">
            <w:pPr>
              <w:rPr>
                <w:sz w:val="28"/>
                <w:szCs w:val="28"/>
              </w:rPr>
            </w:pPr>
            <w:r w:rsidRPr="008F6A8A">
              <w:rPr>
                <w:sz w:val="28"/>
                <w:szCs w:val="28"/>
              </w:rPr>
              <w:t>Resource prices</w:t>
            </w:r>
          </w:p>
        </w:tc>
        <w:tc>
          <w:tcPr>
            <w:tcW w:w="0" w:type="auto"/>
            <w:tcMar>
              <w:top w:w="137" w:type="dxa"/>
              <w:left w:w="120" w:type="dxa"/>
              <w:bottom w:w="137" w:type="dxa"/>
              <w:right w:w="120" w:type="dxa"/>
            </w:tcMar>
            <w:vAlign w:val="bottom"/>
            <w:hideMark/>
          </w:tcPr>
          <w:p w14:paraId="4813D68D" w14:textId="77777777" w:rsidR="008F6A8A" w:rsidRPr="008F6A8A" w:rsidRDefault="008F6A8A" w:rsidP="008F6A8A">
            <w:pPr>
              <w:rPr>
                <w:sz w:val="28"/>
                <w:szCs w:val="28"/>
              </w:rPr>
            </w:pPr>
            <w:r w:rsidRPr="008F6A8A">
              <w:rPr>
                <w:sz w:val="28"/>
                <w:szCs w:val="28"/>
              </w:rPr>
              <w:t>Production cost estimation</w:t>
            </w:r>
          </w:p>
        </w:tc>
        <w:tc>
          <w:tcPr>
            <w:tcW w:w="0" w:type="auto"/>
            <w:tcMar>
              <w:top w:w="137" w:type="dxa"/>
              <w:left w:w="120" w:type="dxa"/>
              <w:bottom w:w="137" w:type="dxa"/>
              <w:right w:w="120" w:type="dxa"/>
            </w:tcMar>
            <w:vAlign w:val="bottom"/>
            <w:hideMark/>
          </w:tcPr>
          <w:p w14:paraId="3C1ACCC5" w14:textId="77777777" w:rsidR="008F6A8A" w:rsidRPr="008F6A8A" w:rsidRDefault="008F6A8A" w:rsidP="008F6A8A">
            <w:pPr>
              <w:rPr>
                <w:sz w:val="28"/>
                <w:szCs w:val="28"/>
              </w:rPr>
            </w:pPr>
            <w:r w:rsidRPr="008F6A8A">
              <w:rPr>
                <w:sz w:val="28"/>
                <w:szCs w:val="28"/>
              </w:rPr>
              <w:t>$/MMBtu gas, $/MWh solar/wind</w:t>
            </w:r>
          </w:p>
        </w:tc>
      </w:tr>
      <w:tr w:rsidR="008F6A8A" w:rsidRPr="008F6A8A" w14:paraId="5BF2A515" w14:textId="77777777" w:rsidTr="008F6A8A">
        <w:tc>
          <w:tcPr>
            <w:tcW w:w="0" w:type="auto"/>
            <w:tcMar>
              <w:top w:w="137" w:type="dxa"/>
              <w:left w:w="120" w:type="dxa"/>
              <w:bottom w:w="137" w:type="dxa"/>
              <w:right w:w="120" w:type="dxa"/>
            </w:tcMar>
            <w:vAlign w:val="bottom"/>
            <w:hideMark/>
          </w:tcPr>
          <w:p w14:paraId="6EB773AE" w14:textId="77777777" w:rsidR="008F6A8A" w:rsidRPr="008F6A8A" w:rsidRDefault="008F6A8A" w:rsidP="008F6A8A">
            <w:pPr>
              <w:rPr>
                <w:sz w:val="28"/>
                <w:szCs w:val="28"/>
              </w:rPr>
            </w:pPr>
            <w:r w:rsidRPr="008F6A8A">
              <w:rPr>
                <w:sz w:val="28"/>
                <w:szCs w:val="28"/>
              </w:rPr>
              <w:t>Transport/conversion</w:t>
            </w:r>
          </w:p>
        </w:tc>
        <w:tc>
          <w:tcPr>
            <w:tcW w:w="0" w:type="auto"/>
            <w:tcMar>
              <w:top w:w="137" w:type="dxa"/>
              <w:left w:w="120" w:type="dxa"/>
              <w:bottom w:w="137" w:type="dxa"/>
              <w:right w:w="120" w:type="dxa"/>
            </w:tcMar>
            <w:vAlign w:val="bottom"/>
            <w:hideMark/>
          </w:tcPr>
          <w:p w14:paraId="0EDDBE3E" w14:textId="77777777" w:rsidR="008F6A8A" w:rsidRPr="008F6A8A" w:rsidRDefault="008F6A8A" w:rsidP="008F6A8A">
            <w:pPr>
              <w:rPr>
                <w:sz w:val="28"/>
                <w:szCs w:val="28"/>
              </w:rPr>
            </w:pPr>
            <w:r w:rsidRPr="008F6A8A">
              <w:rPr>
                <w:sz w:val="28"/>
                <w:szCs w:val="28"/>
              </w:rPr>
              <w:t xml:space="preserve">Supply chain cost </w:t>
            </w:r>
            <w:proofErr w:type="spellStart"/>
            <w:r w:rsidRPr="008F6A8A">
              <w:rPr>
                <w:sz w:val="28"/>
                <w:szCs w:val="28"/>
              </w:rPr>
              <w:t>modeling</w:t>
            </w:r>
            <w:proofErr w:type="spellEnd"/>
          </w:p>
        </w:tc>
        <w:tc>
          <w:tcPr>
            <w:tcW w:w="0" w:type="auto"/>
            <w:tcMar>
              <w:top w:w="137" w:type="dxa"/>
              <w:left w:w="120" w:type="dxa"/>
              <w:bottom w:w="137" w:type="dxa"/>
              <w:right w:w="120" w:type="dxa"/>
            </w:tcMar>
            <w:vAlign w:val="bottom"/>
            <w:hideMark/>
          </w:tcPr>
          <w:p w14:paraId="6BD816E1" w14:textId="77777777" w:rsidR="008F6A8A" w:rsidRPr="008F6A8A" w:rsidRDefault="008F6A8A" w:rsidP="008F6A8A">
            <w:pPr>
              <w:rPr>
                <w:sz w:val="28"/>
                <w:szCs w:val="28"/>
              </w:rPr>
            </w:pPr>
            <w:r w:rsidRPr="008F6A8A">
              <w:rPr>
                <w:sz w:val="28"/>
                <w:szCs w:val="28"/>
              </w:rPr>
              <w:t>$/kg/1000km for LH2, NH3, MCH</w:t>
            </w:r>
          </w:p>
        </w:tc>
      </w:tr>
      <w:tr w:rsidR="008F6A8A" w:rsidRPr="008F6A8A" w14:paraId="5A8A25D5" w14:textId="77777777" w:rsidTr="008F6A8A">
        <w:tc>
          <w:tcPr>
            <w:tcW w:w="0" w:type="auto"/>
            <w:tcMar>
              <w:top w:w="137" w:type="dxa"/>
              <w:left w:w="120" w:type="dxa"/>
              <w:bottom w:w="137" w:type="dxa"/>
              <w:right w:w="120" w:type="dxa"/>
            </w:tcMar>
            <w:vAlign w:val="bottom"/>
            <w:hideMark/>
          </w:tcPr>
          <w:p w14:paraId="06B3ED7A" w14:textId="77777777" w:rsidR="008F6A8A" w:rsidRPr="008F6A8A" w:rsidRDefault="008F6A8A" w:rsidP="008F6A8A">
            <w:pPr>
              <w:rPr>
                <w:sz w:val="28"/>
                <w:szCs w:val="28"/>
              </w:rPr>
            </w:pPr>
            <w:r w:rsidRPr="008F6A8A">
              <w:rPr>
                <w:sz w:val="28"/>
                <w:szCs w:val="28"/>
              </w:rPr>
              <w:t>Carbon emissions</w:t>
            </w:r>
          </w:p>
        </w:tc>
        <w:tc>
          <w:tcPr>
            <w:tcW w:w="0" w:type="auto"/>
            <w:tcMar>
              <w:top w:w="137" w:type="dxa"/>
              <w:left w:w="120" w:type="dxa"/>
              <w:bottom w:w="137" w:type="dxa"/>
              <w:right w:w="120" w:type="dxa"/>
            </w:tcMar>
            <w:vAlign w:val="bottom"/>
            <w:hideMark/>
          </w:tcPr>
          <w:p w14:paraId="3FAA0270" w14:textId="77777777" w:rsidR="008F6A8A" w:rsidRPr="008F6A8A" w:rsidRDefault="008F6A8A" w:rsidP="008F6A8A">
            <w:pPr>
              <w:rPr>
                <w:sz w:val="28"/>
                <w:szCs w:val="28"/>
              </w:rPr>
            </w:pPr>
            <w:r w:rsidRPr="008F6A8A">
              <w:rPr>
                <w:sz w:val="28"/>
                <w:szCs w:val="28"/>
              </w:rPr>
              <w:t>Decarbonization constraint</w:t>
            </w:r>
          </w:p>
        </w:tc>
        <w:tc>
          <w:tcPr>
            <w:tcW w:w="0" w:type="auto"/>
            <w:tcMar>
              <w:top w:w="137" w:type="dxa"/>
              <w:left w:w="120" w:type="dxa"/>
              <w:bottom w:w="137" w:type="dxa"/>
              <w:right w:w="120" w:type="dxa"/>
            </w:tcMar>
            <w:vAlign w:val="bottom"/>
            <w:hideMark/>
          </w:tcPr>
          <w:p w14:paraId="782C6777" w14:textId="77777777" w:rsidR="008F6A8A" w:rsidRPr="008F6A8A" w:rsidRDefault="008F6A8A" w:rsidP="008F6A8A">
            <w:pPr>
              <w:rPr>
                <w:sz w:val="28"/>
                <w:szCs w:val="28"/>
              </w:rPr>
            </w:pPr>
            <w:r w:rsidRPr="008F6A8A">
              <w:rPr>
                <w:sz w:val="28"/>
                <w:szCs w:val="28"/>
              </w:rPr>
              <w:t>90% capture (blue H2), grid factors</w:t>
            </w:r>
          </w:p>
        </w:tc>
      </w:tr>
      <w:tr w:rsidR="008F6A8A" w:rsidRPr="008F6A8A" w14:paraId="2774F5CB" w14:textId="77777777" w:rsidTr="008F6A8A">
        <w:tc>
          <w:tcPr>
            <w:tcW w:w="0" w:type="auto"/>
            <w:tcMar>
              <w:top w:w="137" w:type="dxa"/>
              <w:left w:w="120" w:type="dxa"/>
              <w:bottom w:w="137" w:type="dxa"/>
              <w:right w:w="120" w:type="dxa"/>
            </w:tcMar>
            <w:vAlign w:val="bottom"/>
            <w:hideMark/>
          </w:tcPr>
          <w:p w14:paraId="00DA41E9" w14:textId="77777777" w:rsidR="008F6A8A" w:rsidRPr="008F6A8A" w:rsidRDefault="008F6A8A" w:rsidP="008F6A8A">
            <w:pPr>
              <w:rPr>
                <w:sz w:val="28"/>
                <w:szCs w:val="28"/>
              </w:rPr>
            </w:pPr>
            <w:r w:rsidRPr="008F6A8A">
              <w:rPr>
                <w:sz w:val="28"/>
                <w:szCs w:val="28"/>
              </w:rPr>
              <w:t>Policy scenarios</w:t>
            </w:r>
          </w:p>
        </w:tc>
        <w:tc>
          <w:tcPr>
            <w:tcW w:w="0" w:type="auto"/>
            <w:tcMar>
              <w:top w:w="137" w:type="dxa"/>
              <w:left w:w="120" w:type="dxa"/>
              <w:bottom w:w="137" w:type="dxa"/>
              <w:right w:w="120" w:type="dxa"/>
            </w:tcMar>
            <w:vAlign w:val="bottom"/>
            <w:hideMark/>
          </w:tcPr>
          <w:p w14:paraId="501F3FD7" w14:textId="77777777" w:rsidR="008F6A8A" w:rsidRPr="008F6A8A" w:rsidRDefault="008F6A8A" w:rsidP="008F6A8A">
            <w:pPr>
              <w:rPr>
                <w:sz w:val="28"/>
                <w:szCs w:val="28"/>
              </w:rPr>
            </w:pPr>
            <w:r w:rsidRPr="008F6A8A">
              <w:rPr>
                <w:sz w:val="28"/>
                <w:szCs w:val="28"/>
              </w:rPr>
              <w:t>Sensitivity/risk analysis</w:t>
            </w:r>
          </w:p>
        </w:tc>
        <w:tc>
          <w:tcPr>
            <w:tcW w:w="0" w:type="auto"/>
            <w:tcMar>
              <w:top w:w="137" w:type="dxa"/>
              <w:left w:w="120" w:type="dxa"/>
              <w:bottom w:w="137" w:type="dxa"/>
              <w:right w:w="120" w:type="dxa"/>
            </w:tcMar>
            <w:vAlign w:val="bottom"/>
            <w:hideMark/>
          </w:tcPr>
          <w:p w14:paraId="59E0FDC9" w14:textId="77777777" w:rsidR="008F6A8A" w:rsidRPr="008F6A8A" w:rsidRDefault="008F6A8A" w:rsidP="008F6A8A">
            <w:pPr>
              <w:rPr>
                <w:sz w:val="28"/>
                <w:szCs w:val="28"/>
              </w:rPr>
            </w:pPr>
            <w:r w:rsidRPr="008F6A8A">
              <w:rPr>
                <w:sz w:val="28"/>
                <w:szCs w:val="28"/>
              </w:rPr>
              <w:t>Carbon tax, subsidy assumptions</w:t>
            </w:r>
          </w:p>
        </w:tc>
      </w:tr>
    </w:tbl>
    <w:p w14:paraId="4D062431" w14:textId="77777777" w:rsidR="008F6A8A" w:rsidRPr="008F6A8A" w:rsidRDefault="008F6A8A" w:rsidP="008F6A8A">
      <w:pPr>
        <w:rPr>
          <w:sz w:val="28"/>
          <w:szCs w:val="28"/>
        </w:rPr>
      </w:pPr>
      <w:r w:rsidRPr="008F6A8A">
        <w:rPr>
          <w:sz w:val="28"/>
          <w:szCs w:val="28"/>
        </w:rPr>
        <w:pict w14:anchorId="5182BB3A">
          <v:rect id="_x0000_i1045" style="width:0;height:.75pt" o:hralign="center" o:hrstd="t" o:hr="t" fillcolor="#a0a0a0" stroked="f"/>
        </w:pict>
      </w:r>
    </w:p>
    <w:p w14:paraId="01D91A6F" w14:textId="77777777" w:rsidR="008F6A8A" w:rsidRDefault="008F6A8A">
      <w:pPr>
        <w:rPr>
          <w:sz w:val="28"/>
          <w:szCs w:val="28"/>
        </w:rPr>
      </w:pPr>
    </w:p>
    <w:p w14:paraId="14358376" w14:textId="77777777" w:rsidR="008F6A8A" w:rsidRDefault="008F6A8A">
      <w:pPr>
        <w:rPr>
          <w:sz w:val="28"/>
          <w:szCs w:val="28"/>
        </w:rPr>
      </w:pPr>
    </w:p>
    <w:p w14:paraId="1339C45A" w14:textId="77777777" w:rsidR="008F6A8A" w:rsidRDefault="008F6A8A">
      <w:pPr>
        <w:rPr>
          <w:sz w:val="28"/>
          <w:szCs w:val="28"/>
        </w:rPr>
      </w:pPr>
    </w:p>
    <w:p w14:paraId="01CC94A1" w14:textId="77777777" w:rsidR="008F6A8A" w:rsidRPr="008F6A8A" w:rsidRDefault="008F6A8A">
      <w:pPr>
        <w:rPr>
          <w:sz w:val="28"/>
          <w:szCs w:val="28"/>
        </w:rPr>
      </w:pPr>
    </w:p>
    <w:p w14:paraId="08AF321D" w14:textId="77777777" w:rsidR="008F6A8A" w:rsidRDefault="008F6A8A">
      <w:pPr>
        <w:rPr>
          <w:b/>
          <w:bCs/>
          <w:sz w:val="40"/>
          <w:szCs w:val="40"/>
        </w:rPr>
      </w:pPr>
    </w:p>
    <w:p w14:paraId="705C38CD" w14:textId="77777777" w:rsidR="008F6A8A" w:rsidRDefault="008F6A8A">
      <w:pPr>
        <w:rPr>
          <w:b/>
          <w:bCs/>
          <w:sz w:val="40"/>
          <w:szCs w:val="40"/>
        </w:rPr>
      </w:pPr>
    </w:p>
    <w:p w14:paraId="0B77C16D" w14:textId="77777777" w:rsidR="008F6A8A" w:rsidRDefault="008F6A8A">
      <w:pPr>
        <w:rPr>
          <w:b/>
          <w:bCs/>
          <w:sz w:val="40"/>
          <w:szCs w:val="40"/>
        </w:rPr>
      </w:pPr>
    </w:p>
    <w:p w14:paraId="2D0B1D5C" w14:textId="77777777" w:rsidR="008F6A8A" w:rsidRDefault="008F6A8A">
      <w:pPr>
        <w:rPr>
          <w:b/>
          <w:bCs/>
          <w:sz w:val="40"/>
          <w:szCs w:val="40"/>
        </w:rPr>
      </w:pPr>
    </w:p>
    <w:p w14:paraId="1CE23A79" w14:textId="77777777" w:rsidR="008F6A8A" w:rsidRDefault="008F6A8A">
      <w:pPr>
        <w:rPr>
          <w:b/>
          <w:bCs/>
          <w:sz w:val="40"/>
          <w:szCs w:val="40"/>
        </w:rPr>
      </w:pPr>
    </w:p>
    <w:p w14:paraId="018B7D0F" w14:textId="77777777" w:rsidR="008F6A8A" w:rsidRDefault="008F6A8A">
      <w:pPr>
        <w:rPr>
          <w:b/>
          <w:bCs/>
          <w:sz w:val="40"/>
          <w:szCs w:val="40"/>
        </w:rPr>
      </w:pPr>
    </w:p>
    <w:p w14:paraId="1E832BD0" w14:textId="77777777" w:rsidR="008F6A8A" w:rsidRDefault="008F6A8A">
      <w:pPr>
        <w:rPr>
          <w:b/>
          <w:bCs/>
          <w:sz w:val="40"/>
          <w:szCs w:val="40"/>
        </w:rPr>
      </w:pPr>
    </w:p>
    <w:p w14:paraId="61047293" w14:textId="77777777" w:rsidR="008F6A8A" w:rsidRDefault="008F6A8A">
      <w:pPr>
        <w:rPr>
          <w:b/>
          <w:bCs/>
          <w:sz w:val="40"/>
          <w:szCs w:val="40"/>
        </w:rPr>
      </w:pPr>
    </w:p>
    <w:p w14:paraId="29927B62" w14:textId="0CBB090F" w:rsidR="008F6A8A" w:rsidRDefault="008F6A8A">
      <w:pPr>
        <w:rPr>
          <w:b/>
          <w:bCs/>
          <w:sz w:val="40"/>
          <w:szCs w:val="40"/>
        </w:rPr>
      </w:pPr>
      <w:r w:rsidRPr="008F6A8A">
        <w:rPr>
          <w:b/>
          <w:bCs/>
          <w:sz w:val="40"/>
          <w:szCs w:val="40"/>
        </w:rPr>
        <w:lastRenderedPageBreak/>
        <w:t>Optimization of India’s Green Hydrogen Supply Chain: A Mixed-Integer Linear Programming Approach</w:t>
      </w:r>
    </w:p>
    <w:p w14:paraId="15C24CB3" w14:textId="77777777" w:rsidR="008F6A8A" w:rsidRDefault="008F6A8A">
      <w:pPr>
        <w:rPr>
          <w:b/>
          <w:bCs/>
          <w:sz w:val="40"/>
          <w:szCs w:val="40"/>
        </w:rPr>
      </w:pPr>
    </w:p>
    <w:p w14:paraId="3B8E4AFE" w14:textId="77777777" w:rsidR="008F6A8A" w:rsidRDefault="008F6A8A">
      <w:pPr>
        <w:rPr>
          <w:sz w:val="24"/>
          <w:szCs w:val="24"/>
        </w:rPr>
      </w:pPr>
      <w:r w:rsidRPr="008F6A8A">
        <w:rPr>
          <w:sz w:val="24"/>
          <w:szCs w:val="24"/>
        </w:rPr>
        <w:t xml:space="preserve">India is poised to become a major player in the global green hydrogen economy, driven by its abundant renewable energy resources and ambitious climate targets. However, the establishment of an efficient, cost-effective, and environmentally sustainable hydrogen supply chain presents significant challenges, including infrastructure limitations, water scarcity, and the need for robust risk assessment. </w:t>
      </w:r>
    </w:p>
    <w:p w14:paraId="102D8BA4" w14:textId="77777777" w:rsidR="008F6A8A" w:rsidRDefault="008F6A8A">
      <w:pPr>
        <w:rPr>
          <w:sz w:val="24"/>
          <w:szCs w:val="24"/>
        </w:rPr>
      </w:pPr>
      <w:r w:rsidRPr="008F6A8A">
        <w:rPr>
          <w:sz w:val="24"/>
          <w:szCs w:val="24"/>
        </w:rPr>
        <w:t xml:space="preserve">This project aims to design and optimize India’s green hydrogen supply chain by employing mixed-integer linear programming (MILP) to balance </w:t>
      </w:r>
      <w:r w:rsidRPr="008F6A8A">
        <w:rPr>
          <w:b/>
          <w:bCs/>
          <w:sz w:val="24"/>
          <w:szCs w:val="24"/>
        </w:rPr>
        <w:t>carbon emissions and levelized costs across cross-regional and international networks</w:t>
      </w:r>
      <w:r w:rsidRPr="008F6A8A">
        <w:rPr>
          <w:sz w:val="24"/>
          <w:szCs w:val="24"/>
        </w:rPr>
        <w:t xml:space="preserve">. The methodology involves comprehensive </w:t>
      </w:r>
      <w:r w:rsidRPr="008F6A8A">
        <w:rPr>
          <w:b/>
          <w:bCs/>
          <w:sz w:val="24"/>
          <w:szCs w:val="24"/>
        </w:rPr>
        <w:t>demand analysis</w:t>
      </w:r>
      <w:r w:rsidRPr="008F6A8A">
        <w:rPr>
          <w:sz w:val="24"/>
          <w:szCs w:val="24"/>
        </w:rPr>
        <w:t xml:space="preserve">, identification of </w:t>
      </w:r>
      <w:r w:rsidRPr="008F6A8A">
        <w:rPr>
          <w:b/>
          <w:bCs/>
          <w:sz w:val="24"/>
          <w:szCs w:val="24"/>
        </w:rPr>
        <w:t>strategic export partnerships</w:t>
      </w:r>
      <w:r w:rsidRPr="008F6A8A">
        <w:rPr>
          <w:sz w:val="24"/>
          <w:szCs w:val="24"/>
        </w:rPr>
        <w:t xml:space="preserve">, collection of </w:t>
      </w:r>
      <w:r w:rsidRPr="008F6A8A">
        <w:rPr>
          <w:b/>
          <w:bCs/>
          <w:sz w:val="24"/>
          <w:szCs w:val="24"/>
        </w:rPr>
        <w:t>techno-economic and environmental parameters</w:t>
      </w:r>
      <w:r w:rsidRPr="008F6A8A">
        <w:rPr>
          <w:sz w:val="24"/>
          <w:szCs w:val="24"/>
        </w:rPr>
        <w:t xml:space="preserve">, and scenario-based risk assessment. </w:t>
      </w:r>
    </w:p>
    <w:p w14:paraId="61893D0F" w14:textId="1888F7A9" w:rsidR="008F6A8A" w:rsidRPr="008F6A8A" w:rsidRDefault="00762A58">
      <w:pPr>
        <w:rPr>
          <w:sz w:val="24"/>
          <w:szCs w:val="24"/>
        </w:rPr>
      </w:pPr>
      <w:r w:rsidRPr="00762A58">
        <w:rPr>
          <w:sz w:val="24"/>
          <w:szCs w:val="24"/>
        </w:rPr>
        <w:t xml:space="preserve">The outcomes of this project will include a </w:t>
      </w:r>
      <w:r w:rsidRPr="00762A58">
        <w:rPr>
          <w:b/>
          <w:bCs/>
          <w:sz w:val="24"/>
          <w:szCs w:val="24"/>
        </w:rPr>
        <w:t>set of optimized supply chain strategies for meeting India’s future green hydrogen demand at the lowest possible cost and carbon footprint</w:t>
      </w:r>
      <w:r w:rsidRPr="00762A58">
        <w:rPr>
          <w:sz w:val="24"/>
          <w:szCs w:val="24"/>
        </w:rPr>
        <w:t xml:space="preserve">. The project will </w:t>
      </w:r>
      <w:r w:rsidRPr="00762A58">
        <w:rPr>
          <w:b/>
          <w:bCs/>
          <w:sz w:val="24"/>
          <w:szCs w:val="24"/>
        </w:rPr>
        <w:t>deliver detailed forecasts of hydrogen demand across key sectors</w:t>
      </w:r>
      <w:r w:rsidRPr="00762A58">
        <w:rPr>
          <w:sz w:val="24"/>
          <w:szCs w:val="24"/>
        </w:rPr>
        <w:t>, as well as projections of renewable energy prices that drive hydrogen production economics. Using these inputs, the mixed-integer linear programming model will identify the most cost-effective supply configurations for different time horizons, highlighting when and how green hydrogen can become competitive in India. Additionally, the results will provide actionable recommendations for policy, investment, and infrastructure development, supporting India’s transition to a sustainable hydrogen economy while accounting for uncertainties in demand and resource pricing.</w:t>
      </w:r>
    </w:p>
    <w:p w14:paraId="1895113A" w14:textId="77777777" w:rsidR="008F6A8A" w:rsidRPr="008F6A8A" w:rsidRDefault="008F6A8A">
      <w:pPr>
        <w:rPr>
          <w:sz w:val="24"/>
          <w:szCs w:val="24"/>
        </w:rPr>
      </w:pPr>
    </w:p>
    <w:p w14:paraId="2BC05238" w14:textId="438C8FBB" w:rsidR="008F6A8A" w:rsidRDefault="00762A58">
      <w:pPr>
        <w:rPr>
          <w:b/>
          <w:bCs/>
          <w:sz w:val="40"/>
          <w:szCs w:val="40"/>
        </w:rPr>
      </w:pPr>
      <w:r>
        <w:rPr>
          <w:b/>
          <w:bCs/>
          <w:sz w:val="40"/>
          <w:szCs w:val="40"/>
        </w:rPr>
        <w:t xml:space="preserve">DATA USED </w:t>
      </w:r>
    </w:p>
    <w:p w14:paraId="0A156738" w14:textId="634E6EDD" w:rsidR="00762A58" w:rsidRPr="00762A58" w:rsidRDefault="00762A58" w:rsidP="00762A58">
      <w:pPr>
        <w:pStyle w:val="ListParagraph"/>
        <w:numPr>
          <w:ilvl w:val="1"/>
          <w:numId w:val="5"/>
        </w:numPr>
        <w:rPr>
          <w:b/>
          <w:bCs/>
          <w:sz w:val="28"/>
          <w:szCs w:val="28"/>
        </w:rPr>
      </w:pPr>
      <w:r w:rsidRPr="00762A58">
        <w:rPr>
          <w:b/>
          <w:bCs/>
          <w:sz w:val="28"/>
          <w:szCs w:val="28"/>
        </w:rPr>
        <w:t>For predicting future resource prices</w:t>
      </w:r>
    </w:p>
    <w:p w14:paraId="40CC22DF" w14:textId="7730E31F" w:rsidR="00762A58" w:rsidRPr="00762A58" w:rsidRDefault="00762A58" w:rsidP="00762A58">
      <w:pPr>
        <w:pStyle w:val="ListParagraph"/>
        <w:numPr>
          <w:ilvl w:val="2"/>
          <w:numId w:val="5"/>
        </w:numPr>
        <w:rPr>
          <w:sz w:val="24"/>
          <w:szCs w:val="24"/>
        </w:rPr>
      </w:pPr>
      <w:r w:rsidRPr="00762A58">
        <w:rPr>
          <w:sz w:val="24"/>
          <w:szCs w:val="24"/>
        </w:rPr>
        <w:t>Natural gas price</w:t>
      </w:r>
    </w:p>
    <w:p w14:paraId="15361EA3" w14:textId="66E740C0" w:rsidR="00762A58" w:rsidRPr="00762A58" w:rsidRDefault="00762A58" w:rsidP="00762A58">
      <w:pPr>
        <w:pStyle w:val="ListParagraph"/>
        <w:numPr>
          <w:ilvl w:val="2"/>
          <w:numId w:val="5"/>
        </w:numPr>
        <w:rPr>
          <w:sz w:val="24"/>
          <w:szCs w:val="24"/>
        </w:rPr>
      </w:pPr>
      <w:r w:rsidRPr="00762A58">
        <w:rPr>
          <w:sz w:val="24"/>
          <w:szCs w:val="24"/>
        </w:rPr>
        <w:t>Renewable electricity</w:t>
      </w:r>
    </w:p>
    <w:p w14:paraId="2F9A489D" w14:textId="5BCDBA24" w:rsidR="00762A58" w:rsidRPr="00762A58" w:rsidRDefault="00762A58" w:rsidP="00762A58">
      <w:pPr>
        <w:pStyle w:val="ListParagraph"/>
        <w:numPr>
          <w:ilvl w:val="1"/>
          <w:numId w:val="5"/>
        </w:numPr>
        <w:rPr>
          <w:b/>
          <w:bCs/>
          <w:sz w:val="28"/>
          <w:szCs w:val="28"/>
        </w:rPr>
      </w:pPr>
      <w:r w:rsidRPr="00762A58">
        <w:rPr>
          <w:b/>
          <w:bCs/>
          <w:sz w:val="28"/>
          <w:szCs w:val="28"/>
        </w:rPr>
        <w:t>For predicting future production capacity for India</w:t>
      </w:r>
    </w:p>
    <w:p w14:paraId="703F8C66" w14:textId="3AF74A43" w:rsidR="00762A58" w:rsidRPr="00762A58" w:rsidRDefault="00762A58" w:rsidP="00762A58">
      <w:pPr>
        <w:pStyle w:val="ListParagraph"/>
        <w:numPr>
          <w:ilvl w:val="2"/>
          <w:numId w:val="5"/>
        </w:numPr>
        <w:rPr>
          <w:sz w:val="24"/>
          <w:szCs w:val="24"/>
        </w:rPr>
      </w:pPr>
      <w:r w:rsidRPr="00762A58">
        <w:rPr>
          <w:sz w:val="24"/>
          <w:szCs w:val="24"/>
        </w:rPr>
        <w:t xml:space="preserve">Amount of natural gas exported to India </w:t>
      </w:r>
    </w:p>
    <w:p w14:paraId="6C3E41EC" w14:textId="289B0E6D" w:rsidR="00762A58" w:rsidRPr="00762A58" w:rsidRDefault="00762A58" w:rsidP="00762A58">
      <w:pPr>
        <w:pStyle w:val="ListParagraph"/>
        <w:numPr>
          <w:ilvl w:val="2"/>
          <w:numId w:val="5"/>
        </w:numPr>
        <w:rPr>
          <w:sz w:val="24"/>
          <w:szCs w:val="24"/>
        </w:rPr>
      </w:pPr>
      <w:r w:rsidRPr="00762A58">
        <w:rPr>
          <w:sz w:val="24"/>
          <w:szCs w:val="24"/>
        </w:rPr>
        <w:t xml:space="preserve">Total renewable energy capacity </w:t>
      </w:r>
    </w:p>
    <w:p w14:paraId="19B2B0FA" w14:textId="77777777" w:rsidR="008F6A8A" w:rsidRDefault="008F6A8A">
      <w:pPr>
        <w:rPr>
          <w:b/>
          <w:bCs/>
          <w:sz w:val="40"/>
          <w:szCs w:val="40"/>
        </w:rPr>
      </w:pPr>
    </w:p>
    <w:p w14:paraId="5BF6F72C" w14:textId="77777777" w:rsidR="008F6A8A" w:rsidRDefault="008F6A8A">
      <w:pPr>
        <w:rPr>
          <w:b/>
          <w:bCs/>
          <w:sz w:val="40"/>
          <w:szCs w:val="40"/>
        </w:rPr>
      </w:pPr>
    </w:p>
    <w:p w14:paraId="26736A42" w14:textId="77777777" w:rsidR="008F6A8A" w:rsidRDefault="008F6A8A">
      <w:pPr>
        <w:rPr>
          <w:b/>
          <w:bCs/>
          <w:sz w:val="40"/>
          <w:szCs w:val="40"/>
        </w:rPr>
      </w:pPr>
    </w:p>
    <w:p w14:paraId="4A29F6F7" w14:textId="77777777" w:rsidR="008F6A8A" w:rsidRDefault="008F6A8A">
      <w:pPr>
        <w:rPr>
          <w:b/>
          <w:bCs/>
          <w:sz w:val="40"/>
          <w:szCs w:val="40"/>
        </w:rPr>
      </w:pPr>
    </w:p>
    <w:p w14:paraId="75CD6E78" w14:textId="77777777" w:rsidR="008F6A8A" w:rsidRDefault="008F6A8A">
      <w:pPr>
        <w:rPr>
          <w:b/>
          <w:bCs/>
          <w:sz w:val="40"/>
          <w:szCs w:val="40"/>
        </w:rPr>
      </w:pPr>
    </w:p>
    <w:sectPr w:rsidR="008F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87C18"/>
    <w:multiLevelType w:val="multilevel"/>
    <w:tmpl w:val="140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52901"/>
    <w:multiLevelType w:val="multilevel"/>
    <w:tmpl w:val="917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66BCD"/>
    <w:multiLevelType w:val="multilevel"/>
    <w:tmpl w:val="5A5CEE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D35F94"/>
    <w:multiLevelType w:val="multilevel"/>
    <w:tmpl w:val="0DB2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F7CF9"/>
    <w:multiLevelType w:val="multilevel"/>
    <w:tmpl w:val="855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4A48CE"/>
    <w:multiLevelType w:val="multilevel"/>
    <w:tmpl w:val="77D2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BE2489"/>
    <w:multiLevelType w:val="multilevel"/>
    <w:tmpl w:val="A8C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172303">
    <w:abstractNumId w:val="4"/>
  </w:num>
  <w:num w:numId="2" w16cid:durableId="463960353">
    <w:abstractNumId w:val="1"/>
  </w:num>
  <w:num w:numId="3" w16cid:durableId="1481311290">
    <w:abstractNumId w:val="3"/>
  </w:num>
  <w:num w:numId="4" w16cid:durableId="498694089">
    <w:abstractNumId w:val="6"/>
  </w:num>
  <w:num w:numId="5" w16cid:durableId="888689414">
    <w:abstractNumId w:val="2"/>
  </w:num>
  <w:num w:numId="6" w16cid:durableId="465246466">
    <w:abstractNumId w:val="5"/>
  </w:num>
  <w:num w:numId="7" w16cid:durableId="97880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8A"/>
    <w:rsid w:val="002A686C"/>
    <w:rsid w:val="002D1D57"/>
    <w:rsid w:val="00311DAD"/>
    <w:rsid w:val="005558EF"/>
    <w:rsid w:val="005C48E9"/>
    <w:rsid w:val="00762A58"/>
    <w:rsid w:val="008F6A8A"/>
    <w:rsid w:val="00A41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0C09"/>
  <w15:chartTrackingRefBased/>
  <w15:docId w15:val="{A4631E61-5EF7-4173-821B-0E48345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A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A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A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A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A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A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A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A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A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A8A"/>
    <w:rPr>
      <w:rFonts w:eastAsiaTheme="majorEastAsia" w:cstheme="majorBidi"/>
      <w:color w:val="272727" w:themeColor="text1" w:themeTint="D8"/>
    </w:rPr>
  </w:style>
  <w:style w:type="paragraph" w:styleId="Title">
    <w:name w:val="Title"/>
    <w:basedOn w:val="Normal"/>
    <w:next w:val="Normal"/>
    <w:link w:val="TitleChar"/>
    <w:uiPriority w:val="10"/>
    <w:qFormat/>
    <w:rsid w:val="008F6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A8A"/>
    <w:pPr>
      <w:spacing w:before="160"/>
      <w:jc w:val="center"/>
    </w:pPr>
    <w:rPr>
      <w:i/>
      <w:iCs/>
      <w:color w:val="404040" w:themeColor="text1" w:themeTint="BF"/>
    </w:rPr>
  </w:style>
  <w:style w:type="character" w:customStyle="1" w:styleId="QuoteChar">
    <w:name w:val="Quote Char"/>
    <w:basedOn w:val="DefaultParagraphFont"/>
    <w:link w:val="Quote"/>
    <w:uiPriority w:val="29"/>
    <w:rsid w:val="008F6A8A"/>
    <w:rPr>
      <w:i/>
      <w:iCs/>
      <w:color w:val="404040" w:themeColor="text1" w:themeTint="BF"/>
    </w:rPr>
  </w:style>
  <w:style w:type="paragraph" w:styleId="ListParagraph">
    <w:name w:val="List Paragraph"/>
    <w:basedOn w:val="Normal"/>
    <w:uiPriority w:val="34"/>
    <w:qFormat/>
    <w:rsid w:val="008F6A8A"/>
    <w:pPr>
      <w:ind w:left="720"/>
      <w:contextualSpacing/>
    </w:pPr>
  </w:style>
  <w:style w:type="character" w:styleId="IntenseEmphasis">
    <w:name w:val="Intense Emphasis"/>
    <w:basedOn w:val="DefaultParagraphFont"/>
    <w:uiPriority w:val="21"/>
    <w:qFormat/>
    <w:rsid w:val="008F6A8A"/>
    <w:rPr>
      <w:i/>
      <w:iCs/>
      <w:color w:val="2F5496" w:themeColor="accent1" w:themeShade="BF"/>
    </w:rPr>
  </w:style>
  <w:style w:type="paragraph" w:styleId="IntenseQuote">
    <w:name w:val="Intense Quote"/>
    <w:basedOn w:val="Normal"/>
    <w:next w:val="Normal"/>
    <w:link w:val="IntenseQuoteChar"/>
    <w:uiPriority w:val="30"/>
    <w:qFormat/>
    <w:rsid w:val="008F6A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A8A"/>
    <w:rPr>
      <w:i/>
      <w:iCs/>
      <w:color w:val="2F5496" w:themeColor="accent1" w:themeShade="BF"/>
    </w:rPr>
  </w:style>
  <w:style w:type="character" w:styleId="IntenseReference">
    <w:name w:val="Intense Reference"/>
    <w:basedOn w:val="DefaultParagraphFont"/>
    <w:uiPriority w:val="32"/>
    <w:qFormat/>
    <w:rsid w:val="008F6A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08389">
      <w:bodyDiv w:val="1"/>
      <w:marLeft w:val="0"/>
      <w:marRight w:val="0"/>
      <w:marTop w:val="0"/>
      <w:marBottom w:val="0"/>
      <w:divBdr>
        <w:top w:val="none" w:sz="0" w:space="0" w:color="auto"/>
        <w:left w:val="none" w:sz="0" w:space="0" w:color="auto"/>
        <w:bottom w:val="none" w:sz="0" w:space="0" w:color="auto"/>
        <w:right w:val="none" w:sz="0" w:space="0" w:color="auto"/>
      </w:divBdr>
      <w:divsChild>
        <w:div w:id="733042194">
          <w:marLeft w:val="0"/>
          <w:marRight w:val="0"/>
          <w:marTop w:val="0"/>
          <w:marBottom w:val="0"/>
          <w:divBdr>
            <w:top w:val="single" w:sz="2" w:space="0" w:color="E5E7EB"/>
            <w:left w:val="single" w:sz="2" w:space="0" w:color="E5E7EB"/>
            <w:bottom w:val="single" w:sz="2" w:space="0" w:color="E5E7EB"/>
            <w:right w:val="single" w:sz="2" w:space="0" w:color="E5E7EB"/>
          </w:divBdr>
          <w:divsChild>
            <w:div w:id="9414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20122">
      <w:bodyDiv w:val="1"/>
      <w:marLeft w:val="0"/>
      <w:marRight w:val="0"/>
      <w:marTop w:val="0"/>
      <w:marBottom w:val="0"/>
      <w:divBdr>
        <w:top w:val="none" w:sz="0" w:space="0" w:color="auto"/>
        <w:left w:val="none" w:sz="0" w:space="0" w:color="auto"/>
        <w:bottom w:val="none" w:sz="0" w:space="0" w:color="auto"/>
        <w:right w:val="none" w:sz="0" w:space="0" w:color="auto"/>
      </w:divBdr>
      <w:divsChild>
        <w:div w:id="194004803">
          <w:marLeft w:val="0"/>
          <w:marRight w:val="0"/>
          <w:marTop w:val="0"/>
          <w:marBottom w:val="0"/>
          <w:divBdr>
            <w:top w:val="single" w:sz="2" w:space="0" w:color="E5E7EB"/>
            <w:left w:val="single" w:sz="2" w:space="0" w:color="E5E7EB"/>
            <w:bottom w:val="single" w:sz="2" w:space="0" w:color="E5E7EB"/>
            <w:right w:val="single" w:sz="2" w:space="0" w:color="E5E7EB"/>
          </w:divBdr>
          <w:divsChild>
            <w:div w:id="18033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 Rohan</dc:creator>
  <cp:keywords/>
  <dc:description/>
  <cp:lastModifiedBy>Sumit K Rohan</cp:lastModifiedBy>
  <cp:revision>2</cp:revision>
  <dcterms:created xsi:type="dcterms:W3CDTF">2025-06-09T17:40:00Z</dcterms:created>
  <dcterms:modified xsi:type="dcterms:W3CDTF">2025-06-09T17:40:00Z</dcterms:modified>
</cp:coreProperties>
</file>