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2 Stateful Mamba — Gaussian NLL, Prediction Flow, Portfolio Parquet, and Portfolio Engine</w:t>
      </w:r>
    </w:p>
    <w:p>
      <w:r>
        <w:t>This document summarizes the Phase 2 Stateful Mamba training loss, the model outputs, the end‑to‑end prediction flow, how the portfolio parquet is applied, and the portfolio construction engine.</w:t>
      </w:r>
    </w:p>
    <w:p>
      <w:r>
        <w:rPr>
          <w:b/>
          <w:sz w:val="26"/>
        </w:rPr>
        <w:t>1. Gaussian Negative Log Likelihood (NLL) Loss</w:t>
      </w:r>
    </w:p>
    <w:p>
      <w:r>
        <w:t>Phase 2 trains the Mamba model using a Gaussian NLL loss. The model outputs two values per sample:</w:t>
      </w:r>
    </w:p>
    <w:p>
      <w:r>
        <w:t>• μ (mean return prediction)</w:t>
      </w:r>
    </w:p>
    <w:p>
      <w:r>
        <w:t>• log(σ²) (log variance / uncertainty)</w:t>
      </w:r>
    </w:p>
    <w:p>
      <w:r>
        <w:t>The loss for a single sample is:</w:t>
      </w:r>
    </w:p>
    <w:p>
      <w:r>
        <w:t>NLL = 0.5 * [ log(σ²) + (y − μ)² / σ² ]</w:t>
      </w:r>
    </w:p>
    <w:p>
      <w:r>
        <w:t>This loss encourages accurate mean predictions (μ) while calibrating uncertainty (σ²). It penalizes both large errors and overconfidence.</w:t>
      </w:r>
    </w:p>
    <w:p>
      <w:r>
        <w:rPr>
          <w:b/>
          <w:sz w:val="26"/>
        </w:rPr>
        <w:t>2. Regime‑Weighted Gaussian NLL</w:t>
      </w:r>
    </w:p>
    <w:p>
      <w:r>
        <w:t>A regime‑weighted variant is used to emphasize learning during stress regimes. Each sample can be assigned a non‑negative weight w. The weighted loss is:</w:t>
      </w:r>
    </w:p>
    <w:p>
      <w:r>
        <w:t>NLL_weighted = mean( NLL * w_norm )</w:t>
      </w:r>
    </w:p>
    <w:p>
      <w:r>
        <w:t>Weights are normalized so the mean weight is 1. This prevents learning‑rate instability.</w:t>
      </w:r>
    </w:p>
    <w:p>
      <w:r>
        <w:rPr>
          <w:b/>
          <w:sz w:val="26"/>
        </w:rPr>
        <w:t>3. Uncertainty Regularizers</w:t>
      </w:r>
    </w:p>
    <w:p>
      <w:r>
        <w:t>To avoid overconfident variance collapse, two optional penalties can be applied:</w:t>
      </w:r>
    </w:p>
    <w:p>
      <w:r>
        <w:t>• Sigma floor penalty: discourages σ² dropping below a floor (higher floor in stress).</w:t>
      </w:r>
    </w:p>
    <w:p>
      <w:r>
        <w:t>• Cross‑sectional sigma consistency penalty: discourages extreme dispersion of σ across a batch.</w:t>
      </w:r>
    </w:p>
    <w:p>
      <w:r>
        <w:rPr>
          <w:b/>
          <w:sz w:val="26"/>
        </w:rPr>
        <w:t>4. Anchor L2 Penalty (Conservative Learning)</w:t>
      </w:r>
    </w:p>
    <w:p>
      <w:r>
        <w:t>At each update phase, model parameters are snapshotted as an anchor. An L2 penalty discourages drifting too far from the anchor during small updates:</w:t>
      </w:r>
    </w:p>
    <w:p>
      <w:r>
        <w:t>Penalty = λ * Σ || θ − θ_anchor ||²</w:t>
      </w:r>
    </w:p>
    <w:p>
      <w:r>
        <w:t>This stabilizes training and reduces overfitting to short update windows.</w:t>
      </w:r>
    </w:p>
    <w:p>
      <w:r>
        <w:rPr>
          <w:b/>
          <w:sz w:val="26"/>
        </w:rPr>
        <w:t>5. Model Outputs and Prediction Semantics</w:t>
      </w:r>
    </w:p>
    <w:p>
      <w:r>
        <w:t>For each symbol and each prediction timestamp, the model outputs:</w:t>
      </w:r>
    </w:p>
    <w:p>
      <w:r>
        <w:t>• μ: expected return over the prediction horizon (can be negative or positive)</w:t>
      </w:r>
    </w:p>
    <w:p>
      <w:r>
        <w:t>• σ: predictive uncertainty derived from σ² = softplus(log_var) + ε</w:t>
      </w:r>
    </w:p>
    <w:p>
      <w:r>
        <w:t>Interpretation:</w:t>
      </w:r>
    </w:p>
    <w:p>
      <w:r>
        <w:t>• μ &gt; 0 ⇒ bullish signal (potential long)</w:t>
      </w:r>
    </w:p>
    <w:p>
      <w:r>
        <w:t>• μ &lt; 0 ⇒ bearish signal (potential short)</w:t>
      </w:r>
    </w:p>
    <w:p>
      <w:r>
        <w:t>• Higher σ ⇒ lower confidence, smaller position size</w:t>
      </w:r>
    </w:p>
    <w:p>
      <w:r>
        <w:rPr>
          <w:b/>
          <w:sz w:val="26"/>
        </w:rPr>
        <w:t>6. End‑to‑End Prediction Flow (Top‑to‑Bottom)</w:t>
      </w:r>
    </w:p>
    <w:p>
      <w:r>
        <w:t>Step 1: Build Track‑C feature panels per symbol and align dates.</w:t>
      </w:r>
    </w:p>
    <w:p>
      <w:r>
        <w:t>Step 2: Create rolling sequence tensors (xb) with shape (B, T, D).</w:t>
      </w:r>
    </w:p>
    <w:p>
      <w:r>
        <w:t>Step 3: Feed xb into Mamba to produce (μ, log_var) per sample.</w:t>
      </w:r>
    </w:p>
    <w:p>
      <w:r>
        <w:t>Step 4: Compute σ² = softplus(log_var) + ε and σ = sqrt(σ²).</w:t>
      </w:r>
    </w:p>
    <w:p>
      <w:r>
        <w:t>Step 5: Store μ and σ on the tape for each symbol/day.</w:t>
      </w:r>
    </w:p>
    <w:p>
      <w:r>
        <w:t>Important correction: In Phase‑2, signal strength is computed as z = μ / σ_exec (not μ/σ²).</w:t>
      </w:r>
    </w:p>
    <w:p>
      <w:r>
        <w:rPr>
          <w:b/>
          <w:sz w:val="26"/>
        </w:rPr>
        <w:t>7. Where the Portfolio Parquet Plugs In (RoleAwareContext)</w:t>
      </w:r>
    </w:p>
    <w:p>
      <w:r>
        <w:t>RoleAwareContext reads the portfolio parquet and its provenance. It maps columns into roles:</w:t>
      </w:r>
    </w:p>
    <w:p>
      <w:r>
        <w:t>• hygiene: hard veto / gating</w:t>
      </w:r>
    </w:p>
    <w:p>
      <w:r>
        <w:t>• risk: continuous risk_scale</w:t>
      </w:r>
    </w:p>
    <w:p>
      <w:r>
        <w:t>• regime: continuous regime_multiplier</w:t>
      </w:r>
    </w:p>
    <w:p>
      <w:r>
        <w:t>• optional quantile_z, split_stress, and policy‑state scalars</w:t>
      </w:r>
    </w:p>
    <w:p>
      <w:r>
        <w:t>This is explicitly described as reading the portfolio parquet (not the Mamba parquet) and is used in Phase‑2 to apply overlays after z is computed, before thresholding.</w:t>
      </w:r>
    </w:p>
    <w:p>
      <w:r>
        <w:rPr>
          <w:b/>
          <w:sz w:val="26"/>
        </w:rPr>
        <w:t>8. Phase‑2 Applies Portfolio Overlays Before Markowitz</w:t>
      </w:r>
    </w:p>
    <w:p>
      <w:r>
        <w:t>On each day Phase‑2 pulls the day context and applies:</w:t>
      </w:r>
    </w:p>
    <w:p>
      <w:r>
        <w:t>• z ← z * risk_scale * regime_multiplier</w:t>
      </w:r>
    </w:p>
    <w:p>
      <w:r>
        <w:t>• z ← 0 if hygiene veto is false</w:t>
      </w:r>
    </w:p>
    <w:p>
      <w:r>
        <w:t>• day_quantile_z and policy‑state scalars are stored for policy selection</w:t>
      </w:r>
    </w:p>
    <w:p>
      <w:r>
        <w:t>This is the mechanical link: portfolio parquet features deterministically modify the signal vector before covariance‑aware sizing.</w:t>
      </w:r>
    </w:p>
    <w:p>
      <w:r>
        <w:rPr>
          <w:b/>
          <w:sz w:val="26"/>
        </w:rPr>
        <w:t>9. Portfolio Feature Classes and Their Effects</w:t>
      </w:r>
    </w:p>
    <w:p>
      <w:r>
        <w:rPr>
          <w:b/>
        </w:rPr>
        <w:t>A. HYGIENE (hard veto)</w:t>
      </w:r>
    </w:p>
    <w:p>
      <w:r>
        <w:t>Hygiene uses *_has_data and *_days_since_update with family‑specific staleness thresholds (quarterly ~130 days, monthly ~45, daily/weekly ~10). If hygiene fails, overlays are zeroed and exposure is blocked.</w:t>
      </w:r>
    </w:p>
    <w:p>
      <w:r>
        <w:t>Effect: even strong Mamba signals are suppressed when data is stale or missing.</w:t>
      </w:r>
    </w:p>
    <w:p>
      <w:r>
        <w:rPr>
          <w:b/>
        </w:rPr>
        <w:t>B. RISK (soft down‑weighting)</w:t>
      </w:r>
    </w:p>
    <w:p>
      <w:r>
        <w:t>Risk columns are robust‑normalized and aggregated (mean/max), then converted to a scaling factor:</w:t>
      </w:r>
    </w:p>
    <w:p>
      <w:r>
        <w:t>risk_scale = 1 / (1 + risk_agg)</w:t>
      </w:r>
    </w:p>
    <w:p>
      <w:r>
        <w:t>Effect: high‑risk context shrinks z, reducing weights and often dropping signals below thresholds.</w:t>
      </w:r>
    </w:p>
    <w:p>
      <w:r>
        <w:rPr>
          <w:b/>
        </w:rPr>
        <w:t>C. REGIME (exposure modulation)</w:t>
      </w:r>
    </w:p>
    <w:p>
      <w:r>
        <w:t>Regime features produce a regime_multiplier in [0,1]. They are not predictors; they are exposure gates.</w:t>
      </w:r>
    </w:p>
    <w:p>
      <w:r>
        <w:t>Effect: compresses or expands exposures before optimization.</w:t>
      </w:r>
    </w:p>
    <w:p>
      <w:r>
        <w:rPr>
          <w:b/>
          <w:sz w:val="26"/>
        </w:rPr>
        <w:t>10. Portfolio Parquet and the Policy Controller</w:t>
      </w:r>
    </w:p>
    <w:p>
      <w:r>
        <w:t>The contextual bandit (PolicyController) ingests portfolio‑level scalars from RoleAwareContext:</w:t>
      </w:r>
    </w:p>
    <w:p>
      <w:r>
        <w:t>• cboe_panic_premium</w:t>
      </w:r>
    </w:p>
    <w:p>
      <w:r>
        <w:t>• cboe_term_slope</w:t>
      </w:r>
    </w:p>
    <w:p>
      <w:r>
        <w:t>• cboe_vol_risk_premium_z</w:t>
      </w:r>
    </w:p>
    <w:p>
      <w:r>
        <w:t>• calibration_overall_score</w:t>
      </w:r>
    </w:p>
    <w:p>
      <w:r>
        <w:t>• online_trust_score</w:t>
      </w:r>
    </w:p>
    <w:p>
      <w:r>
        <w:t>These values are used to select risk knobs (thresholds, target vol, caps, etc.). Portfolio parquet features are learned only indirectly via the bandit’s state‑to‑action selection, not by Mamba.</w:t>
      </w:r>
    </w:p>
    <w:p>
      <w:r>
        <w:rPr>
          <w:b/>
          <w:sz w:val="26"/>
        </w:rPr>
        <w:t>11. Quantile Forecasts and Split Stress (Non‑Mamba Controls)</w:t>
      </w:r>
    </w:p>
    <w:p>
      <w:r>
        <w:t>Quantile blending:</w:t>
      </w:r>
    </w:p>
    <w:p>
      <w:r>
        <w:t>• z ← (1 − w_q) * z + w_q * z_quantile</w:t>
      </w:r>
    </w:p>
    <w:p>
      <w:r>
        <w:t>RoleAwareContext builds quantile_z as μ_q/σ_q and zeros it when hygiene fails.</w:t>
      </w:r>
    </w:p>
    <w:p>
      <w:r>
        <w:t>Split stress:</w:t>
      </w:r>
    </w:p>
    <w:p>
      <w:r>
        <w:t>RoleAwareContext computes a split_stress scalar and suggests inflating σ_exec or shrinking z around split events. Split stress is also hygiene‑zeroed.</w:t>
      </w:r>
    </w:p>
    <w:p>
      <w:r>
        <w:rPr>
          <w:b/>
          <w:sz w:val="26"/>
        </w:rPr>
        <w:t>12. Portfolio Engine Flow (Mean‑Variance + Risk Controls)</w:t>
      </w:r>
    </w:p>
    <w:p>
      <w:r>
        <w:t>Step 1: Regime‑aware thresholding — weak signals are zeroed out.</w:t>
      </w:r>
    </w:p>
    <w:p>
      <w:r>
        <w:t>Step 2: Covariance estimation — EWMA covariance with shrinkage to diagonal.</w:t>
      </w:r>
    </w:p>
    <w:p>
      <w:r>
        <w:t>Step 3: Mean‑variance sizing — w_raw = Σ⁻¹ · z.</w:t>
      </w:r>
    </w:p>
    <w:p>
      <w:r>
        <w:t>Step 4: Risk constraints — max position, max gross/net exposure.</w:t>
      </w:r>
    </w:p>
    <w:p>
      <w:r>
        <w:t>Step 5: Volatility targeting — scale weights to target annualized vol.</w:t>
      </w:r>
    </w:p>
    <w:p>
      <w:r>
        <w:t>Step 6: Safety overlays — drawdown and volatility kill‑switches.</w:t>
      </w:r>
    </w:p>
    <w:p>
      <w:r>
        <w:t>The portfolio engine is deterministic (classical optimization). Predictive intelligence comes from Mamba’s μ/σ outputs, while portfolio parquet features control exposure via overlays and policy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