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NIKE, Inc. — Equity Valuation Model: Complete Analysis</w:t>
      </w:r>
    </w:p>
    <w:p>
      <w:pPr>
        <w:jc w:val="center"/>
      </w:pPr>
      <w:r>
        <w:rPr>
          <w:b/>
        </w:rPr>
        <w:t>Exhaustive cell-by-cell documentation of the 'valuatione' worksheet</w:t>
        <w:br/>
        <w:t>NYSE: NKE  |  FY2015–FY2024 historical  |  FY2025–FY2031 forecast</w:t>
        <w:br/>
        <w:t>Model file: NIKE Valuation strategy.xlsx  —  DO NOT MODIFY</w:t>
      </w:r>
    </w:p>
    <w:p>
      <w:r>
        <w:br w:type="page"/>
      </w:r>
    </w:p>
    <w:p>
      <w:pPr>
        <w:pStyle w:val="Heading1"/>
      </w:pPr>
      <w:r>
        <w:t>How to Use This Document</w:t>
      </w:r>
    </w:p>
    <w:p>
      <w:r>
        <w:rPr>
          <w:b w:val="0"/>
          <w:i w:val="0"/>
          <w:sz w:val="20"/>
        </w:rPr>
        <w:t>This document is the authoritative reference for every formula, assumption, data source, and quirk in the NIKE valuation model. It is organised into nine parts that follow the logical flow of the model from structure to outputs. Sections marked [BUG] or [QUIRK] highlight formula inconsistencies or unusual modelling choices that analysts should be aware of when interrogating results.</w:t>
      </w:r>
    </w:p>
    <w:p>
      <w:r>
        <w:br w:type="page"/>
      </w:r>
    </w:p>
    <w:p>
      <w:pPr>
        <w:pStyle w:val="Heading1"/>
      </w:pPr>
      <w:r>
        <w:t>PART I — Model Structure and Architecture</w:t>
      </w:r>
    </w:p>
    <w:p>
      <w:pPr>
        <w:pStyle w:val="Heading2"/>
      </w:pPr>
      <w:r>
        <w:t>1.1  Worksheet Layout</w:t>
      </w:r>
    </w:p>
    <w:p>
      <w:r>
        <w:rPr>
          <w:b w:val="0"/>
          <w:i w:val="0"/>
          <w:sz w:val="20"/>
        </w:rPr>
        <w:t>The workbook contains three sheets: 'instructions' (a read-me), 'valuatione' (the full model, ~590 rows), and 'Sheet1' (CIQ comparable company data). All calculations live in 'valuatione'. The sheet is not password-protected but should be treated as read-only to preserve model integrity.</w:t>
      </w:r>
    </w:p>
    <w:p>
      <w:r>
        <w:rPr>
          <w:b w:val="0"/>
          <w:i w:val="0"/>
          <w:sz w:val="20"/>
        </w:rPr>
        <w:t>Columns are mapped as follows:</w:t>
        <w:br/>
        <w:t xml:space="preserve">  • Column A  — row labels / CIQ field names</w:t>
        <w:br/>
        <w:t xml:space="preserve">  • Columns B–K  — historical years FY2015 through FY2024 (hard data from CIQ)</w:t>
        <w:br/>
        <w:t xml:space="preserve">  • Columns L–R  — forecast years FY2025 through FY2031 (formula-driven)</w:t>
        <w:br/>
        <w:t xml:space="preserve">  • Column S/T  — occasional annotation comments or sanity-check values</w:t>
      </w:r>
    </w:p>
    <w:p>
      <w:pPr>
        <w:pStyle w:val="Heading2"/>
      </w:pPr>
      <w:r>
        <w:t>1.2  Three-Statement Integration</w:t>
      </w:r>
    </w:p>
    <w:p>
      <w:r>
        <w:rPr>
          <w:b w:val="0"/>
          <w:i w:val="0"/>
          <w:sz w:val="20"/>
        </w:rPr>
        <w:t>The model is a fully integrated three-statement model. Balance sheet, income statement, and cash flow statement are linked via the following identities, each explicitly checked by formula:</w:t>
      </w:r>
    </w:p>
    <w:tbl>
      <w:tblPr>
        <w:tblStyle w:val="LightList-Accent1"/>
        <w:tblW w:type="auto" w:w="0"/>
        <w:tblLook w:firstColumn="1" w:firstRow="1" w:lastColumn="0" w:lastRow="0" w:noHBand="0" w:noVBand="1" w:val="04A0"/>
      </w:tblPr>
      <w:tblGrid>
        <w:gridCol w:w="2880"/>
        <w:gridCol w:w="2880"/>
        <w:gridCol w:w="2880"/>
      </w:tblGrid>
      <w:tr>
        <w:tc>
          <w:tcPr>
            <w:tcW w:type="dxa" w:w="3168"/>
          </w:tcPr>
          <w:p>
            <w:r>
              <w:rPr>
                <w:b/>
                <w:sz w:val="18"/>
              </w:rPr>
              <w:t>Statement Link</w:t>
            </w:r>
          </w:p>
        </w:tc>
        <w:tc>
          <w:tcPr>
            <w:tcW w:type="dxa" w:w="3600"/>
          </w:tcPr>
          <w:p>
            <w:r>
              <w:rPr>
                <w:b/>
                <w:sz w:val="18"/>
              </w:rPr>
              <w:t>Relationship</w:t>
            </w:r>
          </w:p>
        </w:tc>
        <w:tc>
          <w:tcPr>
            <w:tcW w:type="dxa" w:w="2880"/>
          </w:tcPr>
          <w:p>
            <w:r>
              <w:rPr>
                <w:b/>
                <w:sz w:val="18"/>
              </w:rPr>
              <w:t>Example Formula</w:t>
            </w:r>
          </w:p>
        </w:tc>
      </w:tr>
      <w:tr>
        <w:tc>
          <w:tcPr>
            <w:tcW w:type="dxa" w:w="3168"/>
          </w:tcPr>
          <w:p/>
        </w:tc>
        <w:tc>
          <w:tcPr>
            <w:tcW w:type="dxa" w:w="3600"/>
          </w:tcPr>
          <w:p/>
        </w:tc>
        <w:tc>
          <w:tcPr>
            <w:tcW w:type="dxa" w:w="2880"/>
          </w:tcPr>
          <w:p/>
        </w:tc>
      </w:tr>
      <w:tr>
        <w:tc>
          <w:tcPr>
            <w:tcW w:type="dxa" w:w="3168"/>
          </w:tcPr>
          <w:p/>
        </w:tc>
        <w:tc>
          <w:tcPr>
            <w:tcW w:type="dxa" w:w="3600"/>
          </w:tcPr>
          <w:p/>
        </w:tc>
        <w:tc>
          <w:tcPr>
            <w:tcW w:type="dxa" w:w="2880"/>
          </w:tcPr>
          <w:p/>
        </w:tc>
      </w:tr>
      <w:tr>
        <w:tc>
          <w:tcPr>
            <w:tcW w:type="dxa" w:w="3168"/>
          </w:tcPr>
          <w:p/>
        </w:tc>
        <w:tc>
          <w:tcPr>
            <w:tcW w:type="dxa" w:w="3600"/>
          </w:tcPr>
          <w:p/>
        </w:tc>
        <w:tc>
          <w:tcPr>
            <w:tcW w:type="dxa" w:w="2880"/>
          </w:tcPr>
          <w:p/>
        </w:tc>
      </w:tr>
      <w:tr>
        <w:tc>
          <w:tcPr>
            <w:tcW w:type="dxa" w:w="3168"/>
          </w:tcPr>
          <w:p/>
        </w:tc>
        <w:tc>
          <w:tcPr>
            <w:tcW w:type="dxa" w:w="3600"/>
          </w:tcPr>
          <w:p/>
        </w:tc>
        <w:tc>
          <w:tcPr>
            <w:tcW w:type="dxa" w:w="2880"/>
          </w:tcPr>
          <w:p/>
        </w:tc>
      </w:tr>
      <w:tr>
        <w:tc>
          <w:tcPr>
            <w:tcW w:type="dxa" w:w="3168"/>
          </w:tcPr>
          <w:p/>
        </w:tc>
        <w:tc>
          <w:tcPr>
            <w:tcW w:type="dxa" w:w="3600"/>
          </w:tcPr>
          <w:p/>
        </w:tc>
        <w:tc>
          <w:tcPr>
            <w:tcW w:type="dxa" w:w="2880"/>
          </w:tcPr>
          <w:p/>
        </w:tc>
      </w:tr>
      <w:tr>
        <w:tc>
          <w:tcPr>
            <w:tcW w:type="dxa" w:w="3168"/>
          </w:tcPr>
          <w:p/>
        </w:tc>
        <w:tc>
          <w:tcPr>
            <w:tcW w:type="dxa" w:w="3600"/>
          </w:tcPr>
          <w:p/>
        </w:tc>
        <w:tc>
          <w:tcPr>
            <w:tcW w:type="dxa" w:w="2880"/>
          </w:tcPr>
          <w:p/>
        </w:tc>
      </w:tr>
      <w:tr>
        <w:tc>
          <w:tcPr>
            <w:tcW w:type="dxa" w:w="3168"/>
          </w:tcPr>
          <w:p/>
        </w:tc>
        <w:tc>
          <w:tcPr>
            <w:tcW w:type="dxa" w:w="3600"/>
          </w:tcPr>
          <w:p/>
        </w:tc>
        <w:tc>
          <w:tcPr>
            <w:tcW w:type="dxa" w:w="2880"/>
          </w:tcPr>
          <w:p/>
        </w:tc>
      </w:tr>
      <w:tr>
        <w:tc>
          <w:tcPr>
            <w:tcW w:type="dxa" w:w="3168"/>
          </w:tcPr>
          <w:p>
            <w:r>
              <w:rPr>
                <w:sz w:val="18"/>
              </w:rPr>
              <w:t>Cash from Ops (row 445)</w:t>
            </w:r>
          </w:p>
        </w:tc>
        <w:tc>
          <w:tcPr>
            <w:tcW w:type="dxa" w:w="3600"/>
          </w:tcPr>
          <w:p>
            <w:r>
              <w:rPr>
                <w:sz w:val="18"/>
              </w:rPr>
              <w:t>= row 233 (model's CFO)</w:t>
            </w:r>
          </w:p>
        </w:tc>
        <w:tc>
          <w:tcPr>
            <w:tcW w:type="dxa" w:w="2880"/>
          </w:tcPr>
          <w:p>
            <w:r>
              <w:rPr>
                <w:sz w:val="18"/>
              </w:rPr>
              <w:t>L445: =L233</w:t>
            </w:r>
          </w:p>
        </w:tc>
      </w:tr>
      <w:tr>
        <w:tc>
          <w:tcPr>
            <w:tcW w:type="dxa" w:w="3168"/>
          </w:tcPr>
          <w:p>
            <w:r>
              <w:rPr>
                <w:sz w:val="18"/>
              </w:rPr>
              <w:t>Cash from Investing (row 451)</w:t>
            </w:r>
          </w:p>
        </w:tc>
        <w:tc>
          <w:tcPr>
            <w:tcW w:type="dxa" w:w="3600"/>
          </w:tcPr>
          <w:p>
            <w:r>
              <w:rPr>
                <w:sz w:val="18"/>
              </w:rPr>
              <w:t>= row 234 (model's CFI)</w:t>
            </w:r>
          </w:p>
        </w:tc>
        <w:tc>
          <w:tcPr>
            <w:tcW w:type="dxa" w:w="2880"/>
          </w:tcPr>
          <w:p>
            <w:r>
              <w:rPr>
                <w:sz w:val="18"/>
              </w:rPr>
              <w:t>L451: =L234</w:t>
            </w:r>
          </w:p>
        </w:tc>
      </w:tr>
      <w:tr>
        <w:tc>
          <w:tcPr>
            <w:tcW w:type="dxa" w:w="3168"/>
          </w:tcPr>
          <w:p>
            <w:r>
              <w:rPr>
                <w:sz w:val="18"/>
              </w:rPr>
              <w:t>Cash from Financing (row 466)</w:t>
            </w:r>
          </w:p>
        </w:tc>
        <w:tc>
          <w:tcPr>
            <w:tcW w:type="dxa" w:w="3600"/>
          </w:tcPr>
          <w:p>
            <w:r>
              <w:rPr>
                <w:sz w:val="18"/>
              </w:rPr>
              <w:t>= row 235 (model's CFF)</w:t>
            </w:r>
          </w:p>
        </w:tc>
        <w:tc>
          <w:tcPr>
            <w:tcW w:type="dxa" w:w="2880"/>
          </w:tcPr>
          <w:p>
            <w:r>
              <w:rPr>
                <w:sz w:val="18"/>
              </w:rPr>
              <w:t>L466: =L235</w:t>
            </w:r>
          </w:p>
        </w:tc>
      </w:tr>
      <w:tr>
        <w:tc>
          <w:tcPr>
            <w:tcW w:type="dxa" w:w="3168"/>
          </w:tcPr>
          <w:p>
            <w:r>
              <w:rPr>
                <w:sz w:val="18"/>
              </w:rPr>
              <w:t>Net Change in Cash (row 469)</w:t>
            </w:r>
          </w:p>
        </w:tc>
        <w:tc>
          <w:tcPr>
            <w:tcW w:type="dxa" w:w="3600"/>
          </w:tcPr>
          <w:p>
            <w:r>
              <w:rPr>
                <w:sz w:val="18"/>
              </w:rPr>
              <w:t>= CFO+CFI+CFF+FX (rows 445+451+466+468)</w:t>
            </w:r>
          </w:p>
        </w:tc>
        <w:tc>
          <w:tcPr>
            <w:tcW w:type="dxa" w:w="2880"/>
          </w:tcPr>
          <w:p>
            <w:r>
              <w:rPr>
                <w:sz w:val="18"/>
              </w:rPr>
              <w:t>L469: =L445+L451+L466+L468</w:t>
            </w:r>
          </w:p>
        </w:tc>
      </w:tr>
      <w:tr>
        <w:tc>
          <w:tcPr>
            <w:tcW w:type="dxa" w:w="3168"/>
          </w:tcPr>
          <w:p>
            <w:r>
              <w:rPr>
                <w:sz w:val="18"/>
              </w:rPr>
              <w:t>Ending Cash (row 500)</w:t>
            </w:r>
          </w:p>
        </w:tc>
        <w:tc>
          <w:tcPr>
            <w:tcW w:type="dxa" w:w="3600"/>
          </w:tcPr>
          <w:p>
            <w:r>
              <w:rPr>
                <w:sz w:val="18"/>
              </w:rPr>
              <w:t>= prior cash + ΔCash (row 236)</w:t>
            </w:r>
          </w:p>
        </w:tc>
        <w:tc>
          <w:tcPr>
            <w:tcW w:type="dxa" w:w="2880"/>
          </w:tcPr>
          <w:p>
            <w:r>
              <w:rPr>
                <w:sz w:val="18"/>
              </w:rPr>
              <w:t>L500: =K500+L236</w:t>
            </w:r>
          </w:p>
        </w:tc>
      </w:tr>
      <w:tr>
        <w:tc>
          <w:tcPr>
            <w:tcW w:type="dxa" w:w="3168"/>
          </w:tcPr>
          <w:p>
            <w:r>
              <w:rPr>
                <w:sz w:val="18"/>
              </w:rPr>
              <w:t>Total Assets (row 518)</w:t>
            </w:r>
          </w:p>
        </w:tc>
        <w:tc>
          <w:tcPr>
            <w:tcW w:type="dxa" w:w="3600"/>
          </w:tcPr>
          <w:p>
            <w:r>
              <w:rPr>
                <w:sz w:val="18"/>
              </w:rPr>
              <w:t>= Total Liabilities + Equity (row 541)</w:t>
            </w:r>
          </w:p>
        </w:tc>
        <w:tc>
          <w:tcPr>
            <w:tcW w:type="dxa" w:w="2880"/>
          </w:tcPr>
          <w:p>
            <w:r>
              <w:rPr>
                <w:sz w:val="18"/>
              </w:rPr>
              <w:t>L541: =L540+L533</w:t>
            </w:r>
          </w:p>
        </w:tc>
      </w:tr>
      <w:tr>
        <w:tc>
          <w:tcPr>
            <w:tcW w:type="dxa" w:w="3168"/>
          </w:tcPr>
          <w:p>
            <w:r>
              <w:rPr>
                <w:sz w:val="18"/>
              </w:rPr>
              <w:t>Retained Earnings (row 537)</w:t>
            </w:r>
          </w:p>
        </w:tc>
        <w:tc>
          <w:tcPr>
            <w:tcW w:type="dxa" w:w="3600"/>
          </w:tcPr>
          <w:p>
            <w:r>
              <w:rPr>
                <w:sz w:val="18"/>
              </w:rPr>
              <w:t>= prior RE + NI + dividends</w:t>
            </w:r>
          </w:p>
        </w:tc>
        <w:tc>
          <w:tcPr>
            <w:tcW w:type="dxa" w:w="2880"/>
          </w:tcPr>
          <w:p>
            <w:r>
              <w:rPr>
                <w:sz w:val="18"/>
              </w:rPr>
              <w:t>L537: =L361+L464+K537</w:t>
            </w:r>
          </w:p>
        </w:tc>
      </w:tr>
    </w:tbl>
    <w:p/>
    <w:p>
      <w:pPr>
        <w:pStyle w:val="Heading2"/>
      </w:pPr>
      <w:r>
        <w:t>1.3  Time Axis</w:t>
      </w:r>
    </w:p>
    <w:p>
      <w:r>
        <w:rPr>
          <w:b w:val="0"/>
          <w:i w:val="0"/>
          <w:sz w:val="20"/>
        </w:rPr>
        <w:t>Row 10 contains year labels (2015 through 2031). The model uses CIQ's fiscal-year convention: NIKE's fiscal year ends 31 May. So 'FY2024' = the year ended 31 May 2024. Row 28 stores the column index to identify the last historical year (K = column 11, FY2024) and the first forecast year (L = column 12, FY2025). Forecast columns run L through R = 7 years.</w:t>
      </w:r>
    </w:p>
    <w:p>
      <w:pPr>
        <w:pStyle w:val="Heading2"/>
      </w:pPr>
      <w:r>
        <w:t>1.4  Data Sources</w:t>
      </w:r>
    </w:p>
    <w:p>
      <w:r>
        <w:rPr>
          <w:b w:val="0"/>
          <w:i w:val="0"/>
          <w:sz w:val="20"/>
        </w:rPr>
        <w:t>Historical financial data is sourced from S&amp;P Capital IQ (CIQ) in three raw-data blocks embedded directly in the worksheet:</w:t>
      </w:r>
    </w:p>
    <w:tbl>
      <w:tblPr>
        <w:tblStyle w:val="LightList-Accent1"/>
        <w:tblW w:type="auto" w:w="0"/>
        <w:tblLook w:firstColumn="1" w:firstRow="1" w:lastColumn="0" w:lastRow="0" w:noHBand="0" w:noVBand="1" w:val="04A0"/>
      </w:tblPr>
      <w:tblGrid>
        <w:gridCol w:w="2880"/>
        <w:gridCol w:w="2880"/>
        <w:gridCol w:w="2880"/>
      </w:tblGrid>
      <w:tr>
        <w:tc>
          <w:tcPr>
            <w:tcW w:type="dxa" w:w="2160"/>
          </w:tcPr>
          <w:p>
            <w:r>
              <w:rPr>
                <w:b/>
                <w:sz w:val="18"/>
              </w:rPr>
              <w:t>Block</w:t>
            </w:r>
          </w:p>
        </w:tc>
        <w:tc>
          <w:tcPr>
            <w:tcW w:type="dxa" w:w="1728"/>
          </w:tcPr>
          <w:p>
            <w:r>
              <w:rPr>
                <w:b/>
                <w:sz w:val="18"/>
              </w:rPr>
              <w:t>Rows</w:t>
            </w:r>
          </w:p>
        </w:tc>
        <w:tc>
          <w:tcPr>
            <w:tcW w:type="dxa" w:w="5760"/>
          </w:tcPr>
          <w:p>
            <w:r>
              <w:rPr>
                <w:b/>
                <w:sz w:val="18"/>
              </w:rPr>
              <w:t>Content</w:t>
            </w:r>
          </w:p>
        </w:tc>
      </w:tr>
      <w:tr>
        <w:tc>
          <w:tcPr>
            <w:tcW w:type="dxa" w:w="2160"/>
          </w:tcPr>
          <w:p/>
        </w:tc>
        <w:tc>
          <w:tcPr>
            <w:tcW w:type="dxa" w:w="1728"/>
          </w:tcPr>
          <w:p/>
        </w:tc>
        <w:tc>
          <w:tcPr>
            <w:tcW w:type="dxa" w:w="5760"/>
          </w:tcPr>
          <w:p/>
        </w:tc>
      </w:tr>
      <w:tr>
        <w:tc>
          <w:tcPr>
            <w:tcW w:type="dxa" w:w="2160"/>
          </w:tcPr>
          <w:p/>
        </w:tc>
        <w:tc>
          <w:tcPr>
            <w:tcW w:type="dxa" w:w="1728"/>
          </w:tcPr>
          <w:p/>
        </w:tc>
        <w:tc>
          <w:tcPr>
            <w:tcW w:type="dxa" w:w="5760"/>
          </w:tcPr>
          <w:p/>
        </w:tc>
      </w:tr>
      <w:tr>
        <w:tc>
          <w:tcPr>
            <w:tcW w:type="dxa" w:w="2160"/>
          </w:tcPr>
          <w:p/>
        </w:tc>
        <w:tc>
          <w:tcPr>
            <w:tcW w:type="dxa" w:w="1728"/>
          </w:tcPr>
          <w:p/>
        </w:tc>
        <w:tc>
          <w:tcPr>
            <w:tcW w:type="dxa" w:w="5760"/>
          </w:tcPr>
          <w:p/>
        </w:tc>
      </w:tr>
      <w:tr>
        <w:tc>
          <w:tcPr>
            <w:tcW w:type="dxa" w:w="2160"/>
          </w:tcPr>
          <w:p>
            <w:r>
              <w:rPr>
                <w:sz w:val="18"/>
              </w:rPr>
              <w:t>Income Statement</w:t>
            </w:r>
          </w:p>
        </w:tc>
        <w:tc>
          <w:tcPr>
            <w:tcW w:type="dxa" w:w="1728"/>
          </w:tcPr>
          <w:p>
            <w:r>
              <w:rPr>
                <w:sz w:val="18"/>
              </w:rPr>
              <w:t>315–412</w:t>
            </w:r>
          </w:p>
        </w:tc>
        <w:tc>
          <w:tcPr>
            <w:tcW w:type="dxa" w:w="5760"/>
          </w:tcPr>
          <w:p>
            <w:r>
              <w:rPr>
                <w:sz w:val="18"/>
              </w:rPr>
              <w:t>Revenue through SBC detail; 10 fiscal years FY2015–FY2024</w:t>
            </w:r>
          </w:p>
        </w:tc>
      </w:tr>
      <w:tr>
        <w:tc>
          <w:tcPr>
            <w:tcW w:type="dxa" w:w="2160"/>
          </w:tcPr>
          <w:p>
            <w:r>
              <w:rPr>
                <w:sz w:val="18"/>
              </w:rPr>
              <w:t>Cash Flow Statement</w:t>
            </w:r>
          </w:p>
        </w:tc>
        <w:tc>
          <w:tcPr>
            <w:tcW w:type="dxa" w:w="1728"/>
          </w:tcPr>
          <w:p>
            <w:r>
              <w:rPr>
                <w:sz w:val="18"/>
              </w:rPr>
              <w:t>415–478</w:t>
            </w:r>
          </w:p>
        </w:tc>
        <w:tc>
          <w:tcPr>
            <w:tcW w:type="dxa" w:w="5760"/>
          </w:tcPr>
          <w:p>
            <w:r>
              <w:rPr>
                <w:sz w:val="18"/>
              </w:rPr>
              <w:t>Operating/Investing/Financing activities + supplemental items</w:t>
            </w:r>
          </w:p>
        </w:tc>
      </w:tr>
      <w:tr>
        <w:tc>
          <w:tcPr>
            <w:tcW w:type="dxa" w:w="2160"/>
          </w:tcPr>
          <w:p>
            <w:r>
              <w:rPr>
                <w:sz w:val="18"/>
              </w:rPr>
              <w:t>Balance Sheet</w:t>
            </w:r>
          </w:p>
        </w:tc>
        <w:tc>
          <w:tcPr>
            <w:tcW w:type="dxa" w:w="1728"/>
          </w:tcPr>
          <w:p>
            <w:r>
              <w:rPr>
                <w:sz w:val="18"/>
              </w:rPr>
              <w:t>480–590</w:t>
            </w:r>
          </w:p>
        </w:tc>
        <w:tc>
          <w:tcPr>
            <w:tcW w:type="dxa" w:w="5760"/>
          </w:tcPr>
          <w:p>
            <w:r>
              <w:rPr>
                <w:sz w:val="18"/>
              </w:rPr>
              <w:t>Full BS + NOL/FIN48/Fair Value supplemental tables</w:t>
            </w:r>
          </w:p>
        </w:tc>
      </w:tr>
    </w:tbl>
    <w:p/>
    <w:p>
      <w:r>
        <w:rPr>
          <w:b w:val="0"/>
          <w:i w:val="0"/>
          <w:sz w:val="20"/>
        </w:rPr>
        <w:t>Each raw-data block carries a header (rows 415–425 for CF, 480–490 for BS) with metadata: source = 'S&amp;P Capital IQ - Standard', currency = USD, magnitude = Thousands (K), and period = Custom (FY ended May 31). The 'CIQ Restatement Type Code' rows (e.g. row 477) show 'NC' (no change) for most years; 'RS' (restated) appears for the CF statement in FY2016–FY2017 and for the BS in FY2015–FY2017, meaning those historical figures reflect subsequent restatements and may differ from originally-filed 10-Ks. 'RUP' (rolled-up) appears in the BS calculation code for FY2015–FY2021.</w:t>
      </w:r>
    </w:p>
    <w:p>
      <w:r>
        <w:br w:type="page"/>
      </w:r>
    </w:p>
    <w:p>
      <w:pPr>
        <w:pStyle w:val="Heading1"/>
      </w:pPr>
      <w:r>
        <w:t>PART II — Revenue and Income Statement</w:t>
      </w:r>
    </w:p>
    <w:p>
      <w:pPr>
        <w:pStyle w:val="Heading2"/>
      </w:pPr>
      <w:r>
        <w:t>2.1  Revenue Drivers Table (Rows 320–327)</w:t>
      </w:r>
    </w:p>
    <w:p>
      <w:r>
        <w:rPr>
          <w:b w:val="0"/>
          <w:i w:val="0"/>
          <w:sz w:val="20"/>
        </w:rPr>
        <w:t>Rows 320–327 contain the key assumption inputs that drive all forecast income statement lines. These are the PRIMARY input cells of the model. No other assumptions override these except items explicitly hard-coded elsewhere.</w:t>
      </w:r>
    </w:p>
    <w:tbl>
      <w:tblPr>
        <w:tblStyle w:val="LightList-Accent1"/>
        <w:tblW w:type="auto" w:w="0"/>
        <w:tblLook w:firstColumn="1" w:firstRow="1" w:lastColumn="0" w:lastRow="0" w:noHBand="0" w:noVBand="1" w:val="04A0"/>
      </w:tblPr>
      <w:tblGrid>
        <w:gridCol w:w="2160"/>
        <w:gridCol w:w="2160"/>
        <w:gridCol w:w="2160"/>
        <w:gridCol w:w="2160"/>
      </w:tblGrid>
      <w:tr>
        <w:tc>
          <w:tcPr>
            <w:tcW w:type="dxa" w:w="720"/>
          </w:tcPr>
          <w:p>
            <w:r>
              <w:rPr>
                <w:b/>
                <w:sz w:val="18"/>
              </w:rPr>
              <w:t>Row</w:t>
            </w:r>
          </w:p>
        </w:tc>
        <w:tc>
          <w:tcPr>
            <w:tcW w:type="dxa" w:w="2880"/>
          </w:tcPr>
          <w:p>
            <w:r>
              <w:rPr>
                <w:b/>
                <w:sz w:val="18"/>
              </w:rPr>
              <w:t>Label</w:t>
            </w:r>
          </w:p>
        </w:tc>
        <w:tc>
          <w:tcPr>
            <w:tcW w:type="dxa" w:w="1872"/>
          </w:tcPr>
          <w:p>
            <w:r>
              <w:rPr>
                <w:b/>
                <w:sz w:val="18"/>
              </w:rPr>
              <w:t>FY2025 Value</w:t>
            </w:r>
          </w:p>
        </w:tc>
        <w:tc>
          <w:tcPr>
            <w:tcW w:type="dxa" w:w="4320"/>
          </w:tcPr>
          <w:p>
            <w:r>
              <w:rPr>
                <w:b/>
                <w:sz w:val="18"/>
              </w:rPr>
              <w:t>Description</w:t>
            </w: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r>
              <w:rPr>
                <w:sz w:val="18"/>
              </w:rPr>
              <w:t>320</w:t>
            </w:r>
          </w:p>
        </w:tc>
        <w:tc>
          <w:tcPr>
            <w:tcW w:type="dxa" w:w="2880"/>
          </w:tcPr>
          <w:p>
            <w:r>
              <w:rPr>
                <w:sz w:val="18"/>
              </w:rPr>
              <w:t>Revenue Growth Rate</w:t>
            </w:r>
          </w:p>
        </w:tc>
        <w:tc>
          <w:tcPr>
            <w:tcW w:type="dxa" w:w="1872"/>
          </w:tcPr>
          <w:p>
            <w:r>
              <w:rPr>
                <w:sz w:val="18"/>
              </w:rPr>
              <w:t>Formula</w:t>
            </w:r>
          </w:p>
        </w:tc>
        <w:tc>
          <w:tcPr>
            <w:tcW w:type="dxa" w:w="4320"/>
          </w:tcPr>
          <w:p>
            <w:r>
              <w:rPr>
                <w:sz w:val="18"/>
              </w:rPr>
              <w:t>= (L338/K338) - 1; this row derives growth from the revenue row itself, so the real driver is row 338</w:t>
            </w:r>
          </w:p>
        </w:tc>
      </w:tr>
      <w:tr>
        <w:tc>
          <w:tcPr>
            <w:tcW w:type="dxa" w:w="720"/>
          </w:tcPr>
          <w:p>
            <w:r>
              <w:rPr>
                <w:sz w:val="18"/>
              </w:rPr>
              <w:t>321</w:t>
            </w:r>
          </w:p>
        </w:tc>
        <w:tc>
          <w:tcPr>
            <w:tcW w:type="dxa" w:w="2880"/>
          </w:tcPr>
          <w:p>
            <w:r>
              <w:rPr>
                <w:sz w:val="18"/>
              </w:rPr>
              <w:t>COGS % of Revenue</w:t>
            </w:r>
          </w:p>
        </w:tc>
        <w:tc>
          <w:tcPr>
            <w:tcW w:type="dxa" w:w="1872"/>
          </w:tcPr>
          <w:p>
            <w:r>
              <w:rPr>
                <w:sz w:val="18"/>
              </w:rPr>
              <w:t>~57%</w:t>
            </w:r>
          </w:p>
        </w:tc>
        <w:tc>
          <w:tcPr>
            <w:tcW w:type="dxa" w:w="4320"/>
          </w:tcPr>
          <w:p>
            <w:r>
              <w:rPr>
                <w:sz w:val="18"/>
              </w:rPr>
              <w:t>Historical average COGS/Revenue applied to forecast years</w:t>
            </w:r>
          </w:p>
        </w:tc>
      </w:tr>
      <w:tr>
        <w:tc>
          <w:tcPr>
            <w:tcW w:type="dxa" w:w="720"/>
          </w:tcPr>
          <w:p>
            <w:r>
              <w:rPr>
                <w:sz w:val="18"/>
              </w:rPr>
              <w:t>322</w:t>
            </w:r>
          </w:p>
        </w:tc>
        <w:tc>
          <w:tcPr>
            <w:tcW w:type="dxa" w:w="2880"/>
          </w:tcPr>
          <w:p>
            <w:r>
              <w:rPr>
                <w:sz w:val="18"/>
              </w:rPr>
              <w:t>SG&amp;A % of Revenue</w:t>
            </w:r>
          </w:p>
        </w:tc>
        <w:tc>
          <w:tcPr>
            <w:tcW w:type="dxa" w:w="1872"/>
          </w:tcPr>
          <w:p>
            <w:r>
              <w:rPr>
                <w:sz w:val="18"/>
              </w:rPr>
              <w:t>~31%</w:t>
            </w:r>
          </w:p>
        </w:tc>
        <w:tc>
          <w:tcPr>
            <w:tcW w:type="dxa" w:w="4320"/>
          </w:tcPr>
          <w:p>
            <w:r>
              <w:rPr>
                <w:sz w:val="18"/>
              </w:rPr>
              <w:t>Historical SG&amp;A ratio scaled forward</w:t>
            </w:r>
          </w:p>
        </w:tc>
      </w:tr>
      <w:tr>
        <w:tc>
          <w:tcPr>
            <w:tcW w:type="dxa" w:w="720"/>
          </w:tcPr>
          <w:p>
            <w:r>
              <w:rPr>
                <w:sz w:val="18"/>
              </w:rPr>
              <w:t>323</w:t>
            </w:r>
          </w:p>
        </w:tc>
        <w:tc>
          <w:tcPr>
            <w:tcW w:type="dxa" w:w="2880"/>
          </w:tcPr>
          <w:p>
            <w:r>
              <w:rPr>
                <w:sz w:val="18"/>
              </w:rPr>
              <w:t>D/TA Ratio (Debt/Total Assets)</w:t>
            </w:r>
          </w:p>
        </w:tc>
        <w:tc>
          <w:tcPr>
            <w:tcW w:type="dxa" w:w="1872"/>
          </w:tcPr>
          <w:p>
            <w:r>
              <w:rPr>
                <w:sz w:val="18"/>
              </w:rPr>
              <w:t>~24%</w:t>
            </w:r>
          </w:p>
        </w:tc>
        <w:tc>
          <w:tcPr>
            <w:tcW w:type="dxa" w:w="4320"/>
          </w:tcPr>
          <w:p>
            <w:r>
              <w:rPr>
                <w:sz w:val="18"/>
              </w:rPr>
              <w:t>Used to compute Long-term Debt in row 528; see Section 7.2</w:t>
            </w:r>
          </w:p>
        </w:tc>
      </w:tr>
      <w:tr>
        <w:tc>
          <w:tcPr>
            <w:tcW w:type="dxa" w:w="720"/>
          </w:tcPr>
          <w:p>
            <w:r>
              <w:rPr>
                <w:sz w:val="18"/>
              </w:rPr>
              <w:t>324</w:t>
            </w:r>
          </w:p>
        </w:tc>
        <w:tc>
          <w:tcPr>
            <w:tcW w:type="dxa" w:w="2880"/>
          </w:tcPr>
          <w:p>
            <w:r>
              <w:rPr>
                <w:sz w:val="18"/>
              </w:rPr>
              <w:t>Payout Ratio</w:t>
            </w:r>
          </w:p>
        </w:tc>
        <w:tc>
          <w:tcPr>
            <w:tcW w:type="dxa" w:w="1872"/>
          </w:tcPr>
          <w:p>
            <w:r>
              <w:rPr>
                <w:sz w:val="18"/>
              </w:rPr>
              <w:t>-0.4</w:t>
            </w:r>
          </w:p>
        </w:tc>
        <w:tc>
          <w:tcPr>
            <w:tcW w:type="dxa" w:w="4320"/>
          </w:tcPr>
          <w:p>
            <w:r>
              <w:rPr>
                <w:sz w:val="18"/>
              </w:rPr>
              <w:t>Negative sign convention; used as coefficient in buyback formula (row 460). ~40% of NI returned via buybacks</w:t>
            </w:r>
          </w:p>
        </w:tc>
      </w:tr>
      <w:tr>
        <w:tc>
          <w:tcPr>
            <w:tcW w:type="dxa" w:w="720"/>
          </w:tcPr>
          <w:p>
            <w:r>
              <w:rPr>
                <w:sz w:val="18"/>
              </w:rPr>
              <w:t>325</w:t>
            </w:r>
          </w:p>
        </w:tc>
        <w:tc>
          <w:tcPr>
            <w:tcW w:type="dxa" w:w="2880"/>
          </w:tcPr>
          <w:p>
            <w:r>
              <w:rPr>
                <w:sz w:val="18"/>
              </w:rPr>
              <w:t>CapEx % of Revenue</w:t>
            </w:r>
          </w:p>
        </w:tc>
        <w:tc>
          <w:tcPr>
            <w:tcW w:type="dxa" w:w="1872"/>
          </w:tcPr>
          <w:p>
            <w:r>
              <w:rPr>
                <w:sz w:val="18"/>
              </w:rPr>
              <w:t>~3.2%</w:t>
            </w:r>
          </w:p>
        </w:tc>
        <w:tc>
          <w:tcPr>
            <w:tcW w:type="dxa" w:w="4320"/>
          </w:tcPr>
          <w:p>
            <w:r>
              <w:rPr>
                <w:sz w:val="18"/>
              </w:rPr>
              <w:t>Drives capex in forecast; row 248 = -revenue × capex%</w:t>
            </w:r>
          </w:p>
        </w:tc>
      </w:tr>
      <w:tr>
        <w:tc>
          <w:tcPr>
            <w:tcW w:type="dxa" w:w="720"/>
          </w:tcPr>
          <w:p>
            <w:r>
              <w:rPr>
                <w:sz w:val="18"/>
              </w:rPr>
              <w:t>326</w:t>
            </w:r>
          </w:p>
        </w:tc>
        <w:tc>
          <w:tcPr>
            <w:tcW w:type="dxa" w:w="2880"/>
          </w:tcPr>
          <w:p>
            <w:r>
              <w:rPr>
                <w:sz w:val="18"/>
              </w:rPr>
              <w:t>D&amp;A % of Revenue</w:t>
            </w:r>
          </w:p>
        </w:tc>
        <w:tc>
          <w:tcPr>
            <w:tcW w:type="dxa" w:w="1872"/>
          </w:tcPr>
          <w:p>
            <w:r>
              <w:rPr>
                <w:sz w:val="18"/>
              </w:rPr>
              <w:t>~2.0%</w:t>
            </w:r>
          </w:p>
        </w:tc>
        <w:tc>
          <w:tcPr>
            <w:tcW w:type="dxa" w:w="4320"/>
          </w:tcPr>
          <w:p>
            <w:r>
              <w:rPr>
                <w:sz w:val="18"/>
              </w:rPr>
              <w:t>Drives depreciation in forecast; row 249</w:t>
            </w:r>
          </w:p>
        </w:tc>
      </w:tr>
      <w:tr>
        <w:tc>
          <w:tcPr>
            <w:tcW w:type="dxa" w:w="720"/>
          </w:tcPr>
          <w:p>
            <w:r>
              <w:rPr>
                <w:sz w:val="18"/>
              </w:rPr>
              <w:t>327</w:t>
            </w:r>
          </w:p>
        </w:tc>
        <w:tc>
          <w:tcPr>
            <w:tcW w:type="dxa" w:w="2880"/>
          </w:tcPr>
          <w:p>
            <w:r>
              <w:rPr>
                <w:sz w:val="18"/>
              </w:rPr>
              <w:t>NWC % of Revenue</w:t>
            </w:r>
          </w:p>
        </w:tc>
        <w:tc>
          <w:tcPr>
            <w:tcW w:type="dxa" w:w="1872"/>
          </w:tcPr>
          <w:p>
            <w:r>
              <w:rPr>
                <w:sz w:val="18"/>
              </w:rPr>
              <w:t>~8%</w:t>
            </w:r>
          </w:p>
        </w:tc>
        <w:tc>
          <w:tcPr>
            <w:tcW w:type="dxa" w:w="4320"/>
          </w:tcPr>
          <w:p>
            <w:r>
              <w:rPr>
                <w:sz w:val="18"/>
              </w:rPr>
              <w:t>Net Operating Working Capital as % of revenue; drives ΔNOWC</w:t>
            </w:r>
          </w:p>
        </w:tc>
      </w:tr>
    </w:tbl>
    <w:p/>
    <w:p>
      <w:pPr>
        <w:ind w:left="432"/>
      </w:pPr>
      <w:r>
        <w:rPr>
          <w:b/>
          <w:color w:val="C0390B"/>
          <w:sz w:val="18"/>
        </w:rPr>
        <w:t>[QUIRK]  Row 324 stores the payout ratio as a NEGATIVE number (e.g. -0.4 = 40%). This is because the buyback formula reads: L460 = L361 × L324 where L361 is Net Income (positive). The product yields a negative buyback cash flow, consistent with the sign convention that cash outflows are negative. This means the cell value itself looks like a negative payout ratio, which can be confusing when reading the drivers table in isolation.</w:t>
      </w:r>
    </w:p>
    <w:p>
      <w:pPr>
        <w:pStyle w:val="Heading2"/>
      </w:pPr>
      <w:r>
        <w:t>2.2  Revenue Formula Chain (Row 338)</w:t>
      </w:r>
    </w:p>
    <w:p>
      <w:r>
        <w:rPr>
          <w:b w:val="0"/>
          <w:i w:val="0"/>
          <w:sz w:val="20"/>
        </w:rPr>
        <w:t>Historical revenue (columns B–K) is hard data from CIQ. Forecast revenue is:</w:t>
      </w:r>
    </w:p>
    <w:p>
      <w:r>
        <w:rPr>
          <w:b/>
          <w:i w:val="0"/>
          <w:sz w:val="20"/>
        </w:rPr>
        <w:t xml:space="preserve">    L338: =K338 × (1 + L320)^1</w:t>
      </w:r>
    </w:p>
    <w:p>
      <w:r>
        <w:rPr>
          <w:b w:val="0"/>
          <w:i w:val="0"/>
          <w:sz w:val="20"/>
        </w:rPr>
        <w:t>The explicit '^1' exponent is redundant (raises to the power of 1) but intentional — the analyst may have inserted it for clarity or as a template for multi-year compounding formulas. Each subsequent forecast year references the prior year: M338 = L338 × (1 + M320)^1, etc. FY2024 revenue = $51,362m.</w:t>
      </w:r>
    </w:p>
    <w:tbl>
      <w:tblPr>
        <w:tblStyle w:val="LightList-Accent1"/>
        <w:tblW w:type="auto" w:w="0"/>
        <w:tblLook w:firstColumn="1" w:firstRow="1" w:lastColumn="0" w:lastRow="0" w:noHBand="0" w:noVBand="1" w:val="04A0"/>
      </w:tblPr>
      <w:tblGrid>
        <w:gridCol w:w="2880"/>
        <w:gridCol w:w="2880"/>
        <w:gridCol w:w="2880"/>
      </w:tblGrid>
      <w:tr>
        <w:tc>
          <w:tcPr>
            <w:tcW w:type="dxa" w:w="1440"/>
          </w:tcPr>
          <w:p>
            <w:r>
              <w:rPr>
                <w:b/>
                <w:sz w:val="18"/>
              </w:rPr>
              <w:t>Year</w:t>
            </w:r>
          </w:p>
        </w:tc>
        <w:tc>
          <w:tcPr>
            <w:tcW w:type="dxa" w:w="2160"/>
          </w:tcPr>
          <w:p>
            <w:r>
              <w:rPr>
                <w:b/>
                <w:sz w:val="18"/>
              </w:rPr>
              <w:t>Revenue ($m)</w:t>
            </w:r>
          </w:p>
        </w:tc>
        <w:tc>
          <w:tcPr>
            <w:tcW w:type="dxa" w:w="3168"/>
          </w:tcPr>
          <w:p>
            <w:r>
              <w:rPr>
                <w:b/>
                <w:sz w:val="18"/>
              </w:rPr>
              <w:t>Growth %</w:t>
            </w:r>
          </w:p>
        </w:tc>
      </w:tr>
      <w:tr>
        <w:tc>
          <w:tcPr>
            <w:tcW w:type="dxa" w:w="1440"/>
          </w:tcPr>
          <w:p/>
        </w:tc>
        <w:tc>
          <w:tcPr>
            <w:tcW w:type="dxa" w:w="2160"/>
          </w:tcPr>
          <w:p/>
        </w:tc>
        <w:tc>
          <w:tcPr>
            <w:tcW w:type="dxa" w:w="3168"/>
          </w:tcPr>
          <w:p/>
        </w:tc>
      </w:tr>
      <w:tr>
        <w:tc>
          <w:tcPr>
            <w:tcW w:type="dxa" w:w="1440"/>
          </w:tcPr>
          <w:p/>
        </w:tc>
        <w:tc>
          <w:tcPr>
            <w:tcW w:type="dxa" w:w="2160"/>
          </w:tcPr>
          <w:p/>
        </w:tc>
        <w:tc>
          <w:tcPr>
            <w:tcW w:type="dxa" w:w="3168"/>
          </w:tcPr>
          <w:p/>
        </w:tc>
      </w:tr>
      <w:tr>
        <w:tc>
          <w:tcPr>
            <w:tcW w:type="dxa" w:w="1440"/>
          </w:tcPr>
          <w:p/>
        </w:tc>
        <w:tc>
          <w:tcPr>
            <w:tcW w:type="dxa" w:w="2160"/>
          </w:tcPr>
          <w:p/>
        </w:tc>
        <w:tc>
          <w:tcPr>
            <w:tcW w:type="dxa" w:w="3168"/>
          </w:tcPr>
          <w:p/>
        </w:tc>
      </w:tr>
      <w:tr>
        <w:tc>
          <w:tcPr>
            <w:tcW w:type="dxa" w:w="1440"/>
          </w:tcPr>
          <w:p/>
        </w:tc>
        <w:tc>
          <w:tcPr>
            <w:tcW w:type="dxa" w:w="2160"/>
          </w:tcPr>
          <w:p/>
        </w:tc>
        <w:tc>
          <w:tcPr>
            <w:tcW w:type="dxa" w:w="3168"/>
          </w:tcPr>
          <w:p/>
        </w:tc>
      </w:tr>
      <w:tr>
        <w:tc>
          <w:tcPr>
            <w:tcW w:type="dxa" w:w="1440"/>
          </w:tcPr>
          <w:p/>
        </w:tc>
        <w:tc>
          <w:tcPr>
            <w:tcW w:type="dxa" w:w="2160"/>
          </w:tcPr>
          <w:p/>
        </w:tc>
        <w:tc>
          <w:tcPr>
            <w:tcW w:type="dxa" w:w="3168"/>
          </w:tcPr>
          <w:p/>
        </w:tc>
      </w:tr>
      <w:tr>
        <w:tc>
          <w:tcPr>
            <w:tcW w:type="dxa" w:w="1440"/>
          </w:tcPr>
          <w:p/>
        </w:tc>
        <w:tc>
          <w:tcPr>
            <w:tcW w:type="dxa" w:w="2160"/>
          </w:tcPr>
          <w:p/>
        </w:tc>
        <w:tc>
          <w:tcPr>
            <w:tcW w:type="dxa" w:w="3168"/>
          </w:tcPr>
          <w:p/>
        </w:tc>
      </w:tr>
      <w:tr>
        <w:tc>
          <w:tcPr>
            <w:tcW w:type="dxa" w:w="1440"/>
          </w:tcPr>
          <w:p/>
        </w:tc>
        <w:tc>
          <w:tcPr>
            <w:tcW w:type="dxa" w:w="2160"/>
          </w:tcPr>
          <w:p/>
        </w:tc>
        <w:tc>
          <w:tcPr>
            <w:tcW w:type="dxa" w:w="3168"/>
          </w:tcPr>
          <w:p/>
        </w:tc>
      </w:tr>
      <w:tr>
        <w:tc>
          <w:tcPr>
            <w:tcW w:type="dxa" w:w="1440"/>
          </w:tcPr>
          <w:p/>
        </w:tc>
        <w:tc>
          <w:tcPr>
            <w:tcW w:type="dxa" w:w="2160"/>
          </w:tcPr>
          <w:p/>
        </w:tc>
        <w:tc>
          <w:tcPr>
            <w:tcW w:type="dxa" w:w="3168"/>
          </w:tcPr>
          <w:p/>
        </w:tc>
      </w:tr>
      <w:tr>
        <w:tc>
          <w:tcPr>
            <w:tcW w:type="dxa" w:w="1440"/>
          </w:tcPr>
          <w:p/>
        </w:tc>
        <w:tc>
          <w:tcPr>
            <w:tcW w:type="dxa" w:w="2160"/>
          </w:tcPr>
          <w:p/>
        </w:tc>
        <w:tc>
          <w:tcPr>
            <w:tcW w:type="dxa" w:w="3168"/>
          </w:tcPr>
          <w:p/>
        </w:tc>
      </w:tr>
      <w:tr>
        <w:tc>
          <w:tcPr>
            <w:tcW w:type="dxa" w:w="1440"/>
          </w:tcPr>
          <w:p/>
        </w:tc>
        <w:tc>
          <w:tcPr>
            <w:tcW w:type="dxa" w:w="2160"/>
          </w:tcPr>
          <w:p/>
        </w:tc>
        <w:tc>
          <w:tcPr>
            <w:tcW w:type="dxa" w:w="3168"/>
          </w:tcPr>
          <w:p/>
        </w:tc>
      </w:tr>
      <w:tr>
        <w:tc>
          <w:tcPr>
            <w:tcW w:type="dxa" w:w="1440"/>
          </w:tcPr>
          <w:p>
            <w:r>
              <w:rPr>
                <w:sz w:val="18"/>
              </w:rPr>
              <w:t>FY2015</w:t>
            </w:r>
          </w:p>
        </w:tc>
        <w:tc>
          <w:tcPr>
            <w:tcW w:type="dxa" w:w="2160"/>
          </w:tcPr>
          <w:p>
            <w:r>
              <w:rPr>
                <w:sz w:val="18"/>
              </w:rPr>
              <w:t>27,790</w:t>
            </w:r>
          </w:p>
        </w:tc>
        <w:tc>
          <w:tcPr>
            <w:tcW w:type="dxa" w:w="3168"/>
          </w:tcPr>
          <w:p>
            <w:r>
              <w:rPr>
                <w:sz w:val="18"/>
              </w:rPr>
              <w:t>—</w:t>
            </w:r>
          </w:p>
        </w:tc>
      </w:tr>
      <w:tr>
        <w:tc>
          <w:tcPr>
            <w:tcW w:type="dxa" w:w="1440"/>
          </w:tcPr>
          <w:p>
            <w:r>
              <w:rPr>
                <w:sz w:val="18"/>
              </w:rPr>
              <w:t>FY2016</w:t>
            </w:r>
          </w:p>
        </w:tc>
        <w:tc>
          <w:tcPr>
            <w:tcW w:type="dxa" w:w="2160"/>
          </w:tcPr>
          <w:p>
            <w:r>
              <w:rPr>
                <w:sz w:val="18"/>
              </w:rPr>
              <w:t>32,376</w:t>
            </w:r>
          </w:p>
        </w:tc>
        <w:tc>
          <w:tcPr>
            <w:tcW w:type="dxa" w:w="3168"/>
          </w:tcPr>
          <w:p>
            <w:r>
              <w:rPr>
                <w:sz w:val="18"/>
              </w:rPr>
              <w:t>+16.5%</w:t>
            </w:r>
          </w:p>
        </w:tc>
      </w:tr>
      <w:tr>
        <w:tc>
          <w:tcPr>
            <w:tcW w:type="dxa" w:w="1440"/>
          </w:tcPr>
          <w:p>
            <w:r>
              <w:rPr>
                <w:sz w:val="18"/>
              </w:rPr>
              <w:t>FY2017</w:t>
            </w:r>
          </w:p>
        </w:tc>
        <w:tc>
          <w:tcPr>
            <w:tcW w:type="dxa" w:w="2160"/>
          </w:tcPr>
          <w:p>
            <w:r>
              <w:rPr>
                <w:sz w:val="18"/>
              </w:rPr>
              <w:t>34,350</w:t>
            </w:r>
          </w:p>
        </w:tc>
        <w:tc>
          <w:tcPr>
            <w:tcW w:type="dxa" w:w="3168"/>
          </w:tcPr>
          <w:p>
            <w:r>
              <w:rPr>
                <w:sz w:val="18"/>
              </w:rPr>
              <w:t>+6.1%</w:t>
            </w:r>
          </w:p>
        </w:tc>
      </w:tr>
      <w:tr>
        <w:tc>
          <w:tcPr>
            <w:tcW w:type="dxa" w:w="1440"/>
          </w:tcPr>
          <w:p>
            <w:r>
              <w:rPr>
                <w:sz w:val="18"/>
              </w:rPr>
              <w:t>FY2018</w:t>
            </w:r>
          </w:p>
        </w:tc>
        <w:tc>
          <w:tcPr>
            <w:tcW w:type="dxa" w:w="2160"/>
          </w:tcPr>
          <w:p>
            <w:r>
              <w:rPr>
                <w:sz w:val="18"/>
              </w:rPr>
              <w:t>36,397</w:t>
            </w:r>
          </w:p>
        </w:tc>
        <w:tc>
          <w:tcPr>
            <w:tcW w:type="dxa" w:w="3168"/>
          </w:tcPr>
          <w:p>
            <w:r>
              <w:rPr>
                <w:sz w:val="18"/>
              </w:rPr>
              <w:t>+6.0%</w:t>
            </w:r>
          </w:p>
        </w:tc>
      </w:tr>
      <w:tr>
        <w:tc>
          <w:tcPr>
            <w:tcW w:type="dxa" w:w="1440"/>
          </w:tcPr>
          <w:p>
            <w:r>
              <w:rPr>
                <w:sz w:val="18"/>
              </w:rPr>
              <w:t>FY2019</w:t>
            </w:r>
          </w:p>
        </w:tc>
        <w:tc>
          <w:tcPr>
            <w:tcW w:type="dxa" w:w="2160"/>
          </w:tcPr>
          <w:p>
            <w:r>
              <w:rPr>
                <w:sz w:val="18"/>
              </w:rPr>
              <w:t>39,117</w:t>
            </w:r>
          </w:p>
        </w:tc>
        <w:tc>
          <w:tcPr>
            <w:tcW w:type="dxa" w:w="3168"/>
          </w:tcPr>
          <w:p>
            <w:r>
              <w:rPr>
                <w:sz w:val="18"/>
              </w:rPr>
              <w:t>+7.5%</w:t>
            </w:r>
          </w:p>
        </w:tc>
      </w:tr>
      <w:tr>
        <w:tc>
          <w:tcPr>
            <w:tcW w:type="dxa" w:w="1440"/>
          </w:tcPr>
          <w:p>
            <w:r>
              <w:rPr>
                <w:sz w:val="18"/>
              </w:rPr>
              <w:t>FY2020</w:t>
            </w:r>
          </w:p>
        </w:tc>
        <w:tc>
          <w:tcPr>
            <w:tcW w:type="dxa" w:w="2160"/>
          </w:tcPr>
          <w:p>
            <w:r>
              <w:rPr>
                <w:sz w:val="18"/>
              </w:rPr>
              <w:t>37,403</w:t>
            </w:r>
          </w:p>
        </w:tc>
        <w:tc>
          <w:tcPr>
            <w:tcW w:type="dxa" w:w="3168"/>
          </w:tcPr>
          <w:p>
            <w:r>
              <w:rPr>
                <w:sz w:val="18"/>
              </w:rPr>
              <w:t>-4.4%  (COVID)</w:t>
            </w:r>
          </w:p>
        </w:tc>
      </w:tr>
      <w:tr>
        <w:tc>
          <w:tcPr>
            <w:tcW w:type="dxa" w:w="1440"/>
          </w:tcPr>
          <w:p>
            <w:r>
              <w:rPr>
                <w:sz w:val="18"/>
              </w:rPr>
              <w:t>FY2021</w:t>
            </w:r>
          </w:p>
        </w:tc>
        <w:tc>
          <w:tcPr>
            <w:tcW w:type="dxa" w:w="2160"/>
          </w:tcPr>
          <w:p>
            <w:r>
              <w:rPr>
                <w:sz w:val="18"/>
              </w:rPr>
              <w:t>44,538</w:t>
            </w:r>
          </w:p>
        </w:tc>
        <w:tc>
          <w:tcPr>
            <w:tcW w:type="dxa" w:w="3168"/>
          </w:tcPr>
          <w:p>
            <w:r>
              <w:rPr>
                <w:sz w:val="18"/>
              </w:rPr>
              <w:t>+19.1%  (recovery)</w:t>
            </w:r>
          </w:p>
        </w:tc>
      </w:tr>
      <w:tr>
        <w:tc>
          <w:tcPr>
            <w:tcW w:type="dxa" w:w="1440"/>
          </w:tcPr>
          <w:p>
            <w:r>
              <w:rPr>
                <w:sz w:val="18"/>
              </w:rPr>
              <w:t>FY2022</w:t>
            </w:r>
          </w:p>
        </w:tc>
        <w:tc>
          <w:tcPr>
            <w:tcW w:type="dxa" w:w="2160"/>
          </w:tcPr>
          <w:p>
            <w:r>
              <w:rPr>
                <w:sz w:val="18"/>
              </w:rPr>
              <w:t>46,710</w:t>
            </w:r>
          </w:p>
        </w:tc>
        <w:tc>
          <w:tcPr>
            <w:tcW w:type="dxa" w:w="3168"/>
          </w:tcPr>
          <w:p>
            <w:r>
              <w:rPr>
                <w:sz w:val="18"/>
              </w:rPr>
              <w:t>+4.9%</w:t>
            </w:r>
          </w:p>
        </w:tc>
      </w:tr>
      <w:tr>
        <w:tc>
          <w:tcPr>
            <w:tcW w:type="dxa" w:w="1440"/>
          </w:tcPr>
          <w:p>
            <w:r>
              <w:rPr>
                <w:sz w:val="18"/>
              </w:rPr>
              <w:t>FY2023</w:t>
            </w:r>
          </w:p>
        </w:tc>
        <w:tc>
          <w:tcPr>
            <w:tcW w:type="dxa" w:w="2160"/>
          </w:tcPr>
          <w:p>
            <w:r>
              <w:rPr>
                <w:sz w:val="18"/>
              </w:rPr>
              <w:t>51,217</w:t>
            </w:r>
          </w:p>
        </w:tc>
        <w:tc>
          <w:tcPr>
            <w:tcW w:type="dxa" w:w="3168"/>
          </w:tcPr>
          <w:p>
            <w:r>
              <w:rPr>
                <w:sz w:val="18"/>
              </w:rPr>
              <w:t>+9.6%</w:t>
            </w:r>
          </w:p>
        </w:tc>
      </w:tr>
      <w:tr>
        <w:tc>
          <w:tcPr>
            <w:tcW w:type="dxa" w:w="1440"/>
          </w:tcPr>
          <w:p>
            <w:r>
              <w:rPr>
                <w:sz w:val="18"/>
              </w:rPr>
              <w:t>FY2024</w:t>
            </w:r>
          </w:p>
        </w:tc>
        <w:tc>
          <w:tcPr>
            <w:tcW w:type="dxa" w:w="2160"/>
          </w:tcPr>
          <w:p>
            <w:r>
              <w:rPr>
                <w:sz w:val="18"/>
              </w:rPr>
              <w:t>51,362</w:t>
            </w:r>
          </w:p>
        </w:tc>
        <w:tc>
          <w:tcPr>
            <w:tcW w:type="dxa" w:w="3168"/>
          </w:tcPr>
          <w:p>
            <w:r>
              <w:rPr>
                <w:sz w:val="18"/>
              </w:rPr>
              <w:t>+0.3%  (slowdown)</w:t>
            </w:r>
          </w:p>
        </w:tc>
      </w:tr>
    </w:tbl>
    <w:p/>
    <w:p>
      <w:pPr>
        <w:pStyle w:val="Heading2"/>
      </w:pPr>
      <w:r>
        <w:t>2.3  COGS and Gross Margin (Row 339)</w:t>
      </w:r>
    </w:p>
    <w:p>
      <w:r>
        <w:rPr>
          <w:b w:val="0"/>
          <w:i w:val="0"/>
          <w:sz w:val="20"/>
        </w:rPr>
        <w:t>L339: =L338 × L321 (revenue × COGS%). FY2024 COGS = $28,925m, gross margin = 43.6%. The model holds COGS% constant at approximately the FY2024 level for all forecast years; no margin expansion or compression is modelled. This is a conservative assumption given NIKE's stated margin recovery targets.</w:t>
      </w:r>
    </w:p>
    <w:p>
      <w:pPr>
        <w:pStyle w:val="Heading2"/>
      </w:pPr>
      <w:r>
        <w:t>2.4  SG&amp;A and Operating Expense (Row 342)</w:t>
      </w:r>
    </w:p>
    <w:p>
      <w:r>
        <w:rPr>
          <w:b w:val="0"/>
          <w:i w:val="0"/>
          <w:sz w:val="20"/>
        </w:rPr>
        <w:t>SG&amp;A is modelled differently from COGS. The forecast formula is:</w:t>
      </w:r>
    </w:p>
    <w:p>
      <w:r>
        <w:rPr>
          <w:b/>
          <w:i w:val="0"/>
          <w:sz w:val="20"/>
        </w:rPr>
        <w:t xml:space="preserve">    L342: =(L342/L338) × M338  [i.e. prior year SG&amp;A% × current year revenue]</w:t>
      </w:r>
    </w:p>
    <w:p>
      <w:r>
        <w:rPr>
          <w:b w:val="0"/>
          <w:i w:val="0"/>
          <w:sz w:val="20"/>
        </w:rPr>
        <w:t>More precisely: M342 = L342/L338 × M338, meaning each year's SG&amp;A is derived by scaling the PRIOR year's SG&amp;A ratio onto the current year's revenue. This produces the same numerical result as applying a constant SG&amp;A% but the formula is chained year-by-year rather than anchored to FY2024. FY2024 SG&amp;A = $15,829m (30.8% of revenue).</w:t>
      </w:r>
    </w:p>
    <w:p>
      <w:pPr>
        <w:pStyle w:val="Heading3"/>
      </w:pPr>
      <w:r>
        <w:t>2.4.1  Selling/Marketing Expense (Row 392)</w:t>
      </w:r>
    </w:p>
    <w:p>
      <w:r>
        <w:rPr>
          <w:b w:val="0"/>
          <w:i w:val="0"/>
          <w:sz w:val="20"/>
        </w:rPr>
        <w:t>Row 392 breaks out NIKE's selling/marketing expense separately from the total SG&amp;A reported to CIQ. FY2024 selling expense = $4,285m (8.3% of revenue). This figure represents demand-creation spending (advertising, sponsorships, athletes). The model does NOT separately forecast marketing spend — it is embedded in total SG&amp;A. Analysts should be aware that NIKE's marketing commitment is contractually large; it cannot be cut proportionally with revenue.</w:t>
      </w:r>
    </w:p>
    <w:p>
      <w:r>
        <w:rPr>
          <w:b w:val="0"/>
          <w:i w:val="0"/>
          <w:sz w:val="20"/>
        </w:rPr>
        <w:t>Row 393: Net Rental Expense = $1,051m FY2024. This is the pre-ASC 842 operating lease cash cost, useful for pre/post-IFRS16 comparisons and for constructing EBITDAR (see Section 2.7).</w:t>
      </w:r>
    </w:p>
    <w:p>
      <w:pPr>
        <w:pStyle w:val="Heading2"/>
      </w:pPr>
      <w:r>
        <w:t>2.5  Restructuring Charges (Row 347)</w:t>
      </w:r>
    </w:p>
    <w:p>
      <w:r>
        <w:rPr>
          <w:b w:val="0"/>
          <w:i w:val="0"/>
          <w:sz w:val="20"/>
        </w:rPr>
        <w:t>Historical restructuring: FY2023 = $402m, FY2024 = $443m. These relate to NIKE's announced workforce reduction program (~2% headcount, ~1,600 roles) and product SKU rationalisation. Row 347 formula in forecast: =0 for all years (restructuring is assumed fully completed by end of FY2024). This means the model assumes clean, non-recurring results from FY2025 onwards. Any continuation of restructuring would make actual earnings worse than modelled.</w:t>
      </w:r>
    </w:p>
    <w:p>
      <w:pPr>
        <w:ind w:left="432"/>
      </w:pPr>
      <w:r>
        <w:rPr>
          <w:b/>
          <w:color w:val="C0390B"/>
          <w:sz w:val="18"/>
        </w:rPr>
        <w:t>[IMPORTANT]  The restructuring freeze has a MATERIAL impact on the DCF. Stripping $443m of annual charges adds ~$350m after-tax to forecast NOPAT, inflating the terminal value by roughly $3.5–4bn (at a 10% WACC). If restructuring represents an ongoing cost of doing business, this is an optimistic assumption.</w:t>
      </w:r>
    </w:p>
    <w:p>
      <w:pPr>
        <w:pStyle w:val="Heading2"/>
      </w:pPr>
      <w:r>
        <w:t>2.6  EBIT and Operating Income (Rows 350–355)</w:t>
      </w:r>
    </w:p>
    <w:p>
      <w:r>
        <w:rPr>
          <w:b w:val="0"/>
          <w:i w:val="0"/>
          <w:sz w:val="20"/>
        </w:rPr>
        <w:t>EBIT = Gross Profit − SG&amp;A − Restructuring (row 350). FY2024 EBIT = $6,754m (13.1% margin). Below EBIT:</w:t>
        <w:br/>
        <w:t xml:space="preserve">  • Row 356: Interest expense on IBD (average IBD × average interest rate; see Section 7.1)</w:t>
        <w:br/>
        <w:t xml:space="preserve">  • Row 355: EBT = EBIT + Interest income − Interest expense</w:t>
        <w:br/>
        <w:t xml:space="preserve">  • Row 357: =B355/B359 = EBT÷Tax provision = 1÷effective rate (unlabelled sanity check)</w:t>
        <w:br/>
        <w:t xml:space="preserve">  • Row 358: =B355×$R$25 = tax at statutory rate for comparison to actual</w:t>
        <w:br/>
        <w:t>Rows 357 and 358 are hidden/unlabelled check rows that exist for all historical years but have no forecast equivalents and are invisible in the formatted model.</w:t>
      </w:r>
    </w:p>
    <w:p>
      <w:pPr>
        <w:pStyle w:val="Heading2"/>
      </w:pPr>
      <w:r>
        <w:t>2.7  Tax Analysis (Rows 357–389)</w:t>
      </w:r>
    </w:p>
    <w:p>
      <w:r>
        <w:rPr>
          <w:b w:val="0"/>
          <w:i w:val="0"/>
          <w:sz w:val="20"/>
        </w:rPr>
        <w:t>The model contains an unusually detailed tax section:</w:t>
      </w:r>
    </w:p>
    <w:tbl>
      <w:tblPr>
        <w:tblStyle w:val="LightList-Accent1"/>
        <w:tblW w:type="auto" w:w="0"/>
        <w:tblLook w:firstColumn="1" w:firstRow="1" w:lastColumn="0" w:lastRow="0" w:noHBand="0" w:noVBand="1" w:val="04A0"/>
      </w:tblPr>
      <w:tblGrid>
        <w:gridCol w:w="2160"/>
        <w:gridCol w:w="2160"/>
        <w:gridCol w:w="2160"/>
        <w:gridCol w:w="2160"/>
      </w:tblGrid>
      <w:tr>
        <w:tc>
          <w:tcPr>
            <w:tcW w:type="dxa" w:w="720"/>
          </w:tcPr>
          <w:p>
            <w:r>
              <w:rPr>
                <w:b/>
                <w:sz w:val="18"/>
              </w:rPr>
              <w:t>Row</w:t>
            </w:r>
          </w:p>
        </w:tc>
        <w:tc>
          <w:tcPr>
            <w:tcW w:type="dxa" w:w="2880"/>
          </w:tcPr>
          <w:p>
            <w:r>
              <w:rPr>
                <w:b/>
                <w:sz w:val="18"/>
              </w:rPr>
              <w:t>Label</w:t>
            </w:r>
          </w:p>
        </w:tc>
        <w:tc>
          <w:tcPr>
            <w:tcW w:type="dxa" w:w="1872"/>
          </w:tcPr>
          <w:p>
            <w:r>
              <w:rPr>
                <w:b/>
                <w:sz w:val="18"/>
              </w:rPr>
              <w:t>FY2024 Value</w:t>
            </w:r>
          </w:p>
        </w:tc>
        <w:tc>
          <w:tcPr>
            <w:tcW w:type="dxa" w:w="4320"/>
          </w:tcPr>
          <w:p>
            <w:r>
              <w:rPr>
                <w:b/>
                <w:sz w:val="18"/>
              </w:rPr>
              <w:t>Notes</w:t>
            </w: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r>
              <w:rPr>
                <w:sz w:val="18"/>
              </w:rPr>
              <w:t>359</w:t>
            </w:r>
          </w:p>
        </w:tc>
        <w:tc>
          <w:tcPr>
            <w:tcW w:type="dxa" w:w="2880"/>
          </w:tcPr>
          <w:p>
            <w:r>
              <w:rPr>
                <w:sz w:val="18"/>
              </w:rPr>
              <w:t>Tax Provision</w:t>
            </w:r>
          </w:p>
        </w:tc>
        <w:tc>
          <w:tcPr>
            <w:tcW w:type="dxa" w:w="1872"/>
          </w:tcPr>
          <w:p>
            <w:r>
              <w:rPr>
                <w:sz w:val="18"/>
              </w:rPr>
              <w:t>$1,000m</w:t>
            </w:r>
          </w:p>
        </w:tc>
        <w:tc>
          <w:tcPr>
            <w:tcW w:type="dxa" w:w="4320"/>
          </w:tcPr>
          <w:p>
            <w:r>
              <w:rPr>
                <w:sz w:val="18"/>
              </w:rPr>
              <w:t>Accrual-basis; matches reported income tax expense</w:t>
            </w:r>
          </w:p>
        </w:tc>
      </w:tr>
      <w:tr>
        <w:tc>
          <w:tcPr>
            <w:tcW w:type="dxa" w:w="720"/>
          </w:tcPr>
          <w:p>
            <w:r>
              <w:rPr>
                <w:sz w:val="18"/>
              </w:rPr>
              <w:t>357</w:t>
            </w:r>
          </w:p>
        </w:tc>
        <w:tc>
          <w:tcPr>
            <w:tcW w:type="dxa" w:w="2880"/>
          </w:tcPr>
          <w:p>
            <w:r>
              <w:rPr>
                <w:sz w:val="18"/>
              </w:rPr>
              <w:t>EBT/Tax (hidden check)</w:t>
            </w:r>
          </w:p>
        </w:tc>
        <w:tc>
          <w:tcPr>
            <w:tcW w:type="dxa" w:w="1872"/>
          </w:tcPr>
          <w:p>
            <w:r>
              <w:rPr>
                <w:sz w:val="18"/>
              </w:rPr>
              <w:t>~5.7x</w:t>
            </w:r>
          </w:p>
        </w:tc>
        <w:tc>
          <w:tcPr>
            <w:tcW w:type="dxa" w:w="4320"/>
          </w:tcPr>
          <w:p>
            <w:r>
              <w:rPr>
                <w:sz w:val="18"/>
              </w:rPr>
              <w:t>= 1/effective rate ≈ 1/17.5%</w:t>
            </w:r>
          </w:p>
        </w:tc>
      </w:tr>
      <w:tr>
        <w:tc>
          <w:tcPr>
            <w:tcW w:type="dxa" w:w="720"/>
          </w:tcPr>
          <w:p>
            <w:r>
              <w:rPr>
                <w:sz w:val="18"/>
              </w:rPr>
              <w:t>358</w:t>
            </w:r>
          </w:p>
        </w:tc>
        <w:tc>
          <w:tcPr>
            <w:tcW w:type="dxa" w:w="2880"/>
          </w:tcPr>
          <w:p>
            <w:r>
              <w:rPr>
                <w:sz w:val="18"/>
              </w:rPr>
              <w:t>Tax at statutory rate</w:t>
            </w:r>
          </w:p>
        </w:tc>
        <w:tc>
          <w:tcPr>
            <w:tcW w:type="dxa" w:w="1872"/>
          </w:tcPr>
          <w:p>
            <w:r>
              <w:rPr>
                <w:sz w:val="18"/>
              </w:rPr>
              <w:t>~$1,417m</w:t>
            </w:r>
          </w:p>
        </w:tc>
        <w:tc>
          <w:tcPr>
            <w:tcW w:type="dxa" w:w="4320"/>
          </w:tcPr>
          <w:p>
            <w:r>
              <w:rPr>
                <w:sz w:val="18"/>
              </w:rPr>
              <w:t>= EBT × 21% (TCJA federal rate)</w:t>
            </w:r>
          </w:p>
        </w:tc>
      </w:tr>
      <w:tr>
        <w:tc>
          <w:tcPr>
            <w:tcW w:type="dxa" w:w="720"/>
          </w:tcPr>
          <w:p>
            <w:r>
              <w:rPr>
                <w:sz w:val="18"/>
              </w:rPr>
              <w:t>382</w:t>
            </w:r>
          </w:p>
        </w:tc>
        <w:tc>
          <w:tcPr>
            <w:tcW w:type="dxa" w:w="2880"/>
          </w:tcPr>
          <w:p>
            <w:r>
              <w:rPr>
                <w:sz w:val="18"/>
              </w:rPr>
              <w:t>Effective Tax Rate %</w:t>
            </w:r>
          </w:p>
        </w:tc>
        <w:tc>
          <w:tcPr>
            <w:tcW w:type="dxa" w:w="1872"/>
          </w:tcPr>
          <w:p>
            <w:r>
              <w:rPr>
                <w:sz w:val="18"/>
              </w:rPr>
              <w:t>17.5%</w:t>
            </w:r>
          </w:p>
        </w:tc>
        <w:tc>
          <w:tcPr>
            <w:tcW w:type="dxa" w:w="4320"/>
          </w:tcPr>
          <w:p>
            <w:r>
              <w:rPr>
                <w:sz w:val="18"/>
              </w:rPr>
              <w:t>Separate % field; see full history below</w:t>
            </w:r>
          </w:p>
        </w:tc>
      </w:tr>
      <w:tr>
        <w:tc>
          <w:tcPr>
            <w:tcW w:type="dxa" w:w="720"/>
          </w:tcPr>
          <w:p>
            <w:r>
              <w:rPr>
                <w:sz w:val="18"/>
              </w:rPr>
              <w:t>383</w:t>
            </w:r>
          </w:p>
        </w:tc>
        <w:tc>
          <w:tcPr>
            <w:tcW w:type="dxa" w:w="2880"/>
          </w:tcPr>
          <w:p>
            <w:r>
              <w:rPr>
                <w:sz w:val="18"/>
              </w:rPr>
              <w:t>Current domestic tax</w:t>
            </w:r>
          </w:p>
        </w:tc>
        <w:tc>
          <w:tcPr>
            <w:tcW w:type="dxa" w:w="1872"/>
          </w:tcPr>
          <w:p>
            <w:r>
              <w:rPr>
                <w:sz w:val="18"/>
              </w:rPr>
              <w:t>$983m</w:t>
            </w:r>
          </w:p>
        </w:tc>
        <w:tc>
          <w:tcPr>
            <w:tcW w:type="dxa" w:w="4320"/>
          </w:tcPr>
          <w:p>
            <w:r>
              <w:rPr>
                <w:sz w:val="18"/>
              </w:rPr>
              <w:t>US federal + state current portion</w:t>
            </w:r>
          </w:p>
        </w:tc>
      </w:tr>
      <w:tr>
        <w:tc>
          <w:tcPr>
            <w:tcW w:type="dxa" w:w="720"/>
          </w:tcPr>
          <w:p>
            <w:r>
              <w:rPr>
                <w:sz w:val="18"/>
              </w:rPr>
              <w:t>384</w:t>
            </w:r>
          </w:p>
        </w:tc>
        <w:tc>
          <w:tcPr>
            <w:tcW w:type="dxa" w:w="2880"/>
          </w:tcPr>
          <w:p>
            <w:r>
              <w:rPr>
                <w:sz w:val="18"/>
              </w:rPr>
              <w:t>Current foreign tax</w:t>
            </w:r>
          </w:p>
        </w:tc>
        <w:tc>
          <w:tcPr>
            <w:tcW w:type="dxa" w:w="1872"/>
          </w:tcPr>
          <w:p>
            <w:r>
              <w:rPr>
                <w:sz w:val="18"/>
              </w:rPr>
              <w:t>$514m</w:t>
            </w:r>
          </w:p>
        </w:tc>
        <w:tc>
          <w:tcPr>
            <w:tcW w:type="dxa" w:w="4320"/>
          </w:tcPr>
          <w:p>
            <w:r>
              <w:rPr>
                <w:sz w:val="18"/>
              </w:rPr>
              <w:t>Non-US current tax</w:t>
            </w:r>
          </w:p>
        </w:tc>
      </w:tr>
      <w:tr>
        <w:tc>
          <w:tcPr>
            <w:tcW w:type="dxa" w:w="720"/>
          </w:tcPr>
          <w:p>
            <w:r>
              <w:rPr>
                <w:sz w:val="18"/>
              </w:rPr>
              <w:t>385</w:t>
            </w:r>
          </w:p>
        </w:tc>
        <w:tc>
          <w:tcPr>
            <w:tcW w:type="dxa" w:w="2880"/>
          </w:tcPr>
          <w:p>
            <w:r>
              <w:rPr>
                <w:sz w:val="18"/>
              </w:rPr>
              <w:t>Total current tax</w:t>
            </w:r>
          </w:p>
        </w:tc>
        <w:tc>
          <w:tcPr>
            <w:tcW w:type="dxa" w:w="1872"/>
          </w:tcPr>
          <w:p>
            <w:r>
              <w:rPr>
                <w:sz w:val="18"/>
              </w:rPr>
              <w:t>$1,497m</w:t>
            </w:r>
          </w:p>
        </w:tc>
        <w:tc>
          <w:tcPr>
            <w:tcW w:type="dxa" w:w="4320"/>
          </w:tcPr>
          <w:p>
            <w:r>
              <w:rPr>
                <w:sz w:val="18"/>
              </w:rPr>
              <w:t>= row 383 + row 384</w:t>
            </w:r>
          </w:p>
        </w:tc>
      </w:tr>
      <w:tr>
        <w:tc>
          <w:tcPr>
            <w:tcW w:type="dxa" w:w="720"/>
          </w:tcPr>
          <w:p>
            <w:r>
              <w:rPr>
                <w:sz w:val="18"/>
              </w:rPr>
              <w:t>386</w:t>
            </w:r>
          </w:p>
        </w:tc>
        <w:tc>
          <w:tcPr>
            <w:tcW w:type="dxa" w:w="2880"/>
          </w:tcPr>
          <w:p>
            <w:r>
              <w:rPr>
                <w:sz w:val="18"/>
              </w:rPr>
              <w:t>Deferred domestic tax</w:t>
            </w:r>
          </w:p>
        </w:tc>
        <w:tc>
          <w:tcPr>
            <w:tcW w:type="dxa" w:w="1872"/>
          </w:tcPr>
          <w:p>
            <w:r>
              <w:rPr>
                <w:sz w:val="18"/>
              </w:rPr>
              <w:t>-$483m</w:t>
            </w:r>
          </w:p>
        </w:tc>
        <w:tc>
          <w:tcPr>
            <w:tcW w:type="dxa" w:w="4320"/>
          </w:tcPr>
          <w:p>
            <w:r>
              <w:rPr>
                <w:sz w:val="18"/>
              </w:rPr>
              <w:t>US deferred portion (benefit)</w:t>
            </w:r>
          </w:p>
        </w:tc>
      </w:tr>
      <w:tr>
        <w:tc>
          <w:tcPr>
            <w:tcW w:type="dxa" w:w="720"/>
          </w:tcPr>
          <w:p>
            <w:r>
              <w:rPr>
                <w:sz w:val="18"/>
              </w:rPr>
              <w:t>387</w:t>
            </w:r>
          </w:p>
        </w:tc>
        <w:tc>
          <w:tcPr>
            <w:tcW w:type="dxa" w:w="2880"/>
          </w:tcPr>
          <w:p>
            <w:r>
              <w:rPr>
                <w:sz w:val="18"/>
              </w:rPr>
              <w:t>Deferred foreign tax</w:t>
            </w:r>
          </w:p>
        </w:tc>
        <w:tc>
          <w:tcPr>
            <w:tcW w:type="dxa" w:w="1872"/>
          </w:tcPr>
          <w:p>
            <w:r>
              <w:rPr>
                <w:sz w:val="18"/>
              </w:rPr>
              <w:t>-$14m</w:t>
            </w:r>
          </w:p>
        </w:tc>
        <w:tc>
          <w:tcPr>
            <w:tcW w:type="dxa" w:w="4320"/>
          </w:tcPr>
          <w:p>
            <w:r>
              <w:rPr>
                <w:sz w:val="18"/>
              </w:rPr>
              <w:t>Non-US deferred</w:t>
            </w:r>
          </w:p>
        </w:tc>
      </w:tr>
      <w:tr>
        <w:tc>
          <w:tcPr>
            <w:tcW w:type="dxa" w:w="720"/>
          </w:tcPr>
          <w:p>
            <w:r>
              <w:rPr>
                <w:sz w:val="18"/>
              </w:rPr>
              <w:t>388</w:t>
            </w:r>
          </w:p>
        </w:tc>
        <w:tc>
          <w:tcPr>
            <w:tcW w:type="dxa" w:w="2880"/>
          </w:tcPr>
          <w:p>
            <w:r>
              <w:rPr>
                <w:sz w:val="18"/>
              </w:rPr>
              <w:t>Total deferred tax</w:t>
            </w:r>
          </w:p>
        </w:tc>
        <w:tc>
          <w:tcPr>
            <w:tcW w:type="dxa" w:w="1872"/>
          </w:tcPr>
          <w:p>
            <w:r>
              <w:rPr>
                <w:sz w:val="18"/>
              </w:rPr>
              <w:t>-$497m</w:t>
            </w:r>
          </w:p>
        </w:tc>
        <w:tc>
          <w:tcPr>
            <w:tcW w:type="dxa" w:w="4320"/>
          </w:tcPr>
          <w:p>
            <w:r>
              <w:rPr>
                <w:sz w:val="18"/>
              </w:rPr>
              <w:t>= row 386 + row 387</w:t>
            </w:r>
          </w:p>
        </w:tc>
      </w:tr>
      <w:tr>
        <w:tc>
          <w:tcPr>
            <w:tcW w:type="dxa" w:w="720"/>
          </w:tcPr>
          <w:p>
            <w:r>
              <w:rPr>
                <w:sz w:val="18"/>
              </w:rPr>
              <w:t>359</w:t>
            </w:r>
          </w:p>
        </w:tc>
        <w:tc>
          <w:tcPr>
            <w:tcW w:type="dxa" w:w="2880"/>
          </w:tcPr>
          <w:p>
            <w:r>
              <w:rPr>
                <w:sz w:val="18"/>
              </w:rPr>
              <w:t>Net provision</w:t>
            </w:r>
          </w:p>
        </w:tc>
        <w:tc>
          <w:tcPr>
            <w:tcW w:type="dxa" w:w="1872"/>
          </w:tcPr>
          <w:p>
            <w:r>
              <w:rPr>
                <w:sz w:val="18"/>
              </w:rPr>
              <w:t>$1,000m</w:t>
            </w:r>
          </w:p>
        </w:tc>
        <w:tc>
          <w:tcPr>
            <w:tcW w:type="dxa" w:w="4320"/>
          </w:tcPr>
          <w:p>
            <w:r>
              <w:rPr>
                <w:sz w:val="18"/>
              </w:rPr>
              <w:t>= current + deferred = $1,497m + (-$497m)</w:t>
            </w:r>
          </w:p>
        </w:tc>
      </w:tr>
      <w:tr>
        <w:tc>
          <w:tcPr>
            <w:tcW w:type="dxa" w:w="720"/>
          </w:tcPr>
          <w:p>
            <w:r>
              <w:rPr>
                <w:sz w:val="18"/>
              </w:rPr>
              <w:t>472</w:t>
            </w:r>
          </w:p>
        </w:tc>
        <w:tc>
          <w:tcPr>
            <w:tcW w:type="dxa" w:w="2880"/>
          </w:tcPr>
          <w:p>
            <w:r>
              <w:rPr>
                <w:sz w:val="18"/>
              </w:rPr>
              <w:t>Cash taxes paid</w:t>
            </w:r>
          </w:p>
        </w:tc>
        <w:tc>
          <w:tcPr>
            <w:tcW w:type="dxa" w:w="1872"/>
          </w:tcPr>
          <w:p>
            <w:r>
              <w:rPr>
                <w:sz w:val="18"/>
              </w:rPr>
              <w:t>$1,299m</w:t>
            </w:r>
          </w:p>
        </w:tc>
        <w:tc>
          <w:tcPr>
            <w:tcW w:type="dxa" w:w="4320"/>
          </w:tcPr>
          <w:p>
            <w:r>
              <w:rPr>
                <w:sz w:val="18"/>
              </w:rPr>
              <w:t>CF statement supplemental; exceeds provision by $299m</w:t>
            </w:r>
          </w:p>
        </w:tc>
      </w:tr>
    </w:tbl>
    <w:p/>
    <w:p>
      <w:r>
        <w:rPr>
          <w:b w:val="0"/>
          <w:i w:val="0"/>
          <w:sz w:val="20"/>
        </w:rPr>
        <w:t>Cash taxes paid ($1,299m) exceed the provision ($1,000m) because NIKE pays quarterly estimated taxes that may overshoot the final provision. The difference creates a prepaid tax asset on the balance sheet.</w:t>
      </w:r>
    </w:p>
    <w:p>
      <w:pPr>
        <w:pStyle w:val="Heading3"/>
      </w:pPr>
      <w:r>
        <w:t>2.7.1  Effective Tax Rate History</w:t>
      </w:r>
    </w:p>
    <w:tbl>
      <w:tblPr>
        <w:tblStyle w:val="LightList-Accent1"/>
        <w:tblW w:type="auto" w:w="0"/>
        <w:tblLook w:firstColumn="1" w:firstRow="1" w:lastColumn="0" w:lastRow="0" w:noHBand="0" w:noVBand="1" w:val="04A0"/>
      </w:tblPr>
      <w:tblGrid>
        <w:gridCol w:w="2880"/>
        <w:gridCol w:w="2880"/>
        <w:gridCol w:w="2880"/>
      </w:tblGrid>
      <w:tr>
        <w:tc>
          <w:tcPr>
            <w:tcW w:type="dxa" w:w="1152"/>
          </w:tcPr>
          <w:p>
            <w:r>
              <w:rPr>
                <w:b/>
                <w:sz w:val="18"/>
              </w:rPr>
              <w:t>Year</w:t>
            </w:r>
          </w:p>
        </w:tc>
        <w:tc>
          <w:tcPr>
            <w:tcW w:type="dxa" w:w="1152"/>
          </w:tcPr>
          <w:p>
            <w:r>
              <w:rPr>
                <w:b/>
                <w:sz w:val="18"/>
              </w:rPr>
              <w:t>ETR%</w:t>
            </w:r>
          </w:p>
        </w:tc>
        <w:tc>
          <w:tcPr>
            <w:tcW w:type="dxa" w:w="7200"/>
          </w:tcPr>
          <w:p>
            <w:r>
              <w:rPr>
                <w:b/>
                <w:sz w:val="18"/>
              </w:rPr>
              <w:t>Driver</w:t>
            </w:r>
          </w:p>
        </w:tc>
      </w:tr>
      <w:tr>
        <w:tc>
          <w:tcPr>
            <w:tcW w:type="dxa" w:w="1152"/>
          </w:tcPr>
          <w:p/>
        </w:tc>
        <w:tc>
          <w:tcPr>
            <w:tcW w:type="dxa" w:w="1152"/>
          </w:tcPr>
          <w:p/>
        </w:tc>
        <w:tc>
          <w:tcPr>
            <w:tcW w:type="dxa" w:w="7200"/>
          </w:tcPr>
          <w:p/>
        </w:tc>
      </w:tr>
      <w:tr>
        <w:tc>
          <w:tcPr>
            <w:tcW w:type="dxa" w:w="1152"/>
          </w:tcPr>
          <w:p/>
        </w:tc>
        <w:tc>
          <w:tcPr>
            <w:tcW w:type="dxa" w:w="1152"/>
          </w:tcPr>
          <w:p/>
        </w:tc>
        <w:tc>
          <w:tcPr>
            <w:tcW w:type="dxa" w:w="7200"/>
          </w:tcPr>
          <w:p/>
        </w:tc>
      </w:tr>
      <w:tr>
        <w:tc>
          <w:tcPr>
            <w:tcW w:type="dxa" w:w="1152"/>
          </w:tcPr>
          <w:p/>
        </w:tc>
        <w:tc>
          <w:tcPr>
            <w:tcW w:type="dxa" w:w="1152"/>
          </w:tcPr>
          <w:p/>
        </w:tc>
        <w:tc>
          <w:tcPr>
            <w:tcW w:type="dxa" w:w="7200"/>
          </w:tcPr>
          <w:p/>
        </w:tc>
      </w:tr>
      <w:tr>
        <w:tc>
          <w:tcPr>
            <w:tcW w:type="dxa" w:w="1152"/>
          </w:tcPr>
          <w:p/>
        </w:tc>
        <w:tc>
          <w:tcPr>
            <w:tcW w:type="dxa" w:w="1152"/>
          </w:tcPr>
          <w:p/>
        </w:tc>
        <w:tc>
          <w:tcPr>
            <w:tcW w:type="dxa" w:w="7200"/>
          </w:tcPr>
          <w:p/>
        </w:tc>
      </w:tr>
      <w:tr>
        <w:tc>
          <w:tcPr>
            <w:tcW w:type="dxa" w:w="1152"/>
          </w:tcPr>
          <w:p/>
        </w:tc>
        <w:tc>
          <w:tcPr>
            <w:tcW w:type="dxa" w:w="1152"/>
          </w:tcPr>
          <w:p/>
        </w:tc>
        <w:tc>
          <w:tcPr>
            <w:tcW w:type="dxa" w:w="7200"/>
          </w:tcPr>
          <w:p/>
        </w:tc>
      </w:tr>
      <w:tr>
        <w:tc>
          <w:tcPr>
            <w:tcW w:type="dxa" w:w="1152"/>
          </w:tcPr>
          <w:p/>
        </w:tc>
        <w:tc>
          <w:tcPr>
            <w:tcW w:type="dxa" w:w="1152"/>
          </w:tcPr>
          <w:p/>
        </w:tc>
        <w:tc>
          <w:tcPr>
            <w:tcW w:type="dxa" w:w="7200"/>
          </w:tcPr>
          <w:p/>
        </w:tc>
      </w:tr>
      <w:tr>
        <w:tc>
          <w:tcPr>
            <w:tcW w:type="dxa" w:w="1152"/>
          </w:tcPr>
          <w:p/>
        </w:tc>
        <w:tc>
          <w:tcPr>
            <w:tcW w:type="dxa" w:w="1152"/>
          </w:tcPr>
          <w:p/>
        </w:tc>
        <w:tc>
          <w:tcPr>
            <w:tcW w:type="dxa" w:w="7200"/>
          </w:tcPr>
          <w:p/>
        </w:tc>
      </w:tr>
      <w:tr>
        <w:tc>
          <w:tcPr>
            <w:tcW w:type="dxa" w:w="1152"/>
          </w:tcPr>
          <w:p/>
        </w:tc>
        <w:tc>
          <w:tcPr>
            <w:tcW w:type="dxa" w:w="1152"/>
          </w:tcPr>
          <w:p/>
        </w:tc>
        <w:tc>
          <w:tcPr>
            <w:tcW w:type="dxa" w:w="7200"/>
          </w:tcPr>
          <w:p/>
        </w:tc>
      </w:tr>
      <w:tr>
        <w:tc>
          <w:tcPr>
            <w:tcW w:type="dxa" w:w="1152"/>
          </w:tcPr>
          <w:p/>
        </w:tc>
        <w:tc>
          <w:tcPr>
            <w:tcW w:type="dxa" w:w="1152"/>
          </w:tcPr>
          <w:p/>
        </w:tc>
        <w:tc>
          <w:tcPr>
            <w:tcW w:type="dxa" w:w="7200"/>
          </w:tcPr>
          <w:p/>
        </w:tc>
      </w:tr>
      <w:tr>
        <w:tc>
          <w:tcPr>
            <w:tcW w:type="dxa" w:w="1152"/>
          </w:tcPr>
          <w:p/>
        </w:tc>
        <w:tc>
          <w:tcPr>
            <w:tcW w:type="dxa" w:w="1152"/>
          </w:tcPr>
          <w:p/>
        </w:tc>
        <w:tc>
          <w:tcPr>
            <w:tcW w:type="dxa" w:w="7200"/>
          </w:tcPr>
          <w:p/>
        </w:tc>
      </w:tr>
      <w:tr>
        <w:tc>
          <w:tcPr>
            <w:tcW w:type="dxa" w:w="1152"/>
          </w:tcPr>
          <w:p>
            <w:r>
              <w:rPr>
                <w:sz w:val="18"/>
              </w:rPr>
              <w:t>FY2015</w:t>
            </w:r>
          </w:p>
        </w:tc>
        <w:tc>
          <w:tcPr>
            <w:tcW w:type="dxa" w:w="1152"/>
          </w:tcPr>
          <w:p>
            <w:r>
              <w:rPr>
                <w:sz w:val="18"/>
              </w:rPr>
              <w:t>27.0%</w:t>
            </w:r>
          </w:p>
        </w:tc>
        <w:tc>
          <w:tcPr>
            <w:tcW w:type="dxa" w:w="7200"/>
          </w:tcPr>
          <w:p>
            <w:r>
              <w:rPr>
                <w:sz w:val="18"/>
              </w:rPr>
              <w:t>Pre-TCJA; normal rate</w:t>
            </w:r>
          </w:p>
        </w:tc>
      </w:tr>
      <w:tr>
        <w:tc>
          <w:tcPr>
            <w:tcW w:type="dxa" w:w="1152"/>
          </w:tcPr>
          <w:p>
            <w:r>
              <w:rPr>
                <w:sz w:val="18"/>
              </w:rPr>
              <w:t>FY2016</w:t>
            </w:r>
          </w:p>
        </w:tc>
        <w:tc>
          <w:tcPr>
            <w:tcW w:type="dxa" w:w="1152"/>
          </w:tcPr>
          <w:p>
            <w:r>
              <w:rPr>
                <w:sz w:val="18"/>
              </w:rPr>
              <w:t>19.3%</w:t>
            </w:r>
          </w:p>
        </w:tc>
        <w:tc>
          <w:tcPr>
            <w:tcW w:type="dxa" w:w="7200"/>
          </w:tcPr>
          <w:p>
            <w:r>
              <w:rPr>
                <w:sz w:val="18"/>
              </w:rPr>
              <w:t>SBC windfalls begin (ASU 2016-09)</w:t>
            </w:r>
          </w:p>
        </w:tc>
      </w:tr>
      <w:tr>
        <w:tc>
          <w:tcPr>
            <w:tcW w:type="dxa" w:w="1152"/>
          </w:tcPr>
          <w:p>
            <w:r>
              <w:rPr>
                <w:sz w:val="18"/>
              </w:rPr>
              <w:t>FY2017</w:t>
            </w:r>
          </w:p>
        </w:tc>
        <w:tc>
          <w:tcPr>
            <w:tcW w:type="dxa" w:w="1152"/>
          </w:tcPr>
          <w:p>
            <w:r>
              <w:rPr>
                <w:sz w:val="18"/>
              </w:rPr>
              <w:t>13.2%</w:t>
            </w:r>
          </w:p>
        </w:tc>
        <w:tc>
          <w:tcPr>
            <w:tcW w:type="dxa" w:w="7200"/>
          </w:tcPr>
          <w:p>
            <w:r>
              <w:rPr>
                <w:sz w:val="18"/>
              </w:rPr>
              <w:t>TCJA transition-year benefits</w:t>
            </w:r>
          </w:p>
        </w:tc>
      </w:tr>
      <w:tr>
        <w:tc>
          <w:tcPr>
            <w:tcW w:type="dxa" w:w="1152"/>
          </w:tcPr>
          <w:p>
            <w:r>
              <w:rPr>
                <w:sz w:val="18"/>
              </w:rPr>
              <w:t>FY2018</w:t>
            </w:r>
          </w:p>
        </w:tc>
        <w:tc>
          <w:tcPr>
            <w:tcW w:type="dxa" w:w="1152"/>
          </w:tcPr>
          <w:p>
            <w:r>
              <w:rPr>
                <w:sz w:val="18"/>
              </w:rPr>
              <w:t>54.6%</w:t>
            </w:r>
          </w:p>
        </w:tc>
        <w:tc>
          <w:tcPr>
            <w:tcW w:type="dxa" w:w="7200"/>
          </w:tcPr>
          <w:p>
            <w:r>
              <w:rPr>
                <w:sz w:val="18"/>
              </w:rPr>
              <w:t>TCJA one-time repatriation toll charge ($2bn+); anomaly year</w:t>
            </w:r>
          </w:p>
        </w:tc>
      </w:tr>
      <w:tr>
        <w:tc>
          <w:tcPr>
            <w:tcW w:type="dxa" w:w="1152"/>
          </w:tcPr>
          <w:p>
            <w:r>
              <w:rPr>
                <w:sz w:val="18"/>
              </w:rPr>
              <w:t>FY2019</w:t>
            </w:r>
          </w:p>
        </w:tc>
        <w:tc>
          <w:tcPr>
            <w:tcW w:type="dxa" w:w="1152"/>
          </w:tcPr>
          <w:p>
            <w:r>
              <w:rPr>
                <w:sz w:val="18"/>
              </w:rPr>
              <w:t>13.4%</w:t>
            </w:r>
          </w:p>
        </w:tc>
        <w:tc>
          <w:tcPr>
            <w:tcW w:type="dxa" w:w="7200"/>
          </w:tcPr>
          <w:p>
            <w:r>
              <w:rPr>
                <w:sz w:val="18"/>
              </w:rPr>
              <w:t>Post-TCJA settled; low effective rate</w:t>
            </w:r>
          </w:p>
        </w:tc>
      </w:tr>
      <w:tr>
        <w:tc>
          <w:tcPr>
            <w:tcW w:type="dxa" w:w="1152"/>
          </w:tcPr>
          <w:p>
            <w:r>
              <w:rPr>
                <w:sz w:val="18"/>
              </w:rPr>
              <w:t>FY2020</w:t>
            </w:r>
          </w:p>
        </w:tc>
        <w:tc>
          <w:tcPr>
            <w:tcW w:type="dxa" w:w="1152"/>
          </w:tcPr>
          <w:p>
            <w:r>
              <w:rPr>
                <w:sz w:val="18"/>
              </w:rPr>
              <w:t>18.2%</w:t>
            </w:r>
          </w:p>
        </w:tc>
        <w:tc>
          <w:tcPr>
            <w:tcW w:type="dxa" w:w="7200"/>
          </w:tcPr>
          <w:p>
            <w:r>
              <w:rPr>
                <w:sz w:val="18"/>
              </w:rPr>
              <w:t>COVID year; lower pre-tax income</w:t>
            </w:r>
          </w:p>
        </w:tc>
      </w:tr>
      <w:tr>
        <w:tc>
          <w:tcPr>
            <w:tcW w:type="dxa" w:w="1152"/>
          </w:tcPr>
          <w:p>
            <w:r>
              <w:rPr>
                <w:sz w:val="18"/>
              </w:rPr>
              <w:t>FY2021</w:t>
            </w:r>
          </w:p>
        </w:tc>
        <w:tc>
          <w:tcPr>
            <w:tcW w:type="dxa" w:w="1152"/>
          </w:tcPr>
          <w:p>
            <w:r>
              <w:rPr>
                <w:sz w:val="18"/>
              </w:rPr>
              <w:t>18.3%</w:t>
            </w:r>
          </w:p>
        </w:tc>
        <w:tc>
          <w:tcPr>
            <w:tcW w:type="dxa" w:w="7200"/>
          </w:tcPr>
          <w:p>
            <w:r>
              <w:rPr>
                <w:sz w:val="18"/>
              </w:rPr>
              <w:t>Normal</w:t>
            </w:r>
          </w:p>
        </w:tc>
      </w:tr>
      <w:tr>
        <w:tc>
          <w:tcPr>
            <w:tcW w:type="dxa" w:w="1152"/>
          </w:tcPr>
          <w:p>
            <w:r>
              <w:rPr>
                <w:sz w:val="18"/>
              </w:rPr>
              <w:t>FY2022</w:t>
            </w:r>
          </w:p>
        </w:tc>
        <w:tc>
          <w:tcPr>
            <w:tcW w:type="dxa" w:w="1152"/>
          </w:tcPr>
          <w:p>
            <w:r>
              <w:rPr>
                <w:sz w:val="18"/>
              </w:rPr>
              <w:t>9.1%</w:t>
            </w:r>
          </w:p>
        </w:tc>
        <w:tc>
          <w:tcPr>
            <w:tcW w:type="dxa" w:w="7200"/>
          </w:tcPr>
          <w:p>
            <w:r>
              <w:rPr>
                <w:sz w:val="18"/>
              </w:rPr>
              <w:t>LOWEST — massive SBC deductions from elevated stock price</w:t>
            </w:r>
          </w:p>
        </w:tc>
      </w:tr>
      <w:tr>
        <w:tc>
          <w:tcPr>
            <w:tcW w:type="dxa" w:w="1152"/>
          </w:tcPr>
          <w:p>
            <w:r>
              <w:rPr>
                <w:sz w:val="18"/>
              </w:rPr>
              <w:t>FY2023</w:t>
            </w:r>
          </w:p>
        </w:tc>
        <w:tc>
          <w:tcPr>
            <w:tcW w:type="dxa" w:w="1152"/>
          </w:tcPr>
          <w:p>
            <w:r>
              <w:rPr>
                <w:sz w:val="18"/>
              </w:rPr>
              <w:t>18.8%</w:t>
            </w:r>
          </w:p>
        </w:tc>
        <w:tc>
          <w:tcPr>
            <w:tcW w:type="dxa" w:w="7200"/>
          </w:tcPr>
          <w:p>
            <w:r>
              <w:rPr>
                <w:sz w:val="18"/>
              </w:rPr>
              <w:t>Normal</w:t>
            </w:r>
          </w:p>
        </w:tc>
      </w:tr>
      <w:tr>
        <w:tc>
          <w:tcPr>
            <w:tcW w:type="dxa" w:w="1152"/>
          </w:tcPr>
          <w:p>
            <w:r>
              <w:rPr>
                <w:sz w:val="18"/>
              </w:rPr>
              <w:t>FY2024</w:t>
            </w:r>
          </w:p>
        </w:tc>
        <w:tc>
          <w:tcPr>
            <w:tcW w:type="dxa" w:w="1152"/>
          </w:tcPr>
          <w:p>
            <w:r>
              <w:rPr>
                <w:sz w:val="18"/>
              </w:rPr>
              <w:t>17.5%</w:t>
            </w:r>
          </w:p>
        </w:tc>
        <w:tc>
          <w:tcPr>
            <w:tcW w:type="dxa" w:w="7200"/>
          </w:tcPr>
          <w:p>
            <w:r>
              <w:rPr>
                <w:sz w:val="18"/>
              </w:rPr>
              <w:t>Slight improvement</w:t>
            </w:r>
          </w:p>
        </w:tc>
      </w:tr>
    </w:tbl>
    <w:p/>
    <w:p>
      <w:r>
        <w:rPr>
          <w:b w:val="0"/>
          <w:i w:val="0"/>
          <w:sz w:val="20"/>
        </w:rPr>
        <w:t>FY2022's 9.1% ETR is the outlier: NIKE's stock price was near all-time highs in mid-2022, meaning RSU vests and stock option exercises produced large tax deductions (excess tax benefits from SBC = windfall deductions). The model forecasts a normalised ~18% rate.</w:t>
      </w:r>
    </w:p>
    <w:p>
      <w:r>
        <w:rPr>
          <w:b w:val="0"/>
          <w:i w:val="0"/>
          <w:sz w:val="20"/>
        </w:rPr>
        <w:t>Row 25 stores the forecast tax rate used in CFADS and other formulas. The rate in column R25 ($R$25) is the statutory anchor that rows 358, 260, and 261 attempt to reference — see the CFADS bug in Section 5.2.</w:t>
      </w:r>
    </w:p>
    <w:p>
      <w:pPr>
        <w:pStyle w:val="Heading2"/>
      </w:pPr>
      <w:r>
        <w:t>2.8  Net Income and EPS (Rows 361–373)</w:t>
      </w:r>
    </w:p>
    <w:p>
      <w:r>
        <w:rPr>
          <w:b w:val="0"/>
          <w:i w:val="0"/>
          <w:sz w:val="20"/>
        </w:rPr>
        <w:t>Row 361: Net Income = EBT − Tax. FY2024 = $5,700m. Row 362: Diluted shares = ~1,503m (FY2024).</w:t>
      </w:r>
    </w:p>
    <w:tbl>
      <w:tblPr>
        <w:tblStyle w:val="LightList-Accent1"/>
        <w:tblW w:type="auto" w:w="0"/>
        <w:tblLook w:firstColumn="1" w:firstRow="1" w:lastColumn="0" w:lastRow="0" w:noHBand="0" w:noVBand="1" w:val="04A0"/>
      </w:tblPr>
      <w:tblGrid>
        <w:gridCol w:w="2160"/>
        <w:gridCol w:w="2160"/>
        <w:gridCol w:w="2160"/>
        <w:gridCol w:w="2160"/>
      </w:tblGrid>
      <w:tr>
        <w:tc>
          <w:tcPr>
            <w:tcW w:type="dxa" w:w="720"/>
          </w:tcPr>
          <w:p>
            <w:r>
              <w:rPr>
                <w:b/>
                <w:sz w:val="18"/>
              </w:rPr>
              <w:t>Row</w:t>
            </w:r>
          </w:p>
        </w:tc>
        <w:tc>
          <w:tcPr>
            <w:tcW w:type="dxa" w:w="2880"/>
          </w:tcPr>
          <w:p>
            <w:r>
              <w:rPr>
                <w:b/>
                <w:sz w:val="18"/>
              </w:rPr>
              <w:t>Metric</w:t>
            </w:r>
          </w:p>
        </w:tc>
        <w:tc>
          <w:tcPr>
            <w:tcW w:type="dxa" w:w="1872"/>
          </w:tcPr>
          <w:p>
            <w:r>
              <w:rPr>
                <w:b/>
                <w:sz w:val="18"/>
              </w:rPr>
              <w:t>FY2024</w:t>
            </w:r>
          </w:p>
        </w:tc>
        <w:tc>
          <w:tcPr>
            <w:tcW w:type="dxa" w:w="4320"/>
          </w:tcPr>
          <w:p>
            <w:r>
              <w:rPr>
                <w:b/>
                <w:sz w:val="18"/>
              </w:rPr>
              <w:t>Notes</w:t>
            </w: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r>
              <w:rPr>
                <w:sz w:val="18"/>
              </w:rPr>
              <w:t>363</w:t>
            </w:r>
          </w:p>
        </w:tc>
        <w:tc>
          <w:tcPr>
            <w:tcW w:type="dxa" w:w="2880"/>
          </w:tcPr>
          <w:p>
            <w:r>
              <w:rPr>
                <w:sz w:val="18"/>
              </w:rPr>
              <w:t>Reported diluted EPS</w:t>
            </w:r>
          </w:p>
        </w:tc>
        <w:tc>
          <w:tcPr>
            <w:tcW w:type="dxa" w:w="1872"/>
          </w:tcPr>
          <w:p>
            <w:r>
              <w:rPr>
                <w:sz w:val="18"/>
              </w:rPr>
              <w:t>$3.73</w:t>
            </w:r>
          </w:p>
        </w:tc>
        <w:tc>
          <w:tcPr>
            <w:tcW w:type="dxa" w:w="4320"/>
          </w:tcPr>
          <w:p>
            <w:r>
              <w:rPr>
                <w:sz w:val="18"/>
              </w:rPr>
              <w:t>= NI / diluted shares</w:t>
            </w:r>
          </w:p>
        </w:tc>
      </w:tr>
      <w:tr>
        <w:tc>
          <w:tcPr>
            <w:tcW w:type="dxa" w:w="720"/>
          </w:tcPr>
          <w:p>
            <w:r>
              <w:rPr>
                <w:sz w:val="18"/>
              </w:rPr>
              <w:t>372</w:t>
            </w:r>
          </w:p>
        </w:tc>
        <w:tc>
          <w:tcPr>
            <w:tcW w:type="dxa" w:w="2880"/>
          </w:tcPr>
          <w:p>
            <w:r>
              <w:rPr>
                <w:sz w:val="18"/>
              </w:rPr>
              <w:t>Normalised diluted EPS</w:t>
            </w:r>
          </w:p>
        </w:tc>
        <w:tc>
          <w:tcPr>
            <w:tcW w:type="dxa" w:w="1872"/>
          </w:tcPr>
          <w:p>
            <w:r>
              <w:rPr>
                <w:sz w:val="18"/>
              </w:rPr>
              <w:t>$2.918</w:t>
            </w:r>
          </w:p>
        </w:tc>
        <w:tc>
          <w:tcPr>
            <w:tcW w:type="dxa" w:w="4320"/>
          </w:tcPr>
          <w:p>
            <w:r>
              <w:rPr>
                <w:sz w:val="18"/>
              </w:rPr>
              <w:t>Strips restructuring, applies normalised tax rate</w:t>
            </w:r>
          </w:p>
        </w:tc>
      </w:tr>
      <w:tr>
        <w:tc>
          <w:tcPr>
            <w:tcW w:type="dxa" w:w="720"/>
          </w:tcPr>
          <w:p>
            <w:r>
              <w:rPr>
                <w:sz w:val="18"/>
              </w:rPr>
              <w:t>373</w:t>
            </w:r>
          </w:p>
        </w:tc>
        <w:tc>
          <w:tcPr>
            <w:tcW w:type="dxa" w:w="2880"/>
          </w:tcPr>
          <w:p>
            <w:r>
              <w:rPr>
                <w:sz w:val="18"/>
              </w:rPr>
              <w:t>Normalised NI</w:t>
            </w:r>
          </w:p>
        </w:tc>
        <w:tc>
          <w:tcPr>
            <w:tcW w:type="dxa" w:w="1872"/>
          </w:tcPr>
          <w:p>
            <w:r>
              <w:rPr>
                <w:sz w:val="18"/>
              </w:rPr>
              <w:t>$4,464m</w:t>
            </w:r>
          </w:p>
        </w:tc>
        <w:tc>
          <w:tcPr>
            <w:tcW w:type="dxa" w:w="4320"/>
          </w:tcPr>
          <w:p>
            <w:r>
              <w:rPr>
                <w:sz w:val="18"/>
              </w:rPr>
              <w:t>vs $5,700m reported; diff = restructuring + tax normalisation</w:t>
            </w:r>
          </w:p>
        </w:tc>
      </w:tr>
      <w:tr>
        <w:tc>
          <w:tcPr>
            <w:tcW w:type="dxa" w:w="720"/>
          </w:tcPr>
          <w:p>
            <w:r>
              <w:rPr>
                <w:sz w:val="18"/>
              </w:rPr>
              <w:t>389</w:t>
            </w:r>
          </w:p>
        </w:tc>
        <w:tc>
          <w:tcPr>
            <w:tcW w:type="dxa" w:w="2880"/>
          </w:tcPr>
          <w:p>
            <w:r>
              <w:rPr>
                <w:sz w:val="18"/>
              </w:rPr>
              <w:t>Normalised NI (alt calc)</w:t>
            </w:r>
          </w:p>
        </w:tc>
        <w:tc>
          <w:tcPr>
            <w:tcW w:type="dxa" w:w="1872"/>
          </w:tcPr>
          <w:p>
            <w:r>
              <w:rPr>
                <w:sz w:val="18"/>
              </w:rPr>
              <w:t>$4,464,375k</w:t>
            </w:r>
          </w:p>
        </w:tc>
        <w:tc>
          <w:tcPr>
            <w:tcW w:type="dxa" w:w="4320"/>
          </w:tcPr>
          <w:p>
            <w:r>
              <w:rPr>
                <w:sz w:val="18"/>
              </w:rPr>
              <w:t>Same concept, shown at thousands level</w:t>
            </w:r>
          </w:p>
        </w:tc>
      </w:tr>
    </w:tbl>
    <w:p/>
    <w:p>
      <w:pPr>
        <w:ind w:left="432"/>
      </w:pPr>
      <w:r>
        <w:rPr>
          <w:b/>
          <w:color w:val="C0390B"/>
          <w:sz w:val="18"/>
        </w:rPr>
        <w:t>[IMPORTANT]  Normalised EPS ($2.92) is 22% BELOW reported EPS ($3.73). This means the reported P/E significantly understates the 'true' earnings multiple. At a stock price of $75 (illustrative), reported P/E = 20x but normalised P/E = 26x. The model uses reported NI for the DCF, which implicitly assumes restructuring charges do NOT recur — creating an inconsistency (normalised EPS is lower, but the DCF is built off unstripped NI).</w:t>
      </w:r>
    </w:p>
    <w:p>
      <w:pPr>
        <w:pStyle w:val="Heading2"/>
      </w:pPr>
      <w:r>
        <w:t>2.9  EBITDA Variants (Rows 378–381)</w:t>
      </w:r>
    </w:p>
    <w:tbl>
      <w:tblPr>
        <w:tblStyle w:val="LightList-Accent1"/>
        <w:tblW w:type="auto" w:w="0"/>
        <w:tblLook w:firstColumn="1" w:firstRow="1" w:lastColumn="0" w:lastRow="0" w:noHBand="0" w:noVBand="1" w:val="04A0"/>
      </w:tblPr>
      <w:tblGrid>
        <w:gridCol w:w="2160"/>
        <w:gridCol w:w="2160"/>
        <w:gridCol w:w="2160"/>
        <w:gridCol w:w="2160"/>
      </w:tblGrid>
      <w:tr>
        <w:tc>
          <w:tcPr>
            <w:tcW w:type="dxa" w:w="720"/>
          </w:tcPr>
          <w:p>
            <w:r>
              <w:rPr>
                <w:b/>
                <w:sz w:val="18"/>
              </w:rPr>
              <w:t>Row</w:t>
            </w:r>
          </w:p>
        </w:tc>
        <w:tc>
          <w:tcPr>
            <w:tcW w:type="dxa" w:w="3168"/>
          </w:tcPr>
          <w:p>
            <w:r>
              <w:rPr>
                <w:b/>
                <w:sz w:val="18"/>
              </w:rPr>
              <w:t>Metric</w:t>
            </w:r>
          </w:p>
        </w:tc>
        <w:tc>
          <w:tcPr>
            <w:tcW w:type="dxa" w:w="2160"/>
          </w:tcPr>
          <w:p>
            <w:r>
              <w:rPr>
                <w:b/>
                <w:sz w:val="18"/>
              </w:rPr>
              <w:t>FY2024 ($m)</w:t>
            </w:r>
          </w:p>
        </w:tc>
        <w:tc>
          <w:tcPr>
            <w:tcW w:type="dxa" w:w="3600"/>
          </w:tcPr>
          <w:p>
            <w:r>
              <w:rPr>
                <w:b/>
                <w:sz w:val="18"/>
              </w:rPr>
              <w:t>Formula</w:t>
            </w:r>
          </w:p>
        </w:tc>
      </w:tr>
      <w:tr>
        <w:tc>
          <w:tcPr>
            <w:tcW w:type="dxa" w:w="720"/>
          </w:tcPr>
          <w:p/>
        </w:tc>
        <w:tc>
          <w:tcPr>
            <w:tcW w:type="dxa" w:w="3168"/>
          </w:tcPr>
          <w:p/>
        </w:tc>
        <w:tc>
          <w:tcPr>
            <w:tcW w:type="dxa" w:w="2160"/>
          </w:tcPr>
          <w:p/>
        </w:tc>
        <w:tc>
          <w:tcPr>
            <w:tcW w:type="dxa" w:w="3600"/>
          </w:tcPr>
          <w:p/>
        </w:tc>
      </w:tr>
      <w:tr>
        <w:tc>
          <w:tcPr>
            <w:tcW w:type="dxa" w:w="720"/>
          </w:tcPr>
          <w:p/>
        </w:tc>
        <w:tc>
          <w:tcPr>
            <w:tcW w:type="dxa" w:w="3168"/>
          </w:tcPr>
          <w:p/>
        </w:tc>
        <w:tc>
          <w:tcPr>
            <w:tcW w:type="dxa" w:w="2160"/>
          </w:tcPr>
          <w:p/>
        </w:tc>
        <w:tc>
          <w:tcPr>
            <w:tcW w:type="dxa" w:w="3600"/>
          </w:tcPr>
          <w:p/>
        </w:tc>
      </w:tr>
      <w:tr>
        <w:tc>
          <w:tcPr>
            <w:tcW w:type="dxa" w:w="720"/>
          </w:tcPr>
          <w:p/>
        </w:tc>
        <w:tc>
          <w:tcPr>
            <w:tcW w:type="dxa" w:w="3168"/>
          </w:tcPr>
          <w:p/>
        </w:tc>
        <w:tc>
          <w:tcPr>
            <w:tcW w:type="dxa" w:w="2160"/>
          </w:tcPr>
          <w:p/>
        </w:tc>
        <w:tc>
          <w:tcPr>
            <w:tcW w:type="dxa" w:w="3600"/>
          </w:tcPr>
          <w:p/>
        </w:tc>
      </w:tr>
      <w:tr>
        <w:tc>
          <w:tcPr>
            <w:tcW w:type="dxa" w:w="720"/>
          </w:tcPr>
          <w:p/>
        </w:tc>
        <w:tc>
          <w:tcPr>
            <w:tcW w:type="dxa" w:w="3168"/>
          </w:tcPr>
          <w:p/>
        </w:tc>
        <w:tc>
          <w:tcPr>
            <w:tcW w:type="dxa" w:w="2160"/>
          </w:tcPr>
          <w:p/>
        </w:tc>
        <w:tc>
          <w:tcPr>
            <w:tcW w:type="dxa" w:w="3600"/>
          </w:tcPr>
          <w:p/>
        </w:tc>
      </w:tr>
      <w:tr>
        <w:tc>
          <w:tcPr>
            <w:tcW w:type="dxa" w:w="720"/>
          </w:tcPr>
          <w:p>
            <w:r>
              <w:rPr>
                <w:sz w:val="18"/>
              </w:rPr>
              <w:t>378</w:t>
            </w:r>
          </w:p>
        </w:tc>
        <w:tc>
          <w:tcPr>
            <w:tcW w:type="dxa" w:w="3168"/>
          </w:tcPr>
          <w:p>
            <w:r>
              <w:rPr>
                <w:sz w:val="18"/>
              </w:rPr>
              <w:t>EBITDA</w:t>
            </w:r>
          </w:p>
        </w:tc>
        <w:tc>
          <w:tcPr>
            <w:tcW w:type="dxa" w:w="2160"/>
          </w:tcPr>
          <w:p>
            <w:r>
              <w:rPr>
                <w:sz w:val="18"/>
              </w:rPr>
              <w:t>7,550</w:t>
            </w:r>
          </w:p>
        </w:tc>
        <w:tc>
          <w:tcPr>
            <w:tcW w:type="dxa" w:w="3600"/>
          </w:tcPr>
          <w:p>
            <w:r>
              <w:rPr>
                <w:sz w:val="18"/>
              </w:rPr>
              <w:t>EBIT + D&amp;A ($796m)</w:t>
            </w:r>
          </w:p>
        </w:tc>
      </w:tr>
      <w:tr>
        <w:tc>
          <w:tcPr>
            <w:tcW w:type="dxa" w:w="720"/>
          </w:tcPr>
          <w:p>
            <w:r>
              <w:rPr>
                <w:sz w:val="18"/>
              </w:rPr>
              <w:t>379</w:t>
            </w:r>
          </w:p>
        </w:tc>
        <w:tc>
          <w:tcPr>
            <w:tcW w:type="dxa" w:w="3168"/>
          </w:tcPr>
          <w:p>
            <w:r>
              <w:rPr>
                <w:sz w:val="18"/>
              </w:rPr>
              <w:t>EBITA</w:t>
            </w:r>
          </w:p>
        </w:tc>
        <w:tc>
          <w:tcPr>
            <w:tcW w:type="dxa" w:w="2160"/>
          </w:tcPr>
          <w:p>
            <w:r>
              <w:rPr>
                <w:sz w:val="18"/>
              </w:rPr>
              <w:t>6,754</w:t>
            </w:r>
          </w:p>
        </w:tc>
        <w:tc>
          <w:tcPr>
            <w:tcW w:type="dxa" w:w="3600"/>
          </w:tcPr>
          <w:p>
            <w:r>
              <w:rPr>
                <w:sz w:val="18"/>
              </w:rPr>
              <w:t>= EBIT; no goodwill amortisation at NIKE</w:t>
            </w:r>
          </w:p>
        </w:tc>
      </w:tr>
      <w:tr>
        <w:tc>
          <w:tcPr>
            <w:tcW w:type="dxa" w:w="720"/>
          </w:tcPr>
          <w:p>
            <w:r>
              <w:rPr>
                <w:sz w:val="18"/>
              </w:rPr>
              <w:t>380</w:t>
            </w:r>
          </w:p>
        </w:tc>
        <w:tc>
          <w:tcPr>
            <w:tcW w:type="dxa" w:w="3168"/>
          </w:tcPr>
          <w:p>
            <w:r>
              <w:rPr>
                <w:sz w:val="18"/>
              </w:rPr>
              <w:t>EBIT</w:t>
            </w:r>
          </w:p>
        </w:tc>
        <w:tc>
          <w:tcPr>
            <w:tcW w:type="dxa" w:w="2160"/>
          </w:tcPr>
          <w:p>
            <w:r>
              <w:rPr>
                <w:sz w:val="18"/>
              </w:rPr>
              <w:t>6,754</w:t>
            </w:r>
          </w:p>
        </w:tc>
        <w:tc>
          <w:tcPr>
            <w:tcW w:type="dxa" w:w="3600"/>
          </w:tcPr>
          <w:p>
            <w:r>
              <w:rPr>
                <w:sz w:val="18"/>
              </w:rPr>
              <w:t>Operating income before restructuring add-back</w:t>
            </w:r>
          </w:p>
        </w:tc>
      </w:tr>
      <w:tr>
        <w:tc>
          <w:tcPr>
            <w:tcW w:type="dxa" w:w="720"/>
          </w:tcPr>
          <w:p>
            <w:r>
              <w:rPr>
                <w:sz w:val="18"/>
              </w:rPr>
              <w:t>381</w:t>
            </w:r>
          </w:p>
        </w:tc>
        <w:tc>
          <w:tcPr>
            <w:tcW w:type="dxa" w:w="3168"/>
          </w:tcPr>
          <w:p>
            <w:r>
              <w:rPr>
                <w:sz w:val="18"/>
              </w:rPr>
              <w:t>EBITDAR</w:t>
            </w:r>
          </w:p>
        </w:tc>
        <w:tc>
          <w:tcPr>
            <w:tcW w:type="dxa" w:w="2160"/>
          </w:tcPr>
          <w:p>
            <w:r>
              <w:rPr>
                <w:sz w:val="18"/>
              </w:rPr>
              <w:t>8,601</w:t>
            </w:r>
          </w:p>
        </w:tc>
        <w:tc>
          <w:tcPr>
            <w:tcW w:type="dxa" w:w="3600"/>
          </w:tcPr>
          <w:p>
            <w:r>
              <w:rPr>
                <w:sz w:val="18"/>
              </w:rPr>
              <w:t>= EBITDA + net rental expense ($1,051m); pre-lease-standard view</w:t>
            </w:r>
          </w:p>
        </w:tc>
      </w:tr>
    </w:tbl>
    <w:p/>
    <w:p>
      <w:r>
        <w:rPr>
          <w:b w:val="0"/>
          <w:i w:val="0"/>
          <w:sz w:val="20"/>
        </w:rPr>
        <w:t>EBITDAR is the most relevant metric for retail/consumer companies with significant store footprints. NIKE's $1,051m net rental expense (row 393) is the pre-ASC 842 equivalent of the on-balance-sheet lease payments now reported separately. EBITDAR allows comparison to pre-ASC 842 peers.</w:t>
      </w:r>
    </w:p>
    <w:p>
      <w:r>
        <w:br w:type="page"/>
      </w:r>
    </w:p>
    <w:p>
      <w:pPr>
        <w:pStyle w:val="Heading1"/>
      </w:pPr>
      <w:r>
        <w:t>PART III — Cash Flow Statement</w:t>
      </w:r>
    </w:p>
    <w:p>
      <w:pPr>
        <w:pStyle w:val="Heading2"/>
      </w:pPr>
      <w:r>
        <w:t>3.1  Operating Cash Flow Build (Rows 217–233)</w:t>
      </w:r>
    </w:p>
    <w:p>
      <w:r>
        <w:rPr>
          <w:b w:val="0"/>
          <w:i w:val="0"/>
          <w:sz w:val="20"/>
        </w:rPr>
        <w:t>The model builds its own operating cash flow from first principles rather than pulling it directly from CIQ. The CIQ reported CFO (row 445) merely checks back against the model's computed row 233 via: L445 = L233.</w:t>
      </w:r>
    </w:p>
    <w:tbl>
      <w:tblPr>
        <w:tblStyle w:val="LightList-Accent1"/>
        <w:tblW w:type="auto" w:w="0"/>
        <w:tblLook w:firstColumn="1" w:firstRow="1" w:lastColumn="0" w:lastRow="0" w:noHBand="0" w:noVBand="1" w:val="04A0"/>
      </w:tblPr>
      <w:tblGrid>
        <w:gridCol w:w="2160"/>
        <w:gridCol w:w="2160"/>
        <w:gridCol w:w="2160"/>
        <w:gridCol w:w="2160"/>
      </w:tblGrid>
      <w:tr>
        <w:tc>
          <w:tcPr>
            <w:tcW w:type="dxa" w:w="720"/>
          </w:tcPr>
          <w:p>
            <w:r>
              <w:rPr>
                <w:b/>
                <w:sz w:val="18"/>
              </w:rPr>
              <w:t>Row</w:t>
            </w:r>
          </w:p>
        </w:tc>
        <w:tc>
          <w:tcPr>
            <w:tcW w:type="dxa" w:w="2880"/>
          </w:tcPr>
          <w:p>
            <w:r>
              <w:rPr>
                <w:b/>
                <w:sz w:val="18"/>
              </w:rPr>
              <w:t>Component</w:t>
            </w:r>
          </w:p>
        </w:tc>
        <w:tc>
          <w:tcPr>
            <w:tcW w:type="dxa" w:w="1872"/>
          </w:tcPr>
          <w:p>
            <w:r>
              <w:rPr>
                <w:b/>
                <w:sz w:val="18"/>
              </w:rPr>
              <w:t>FY2024 ($m)</w:t>
            </w:r>
          </w:p>
        </w:tc>
        <w:tc>
          <w:tcPr>
            <w:tcW w:type="dxa" w:w="4320"/>
          </w:tcPr>
          <w:p>
            <w:r>
              <w:rPr>
                <w:b/>
                <w:sz w:val="18"/>
              </w:rPr>
              <w:t>Formula Pattern</w:t>
            </w: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tc>
        <w:tc>
          <w:tcPr>
            <w:tcW w:type="dxa" w:w="2880"/>
          </w:tcPr>
          <w:p/>
        </w:tc>
        <w:tc>
          <w:tcPr>
            <w:tcW w:type="dxa" w:w="1872"/>
          </w:tcPr>
          <w:p/>
        </w:tc>
        <w:tc>
          <w:tcPr>
            <w:tcW w:type="dxa" w:w="4320"/>
          </w:tcPr>
          <w:p/>
        </w:tc>
      </w:tr>
      <w:tr>
        <w:tc>
          <w:tcPr>
            <w:tcW w:type="dxa" w:w="720"/>
          </w:tcPr>
          <w:p>
            <w:r>
              <w:rPr>
                <w:sz w:val="18"/>
              </w:rPr>
              <w:t>434</w:t>
            </w:r>
          </w:p>
        </w:tc>
        <w:tc>
          <w:tcPr>
            <w:tcW w:type="dxa" w:w="2880"/>
          </w:tcPr>
          <w:p>
            <w:r>
              <w:rPr>
                <w:sz w:val="18"/>
              </w:rPr>
              <w:t>Net Income (CF basis)</w:t>
            </w:r>
          </w:p>
        </w:tc>
        <w:tc>
          <w:tcPr>
            <w:tcW w:type="dxa" w:w="1872"/>
          </w:tcPr>
          <w:p>
            <w:r>
              <w:rPr>
                <w:sz w:val="18"/>
              </w:rPr>
              <w:t>5,700</w:t>
            </w:r>
          </w:p>
        </w:tc>
        <w:tc>
          <w:tcPr>
            <w:tcW w:type="dxa" w:w="4320"/>
          </w:tcPr>
          <w:p>
            <w:r>
              <w:rPr>
                <w:sz w:val="18"/>
              </w:rPr>
              <w:t>Hard data from CIQ; same as IS</w:t>
            </w:r>
          </w:p>
        </w:tc>
      </w:tr>
      <w:tr>
        <w:tc>
          <w:tcPr>
            <w:tcW w:type="dxa" w:w="720"/>
          </w:tcPr>
          <w:p>
            <w:r>
              <w:rPr>
                <w:sz w:val="18"/>
              </w:rPr>
              <w:t>437</w:t>
            </w:r>
          </w:p>
        </w:tc>
        <w:tc>
          <w:tcPr>
            <w:tcW w:type="dxa" w:w="2880"/>
          </w:tcPr>
          <w:p>
            <w:r>
              <w:rPr>
                <w:sz w:val="18"/>
              </w:rPr>
              <w:t>D&amp;A Total</w:t>
            </w:r>
          </w:p>
        </w:tc>
        <w:tc>
          <w:tcPr>
            <w:tcW w:type="dxa" w:w="1872"/>
          </w:tcPr>
          <w:p>
            <w:r>
              <w:rPr>
                <w:sz w:val="18"/>
              </w:rPr>
              <w:t>796</w:t>
            </w:r>
          </w:p>
        </w:tc>
        <w:tc>
          <w:tcPr>
            <w:tcW w:type="dxa" w:w="4320"/>
          </w:tcPr>
          <w:p>
            <w:r>
              <w:rPr>
                <w:sz w:val="18"/>
              </w:rPr>
              <w:t>= Property D&amp;A + goodwill/intangible amort</w:t>
            </w:r>
          </w:p>
        </w:tc>
      </w:tr>
      <w:tr>
        <w:tc>
          <w:tcPr>
            <w:tcW w:type="dxa" w:w="720"/>
          </w:tcPr>
          <w:p>
            <w:r>
              <w:rPr>
                <w:sz w:val="18"/>
              </w:rPr>
              <w:t>438</w:t>
            </w:r>
          </w:p>
        </w:tc>
        <w:tc>
          <w:tcPr>
            <w:tcW w:type="dxa" w:w="2880"/>
          </w:tcPr>
          <w:p>
            <w:r>
              <w:rPr>
                <w:sz w:val="18"/>
              </w:rPr>
              <w:t>Asset writedown (restructuring)</w:t>
            </w:r>
          </w:p>
        </w:tc>
        <w:tc>
          <w:tcPr>
            <w:tcW w:type="dxa" w:w="1872"/>
          </w:tcPr>
          <w:p>
            <w:r>
              <w:rPr>
                <w:sz w:val="18"/>
              </w:rPr>
              <w:t>48</w:t>
            </w:r>
          </w:p>
        </w:tc>
        <w:tc>
          <w:tcPr>
            <w:tcW w:type="dxa" w:w="4320"/>
          </w:tcPr>
          <w:p>
            <w:r>
              <w:rPr>
                <w:sz w:val="18"/>
              </w:rPr>
              <w:t>FY2024 only; FY2023 = $156m; non-cash portion of restructuring</w:t>
            </w:r>
          </w:p>
        </w:tc>
      </w:tr>
      <w:tr>
        <w:tc>
          <w:tcPr>
            <w:tcW w:type="dxa" w:w="720"/>
          </w:tcPr>
          <w:p>
            <w:r>
              <w:rPr>
                <w:sz w:val="18"/>
              </w:rPr>
              <w:t>439</w:t>
            </w:r>
          </w:p>
        </w:tc>
        <w:tc>
          <w:tcPr>
            <w:tcW w:type="dxa" w:w="2880"/>
          </w:tcPr>
          <w:p>
            <w:r>
              <w:rPr>
                <w:sz w:val="18"/>
              </w:rPr>
              <w:t>Stock-based compensation</w:t>
            </w:r>
          </w:p>
        </w:tc>
        <w:tc>
          <w:tcPr>
            <w:tcW w:type="dxa" w:w="1872"/>
          </w:tcPr>
          <w:p>
            <w:r>
              <w:rPr>
                <w:sz w:val="18"/>
              </w:rPr>
              <w:t>804</w:t>
            </w:r>
          </w:p>
        </w:tc>
        <w:tc>
          <w:tcPr>
            <w:tcW w:type="dxa" w:w="4320"/>
          </w:tcPr>
          <w:p>
            <w:r>
              <w:rPr>
                <w:sz w:val="18"/>
              </w:rPr>
              <w:t>Added back (non-cash)</w:t>
            </w:r>
          </w:p>
        </w:tc>
      </w:tr>
      <w:tr>
        <w:tc>
          <w:tcPr>
            <w:tcW w:type="dxa" w:w="720"/>
          </w:tcPr>
          <w:p>
            <w:r>
              <w:rPr>
                <w:sz w:val="18"/>
              </w:rPr>
              <w:t>440</w:t>
            </w:r>
          </w:p>
        </w:tc>
        <w:tc>
          <w:tcPr>
            <w:tcW w:type="dxa" w:w="2880"/>
          </w:tcPr>
          <w:p>
            <w:r>
              <w:rPr>
                <w:sz w:val="18"/>
              </w:rPr>
              <w:t>Other operating activities</w:t>
            </w:r>
          </w:p>
        </w:tc>
        <w:tc>
          <w:tcPr>
            <w:tcW w:type="dxa" w:w="1872"/>
          </w:tcPr>
          <w:p>
            <w:r>
              <w:rPr>
                <w:sz w:val="18"/>
              </w:rPr>
              <w:t>-635</w:t>
            </w:r>
          </w:p>
        </w:tc>
        <w:tc>
          <w:tcPr>
            <w:tcW w:type="dxa" w:w="4320"/>
          </w:tcPr>
          <w:p>
            <w:r>
              <w:rPr>
                <w:sz w:val="18"/>
              </w:rPr>
              <w:t>Includes working capital reclasses and non-operating items</w:t>
            </w:r>
          </w:p>
        </w:tc>
      </w:tr>
      <w:tr>
        <w:tc>
          <w:tcPr>
            <w:tcW w:type="dxa" w:w="720"/>
          </w:tcPr>
          <w:p>
            <w:r>
              <w:rPr>
                <w:sz w:val="18"/>
              </w:rPr>
              <w:t>441</w:t>
            </w:r>
          </w:p>
        </w:tc>
        <w:tc>
          <w:tcPr>
            <w:tcW w:type="dxa" w:w="2880"/>
          </w:tcPr>
          <w:p>
            <w:r>
              <w:rPr>
                <w:sz w:val="18"/>
              </w:rPr>
              <w:t>ΔAccounts Receivable</w:t>
            </w:r>
          </w:p>
        </w:tc>
        <w:tc>
          <w:tcPr>
            <w:tcW w:type="dxa" w:w="1872"/>
          </w:tcPr>
          <w:p>
            <w:r>
              <w:rPr>
                <w:sz w:val="18"/>
              </w:rPr>
              <w:t>-329</w:t>
            </w:r>
          </w:p>
        </w:tc>
        <w:tc>
          <w:tcPr>
            <w:tcW w:type="dxa" w:w="4320"/>
          </w:tcPr>
          <w:p>
            <w:r>
              <w:rPr>
                <w:sz w:val="18"/>
              </w:rPr>
              <w:t>Increase in AR = use of cash</w:t>
            </w:r>
          </w:p>
        </w:tc>
      </w:tr>
      <w:tr>
        <w:tc>
          <w:tcPr>
            <w:tcW w:type="dxa" w:w="720"/>
          </w:tcPr>
          <w:p>
            <w:r>
              <w:rPr>
                <w:sz w:val="18"/>
              </w:rPr>
              <w:t>442</w:t>
            </w:r>
          </w:p>
        </w:tc>
        <w:tc>
          <w:tcPr>
            <w:tcW w:type="dxa" w:w="2880"/>
          </w:tcPr>
          <w:p>
            <w:r>
              <w:rPr>
                <w:sz w:val="18"/>
              </w:rPr>
              <w:t>ΔInventories</w:t>
            </w:r>
          </w:p>
        </w:tc>
        <w:tc>
          <w:tcPr>
            <w:tcW w:type="dxa" w:w="1872"/>
          </w:tcPr>
          <w:p>
            <w:r>
              <w:rPr>
                <w:sz w:val="18"/>
              </w:rPr>
              <w:t>+908</w:t>
            </w:r>
          </w:p>
        </w:tc>
        <w:tc>
          <w:tcPr>
            <w:tcW w:type="dxa" w:w="4320"/>
          </w:tcPr>
          <w:p>
            <w:r>
              <w:rPr>
                <w:sz w:val="18"/>
              </w:rPr>
              <w:t>Inventory drawdown = source of cash (FY2024 destocking)</w:t>
            </w:r>
          </w:p>
        </w:tc>
      </w:tr>
      <w:tr>
        <w:tc>
          <w:tcPr>
            <w:tcW w:type="dxa" w:w="720"/>
          </w:tcPr>
          <w:p>
            <w:r>
              <w:rPr>
                <w:sz w:val="18"/>
              </w:rPr>
              <w:t>443</w:t>
            </w:r>
          </w:p>
        </w:tc>
        <w:tc>
          <w:tcPr>
            <w:tcW w:type="dxa" w:w="2880"/>
          </w:tcPr>
          <w:p>
            <w:r>
              <w:rPr>
                <w:sz w:val="18"/>
              </w:rPr>
              <w:t>ΔAccounts Payable</w:t>
            </w:r>
          </w:p>
        </w:tc>
        <w:tc>
          <w:tcPr>
            <w:tcW w:type="dxa" w:w="1872"/>
          </w:tcPr>
          <w:p>
            <w:r>
              <w:rPr>
                <w:sz w:val="18"/>
              </w:rPr>
              <w:t>+397</w:t>
            </w:r>
          </w:p>
        </w:tc>
        <w:tc>
          <w:tcPr>
            <w:tcW w:type="dxa" w:w="4320"/>
          </w:tcPr>
          <w:p>
            <w:r>
              <w:rPr>
                <w:sz w:val="18"/>
              </w:rPr>
              <w:t>Increase in AP = source of cash</w:t>
            </w:r>
          </w:p>
        </w:tc>
      </w:tr>
      <w:tr>
        <w:tc>
          <w:tcPr>
            <w:tcW w:type="dxa" w:w="720"/>
          </w:tcPr>
          <w:p>
            <w:r>
              <w:rPr>
                <w:sz w:val="18"/>
              </w:rPr>
              <w:t>444</w:t>
            </w:r>
          </w:p>
        </w:tc>
        <w:tc>
          <w:tcPr>
            <w:tcW w:type="dxa" w:w="2880"/>
          </w:tcPr>
          <w:p>
            <w:r>
              <w:rPr>
                <w:sz w:val="18"/>
              </w:rPr>
              <w:t>ΔOther net operating assets</w:t>
            </w:r>
          </w:p>
        </w:tc>
        <w:tc>
          <w:tcPr>
            <w:tcW w:type="dxa" w:w="1872"/>
          </w:tcPr>
          <w:p>
            <w:r>
              <w:rPr>
                <w:sz w:val="18"/>
              </w:rPr>
              <w:t>-260</w:t>
            </w:r>
          </w:p>
        </w:tc>
        <w:tc>
          <w:tcPr>
            <w:tcW w:type="dxa" w:w="4320"/>
          </w:tcPr>
          <w:p>
            <w:r>
              <w:rPr>
                <w:sz w:val="18"/>
              </w:rPr>
              <w:t>Prepaid, accruals etc</w:t>
            </w:r>
          </w:p>
        </w:tc>
      </w:tr>
      <w:tr>
        <w:tc>
          <w:tcPr>
            <w:tcW w:type="dxa" w:w="720"/>
          </w:tcPr>
          <w:p>
            <w:r>
              <w:rPr>
                <w:sz w:val="18"/>
              </w:rPr>
              <w:t>445</w:t>
            </w:r>
          </w:p>
        </w:tc>
        <w:tc>
          <w:tcPr>
            <w:tcW w:type="dxa" w:w="2880"/>
          </w:tcPr>
          <w:p>
            <w:r>
              <w:rPr>
                <w:sz w:val="18"/>
              </w:rPr>
              <w:t>Total Cash from Operations</w:t>
            </w:r>
          </w:p>
        </w:tc>
        <w:tc>
          <w:tcPr>
            <w:tcW w:type="dxa" w:w="1872"/>
          </w:tcPr>
          <w:p>
            <w:r>
              <w:rPr>
                <w:sz w:val="18"/>
              </w:rPr>
              <w:t>7,429</w:t>
            </w:r>
          </w:p>
        </w:tc>
        <w:tc>
          <w:tcPr>
            <w:tcW w:type="dxa" w:w="4320"/>
          </w:tcPr>
          <w:p>
            <w:r>
              <w:rPr>
                <w:sz w:val="18"/>
              </w:rPr>
              <w:t>Sum; links to model row 233</w:t>
            </w:r>
          </w:p>
        </w:tc>
      </w:tr>
    </w:tbl>
    <w:p/>
    <w:p>
      <w:r>
        <w:rPr>
          <w:b w:val="0"/>
          <w:i w:val="0"/>
          <w:sz w:val="20"/>
        </w:rPr>
        <w:t>FY2021 CFO = $6,657m (peak) driven by massive NI ($5,727m) and reduced capex during COVID-recovery. FY2020 CFO = $2,485m (trough) from low NI ($2,539m) and inventory build ($-1,854m in FY2020).</w:t>
      </w:r>
    </w:p>
    <w:p>
      <w:r>
        <w:rPr>
          <w:b w:val="0"/>
          <w:i w:val="0"/>
          <w:sz w:val="20"/>
        </w:rPr>
        <w:t>Asset writedown (row 438): FY2023 = $156m and FY2024 = $48m. These are the non-cash component of NIKE's restructuring — the portion that writes down inventory and fixed assets rather than paying cash severance. They are added back in CFO because the expense was already deducted in NI.</w:t>
      </w:r>
    </w:p>
    <w:p>
      <w:pPr>
        <w:pStyle w:val="Heading2"/>
      </w:pPr>
      <w:r>
        <w:t>3.2  Investing Activities (Rows 447–451)</w:t>
      </w:r>
    </w:p>
    <w:tbl>
      <w:tblPr>
        <w:tblStyle w:val="LightList-Accent1"/>
        <w:tblW w:type="auto" w:w="0"/>
        <w:tblLook w:firstColumn="1" w:firstRow="1" w:lastColumn="0" w:lastRow="0" w:noHBand="0" w:noVBand="1" w:val="04A0"/>
      </w:tblPr>
      <w:tblGrid>
        <w:gridCol w:w="2160"/>
        <w:gridCol w:w="2160"/>
        <w:gridCol w:w="2160"/>
        <w:gridCol w:w="2160"/>
      </w:tblGrid>
      <w:tr>
        <w:tc>
          <w:tcPr>
            <w:tcW w:type="dxa" w:w="720"/>
          </w:tcPr>
          <w:p>
            <w:r>
              <w:rPr>
                <w:b/>
                <w:sz w:val="18"/>
              </w:rPr>
              <w:t>Row</w:t>
            </w:r>
          </w:p>
        </w:tc>
        <w:tc>
          <w:tcPr>
            <w:tcW w:type="dxa" w:w="2880"/>
          </w:tcPr>
          <w:p>
            <w:r>
              <w:rPr>
                <w:b/>
                <w:sz w:val="18"/>
              </w:rPr>
              <w:t>Item</w:t>
            </w:r>
          </w:p>
        </w:tc>
        <w:tc>
          <w:tcPr>
            <w:tcW w:type="dxa" w:w="1440"/>
          </w:tcPr>
          <w:p>
            <w:r>
              <w:rPr>
                <w:b/>
                <w:sz w:val="18"/>
              </w:rPr>
              <w:t>FY2024 ($m)</w:t>
            </w:r>
          </w:p>
        </w:tc>
        <w:tc>
          <w:tcPr>
            <w:tcW w:type="dxa" w:w="4608"/>
          </w:tcPr>
          <w:p>
            <w:r>
              <w:rPr>
                <w:b/>
                <w:sz w:val="18"/>
              </w:rPr>
              <w:t>Notes</w:t>
            </w:r>
          </w:p>
        </w:tc>
      </w:tr>
      <w:tr>
        <w:tc>
          <w:tcPr>
            <w:tcW w:type="dxa" w:w="720"/>
          </w:tcPr>
          <w:p/>
        </w:tc>
        <w:tc>
          <w:tcPr>
            <w:tcW w:type="dxa" w:w="2880"/>
          </w:tcPr>
          <w:p/>
        </w:tc>
        <w:tc>
          <w:tcPr>
            <w:tcW w:type="dxa" w:w="1440"/>
          </w:tcPr>
          <w:p/>
        </w:tc>
        <w:tc>
          <w:tcPr>
            <w:tcW w:type="dxa" w:w="4608"/>
          </w:tcPr>
          <w:p/>
        </w:tc>
      </w:tr>
      <w:tr>
        <w:tc>
          <w:tcPr>
            <w:tcW w:type="dxa" w:w="720"/>
          </w:tcPr>
          <w:p/>
        </w:tc>
        <w:tc>
          <w:tcPr>
            <w:tcW w:type="dxa" w:w="2880"/>
          </w:tcPr>
          <w:p/>
        </w:tc>
        <w:tc>
          <w:tcPr>
            <w:tcW w:type="dxa" w:w="1440"/>
          </w:tcPr>
          <w:p/>
        </w:tc>
        <w:tc>
          <w:tcPr>
            <w:tcW w:type="dxa" w:w="4608"/>
          </w:tcPr>
          <w:p/>
        </w:tc>
      </w:tr>
      <w:tr>
        <w:tc>
          <w:tcPr>
            <w:tcW w:type="dxa" w:w="720"/>
          </w:tcPr>
          <w:p/>
        </w:tc>
        <w:tc>
          <w:tcPr>
            <w:tcW w:type="dxa" w:w="2880"/>
          </w:tcPr>
          <w:p/>
        </w:tc>
        <w:tc>
          <w:tcPr>
            <w:tcW w:type="dxa" w:w="1440"/>
          </w:tcPr>
          <w:p/>
        </w:tc>
        <w:tc>
          <w:tcPr>
            <w:tcW w:type="dxa" w:w="4608"/>
          </w:tcPr>
          <w:p/>
        </w:tc>
      </w:tr>
      <w:tr>
        <w:tc>
          <w:tcPr>
            <w:tcW w:type="dxa" w:w="720"/>
          </w:tcPr>
          <w:p/>
        </w:tc>
        <w:tc>
          <w:tcPr>
            <w:tcW w:type="dxa" w:w="2880"/>
          </w:tcPr>
          <w:p/>
        </w:tc>
        <w:tc>
          <w:tcPr>
            <w:tcW w:type="dxa" w:w="1440"/>
          </w:tcPr>
          <w:p/>
        </w:tc>
        <w:tc>
          <w:tcPr>
            <w:tcW w:type="dxa" w:w="4608"/>
          </w:tcPr>
          <w:p/>
        </w:tc>
      </w:tr>
      <w:tr>
        <w:tc>
          <w:tcPr>
            <w:tcW w:type="dxa" w:w="720"/>
          </w:tcPr>
          <w:p/>
        </w:tc>
        <w:tc>
          <w:tcPr>
            <w:tcW w:type="dxa" w:w="2880"/>
          </w:tcPr>
          <w:p/>
        </w:tc>
        <w:tc>
          <w:tcPr>
            <w:tcW w:type="dxa" w:w="1440"/>
          </w:tcPr>
          <w:p/>
        </w:tc>
        <w:tc>
          <w:tcPr>
            <w:tcW w:type="dxa" w:w="4608"/>
          </w:tcPr>
          <w:p/>
        </w:tc>
      </w:tr>
      <w:tr>
        <w:tc>
          <w:tcPr>
            <w:tcW w:type="dxa" w:w="720"/>
          </w:tcPr>
          <w:p>
            <w:r>
              <w:rPr>
                <w:sz w:val="18"/>
              </w:rPr>
              <w:t>447</w:t>
            </w:r>
          </w:p>
        </w:tc>
        <w:tc>
          <w:tcPr>
            <w:tcW w:type="dxa" w:w="2880"/>
          </w:tcPr>
          <w:p>
            <w:r>
              <w:rPr>
                <w:sz w:val="18"/>
              </w:rPr>
              <w:t>Capital expenditure</w:t>
            </w:r>
          </w:p>
        </w:tc>
        <w:tc>
          <w:tcPr>
            <w:tcW w:type="dxa" w:w="1440"/>
          </w:tcPr>
          <w:p>
            <w:r>
              <w:rPr>
                <w:sz w:val="18"/>
              </w:rPr>
              <w:t>-812</w:t>
            </w:r>
          </w:p>
        </w:tc>
        <w:tc>
          <w:tcPr>
            <w:tcW w:type="dxa" w:w="4608"/>
          </w:tcPr>
          <w:p>
            <w:r>
              <w:rPr>
                <w:sz w:val="18"/>
              </w:rPr>
              <w:t>Gross CapEx; see Section 7.3 for BS-derivation</w:t>
            </w:r>
          </w:p>
        </w:tc>
      </w:tr>
      <w:tr>
        <w:tc>
          <w:tcPr>
            <w:tcW w:type="dxa" w:w="720"/>
          </w:tcPr>
          <w:p>
            <w:r>
              <w:rPr>
                <w:sz w:val="18"/>
              </w:rPr>
              <w:t>448</w:t>
            </w:r>
          </w:p>
        </w:tc>
        <w:tc>
          <w:tcPr>
            <w:tcW w:type="dxa" w:w="2880"/>
          </w:tcPr>
          <w:p>
            <w:r>
              <w:rPr>
                <w:sz w:val="18"/>
              </w:rPr>
              <w:t>Sale of PP&amp;E</w:t>
            </w:r>
          </w:p>
        </w:tc>
        <w:tc>
          <w:tcPr>
            <w:tcW w:type="dxa" w:w="1440"/>
          </w:tcPr>
          <w:p>
            <w:r>
              <w:rPr>
                <w:sz w:val="18"/>
              </w:rPr>
              <w:t>nil (FY2017–FY2024)</w:t>
            </w:r>
          </w:p>
        </w:tc>
        <w:tc>
          <w:tcPr>
            <w:tcW w:type="dxa" w:w="4608"/>
          </w:tcPr>
          <w:p>
            <w:r>
              <w:rPr>
                <w:sz w:val="18"/>
              </w:rPr>
              <w:t>Only FY2015–FY2017 had small asset sales ($3–13m)</w:t>
            </w:r>
          </w:p>
        </w:tc>
      </w:tr>
      <w:tr>
        <w:tc>
          <w:tcPr>
            <w:tcW w:type="dxa" w:w="720"/>
          </w:tcPr>
          <w:p>
            <w:r>
              <w:rPr>
                <w:sz w:val="18"/>
              </w:rPr>
              <w:t>449</w:t>
            </w:r>
          </w:p>
        </w:tc>
        <w:tc>
          <w:tcPr>
            <w:tcW w:type="dxa" w:w="2880"/>
          </w:tcPr>
          <w:p>
            <w:r>
              <w:rPr>
                <w:sz w:val="18"/>
              </w:rPr>
              <w:t>Net investment in marketable securities</w:t>
            </w:r>
          </w:p>
        </w:tc>
        <w:tc>
          <w:tcPr>
            <w:tcW w:type="dxa" w:w="1440"/>
          </w:tcPr>
          <w:p>
            <w:r>
              <w:rPr>
                <w:sz w:val="18"/>
              </w:rPr>
              <w:t>+1,721</w:t>
            </w:r>
          </w:p>
        </w:tc>
        <w:tc>
          <w:tcPr>
            <w:tcW w:type="dxa" w:w="4608"/>
          </w:tcPr>
          <w:p>
            <w:r>
              <w:rPr>
                <w:sz w:val="18"/>
              </w:rPr>
              <w:t>Large positive = matured investments &gt;new purchases; FY2021 = -$3,276m (COVID cash deployment)</w:t>
            </w:r>
          </w:p>
        </w:tc>
      </w:tr>
      <w:tr>
        <w:tc>
          <w:tcPr>
            <w:tcW w:type="dxa" w:w="720"/>
          </w:tcPr>
          <w:p>
            <w:r>
              <w:rPr>
                <w:sz w:val="18"/>
              </w:rPr>
              <w:t>450</w:t>
            </w:r>
          </w:p>
        </w:tc>
        <w:tc>
          <w:tcPr>
            <w:tcW w:type="dxa" w:w="2880"/>
          </w:tcPr>
          <w:p>
            <w:r>
              <w:rPr>
                <w:sz w:val="18"/>
              </w:rPr>
              <w:t>Other investing</w:t>
            </w:r>
          </w:p>
        </w:tc>
        <w:tc>
          <w:tcPr>
            <w:tcW w:type="dxa" w:w="1440"/>
          </w:tcPr>
          <w:p>
            <w:r>
              <w:rPr>
                <w:sz w:val="18"/>
              </w:rPr>
              <w:t>-15</w:t>
            </w:r>
          </w:p>
        </w:tc>
        <w:tc>
          <w:tcPr>
            <w:tcW w:type="dxa" w:w="4608"/>
          </w:tcPr>
          <w:p>
            <w:r>
              <w:rPr>
                <w:sz w:val="18"/>
              </w:rPr>
              <w:t>Acquisitions of small businesses/IP</w:t>
            </w:r>
          </w:p>
        </w:tc>
      </w:tr>
      <w:tr>
        <w:tc>
          <w:tcPr>
            <w:tcW w:type="dxa" w:w="720"/>
          </w:tcPr>
          <w:p>
            <w:r>
              <w:rPr>
                <w:sz w:val="18"/>
              </w:rPr>
              <w:t>451</w:t>
            </w:r>
          </w:p>
        </w:tc>
        <w:tc>
          <w:tcPr>
            <w:tcW w:type="dxa" w:w="2880"/>
          </w:tcPr>
          <w:p>
            <w:r>
              <w:rPr>
                <w:sz w:val="18"/>
              </w:rPr>
              <w:t>Total Cash from Investing</w:t>
            </w:r>
          </w:p>
        </w:tc>
        <w:tc>
          <w:tcPr>
            <w:tcW w:type="dxa" w:w="1440"/>
          </w:tcPr>
          <w:p>
            <w:r>
              <w:rPr>
                <w:sz w:val="18"/>
              </w:rPr>
              <w:t>+894</w:t>
            </w:r>
          </w:p>
        </w:tc>
        <w:tc>
          <w:tcPr>
            <w:tcW w:type="dxa" w:w="4608"/>
          </w:tcPr>
          <w:p>
            <w:r>
              <w:rPr>
                <w:sz w:val="18"/>
              </w:rPr>
              <w:t>Links to model row 234</w:t>
            </w:r>
          </w:p>
        </w:tc>
      </w:tr>
    </w:tbl>
    <w:p/>
    <w:p>
      <w:r>
        <w:rPr>
          <w:b w:val="0"/>
          <w:i w:val="0"/>
          <w:sz w:val="20"/>
        </w:rPr>
        <w:t>FY2021's -$3,276m in marketable securities investment is the single largest year for securities purchases — NIKE deployed its COVID cash hoard into short-term treasuries and money market instruments, explaining the jump in short-term investments from $197m (FY2019) to $3,587m (FY2021) on the BS.</w:t>
      </w:r>
    </w:p>
    <w:p>
      <w:pPr>
        <w:pStyle w:val="Heading2"/>
      </w:pPr>
      <w:r>
        <w:t>3.3  Financing Activities (Rows 453–466)</w:t>
      </w:r>
    </w:p>
    <w:p>
      <w:r>
        <w:rPr>
          <w:b w:val="0"/>
          <w:i w:val="0"/>
          <w:sz w:val="20"/>
        </w:rPr>
        <w:t>The financing section has a notable structural feature: historical dividends are split across two rows for different time periods.</w:t>
      </w:r>
    </w:p>
    <w:tbl>
      <w:tblPr>
        <w:tblStyle w:val="LightList-Accent1"/>
        <w:tblW w:type="auto" w:w="0"/>
        <w:tblLook w:firstColumn="1" w:firstRow="1" w:lastColumn="0" w:lastRow="0" w:noHBand="0" w:noVBand="1" w:val="04A0"/>
      </w:tblPr>
      <w:tblGrid>
        <w:gridCol w:w="2160"/>
        <w:gridCol w:w="2160"/>
        <w:gridCol w:w="2160"/>
        <w:gridCol w:w="2160"/>
      </w:tblGrid>
      <w:tr>
        <w:tc>
          <w:tcPr>
            <w:tcW w:type="dxa" w:w="720"/>
          </w:tcPr>
          <w:p>
            <w:r>
              <w:rPr>
                <w:b/>
                <w:sz w:val="18"/>
              </w:rPr>
              <w:t>Row</w:t>
            </w:r>
          </w:p>
        </w:tc>
        <w:tc>
          <w:tcPr>
            <w:tcW w:type="dxa" w:w="3600"/>
          </w:tcPr>
          <w:p>
            <w:r>
              <w:rPr>
                <w:b/>
                <w:sz w:val="18"/>
              </w:rPr>
              <w:t>Item</w:t>
            </w:r>
          </w:p>
        </w:tc>
        <w:tc>
          <w:tcPr>
            <w:tcW w:type="dxa" w:w="2592"/>
          </w:tcPr>
          <w:p>
            <w:r>
              <w:rPr>
                <w:b/>
                <w:sz w:val="18"/>
              </w:rPr>
              <w:t>Period Coverage</w:t>
            </w:r>
          </w:p>
        </w:tc>
        <w:tc>
          <w:tcPr>
            <w:tcW w:type="dxa" w:w="2160"/>
          </w:tcPr>
          <w:p>
            <w:r>
              <w:rPr>
                <w:b/>
                <w:sz w:val="18"/>
              </w:rPr>
              <w:t>FY2024 ($m)</w:t>
            </w:r>
          </w:p>
        </w:tc>
      </w:tr>
      <w:tr>
        <w:tc>
          <w:tcPr>
            <w:tcW w:type="dxa" w:w="720"/>
          </w:tcPr>
          <w:p/>
        </w:tc>
        <w:tc>
          <w:tcPr>
            <w:tcW w:type="dxa" w:w="3600"/>
          </w:tcPr>
          <w:p/>
        </w:tc>
        <w:tc>
          <w:tcPr>
            <w:tcW w:type="dxa" w:w="2592"/>
          </w:tcPr>
          <w:p/>
        </w:tc>
        <w:tc>
          <w:tcPr>
            <w:tcW w:type="dxa" w:w="2160"/>
          </w:tcPr>
          <w:p/>
        </w:tc>
      </w:tr>
      <w:tr>
        <w:tc>
          <w:tcPr>
            <w:tcW w:type="dxa" w:w="720"/>
          </w:tcPr>
          <w:p/>
        </w:tc>
        <w:tc>
          <w:tcPr>
            <w:tcW w:type="dxa" w:w="3600"/>
          </w:tcPr>
          <w:p/>
        </w:tc>
        <w:tc>
          <w:tcPr>
            <w:tcW w:type="dxa" w:w="2592"/>
          </w:tcPr>
          <w:p/>
        </w:tc>
        <w:tc>
          <w:tcPr>
            <w:tcW w:type="dxa" w:w="2160"/>
          </w:tcPr>
          <w:p/>
        </w:tc>
      </w:tr>
      <w:tr>
        <w:tc>
          <w:tcPr>
            <w:tcW w:type="dxa" w:w="720"/>
          </w:tcPr>
          <w:p/>
        </w:tc>
        <w:tc>
          <w:tcPr>
            <w:tcW w:type="dxa" w:w="3600"/>
          </w:tcPr>
          <w:p/>
        </w:tc>
        <w:tc>
          <w:tcPr>
            <w:tcW w:type="dxa" w:w="2592"/>
          </w:tcPr>
          <w:p/>
        </w:tc>
        <w:tc>
          <w:tcPr>
            <w:tcW w:type="dxa" w:w="2160"/>
          </w:tcPr>
          <w:p/>
        </w:tc>
      </w:tr>
      <w:tr>
        <w:tc>
          <w:tcPr>
            <w:tcW w:type="dxa" w:w="720"/>
          </w:tcPr>
          <w:p/>
        </w:tc>
        <w:tc>
          <w:tcPr>
            <w:tcW w:type="dxa" w:w="3600"/>
          </w:tcPr>
          <w:p/>
        </w:tc>
        <w:tc>
          <w:tcPr>
            <w:tcW w:type="dxa" w:w="2592"/>
          </w:tcPr>
          <w:p/>
        </w:tc>
        <w:tc>
          <w:tcPr>
            <w:tcW w:type="dxa" w:w="2160"/>
          </w:tcPr>
          <w:p/>
        </w:tc>
      </w:tr>
      <w:tr>
        <w:tc>
          <w:tcPr>
            <w:tcW w:type="dxa" w:w="720"/>
          </w:tcPr>
          <w:p/>
        </w:tc>
        <w:tc>
          <w:tcPr>
            <w:tcW w:type="dxa" w:w="3600"/>
          </w:tcPr>
          <w:p/>
        </w:tc>
        <w:tc>
          <w:tcPr>
            <w:tcW w:type="dxa" w:w="2592"/>
          </w:tcPr>
          <w:p/>
        </w:tc>
        <w:tc>
          <w:tcPr>
            <w:tcW w:type="dxa" w:w="2160"/>
          </w:tcPr>
          <w:p/>
        </w:tc>
      </w:tr>
      <w:tr>
        <w:tc>
          <w:tcPr>
            <w:tcW w:type="dxa" w:w="720"/>
          </w:tcPr>
          <w:p/>
        </w:tc>
        <w:tc>
          <w:tcPr>
            <w:tcW w:type="dxa" w:w="3600"/>
          </w:tcPr>
          <w:p/>
        </w:tc>
        <w:tc>
          <w:tcPr>
            <w:tcW w:type="dxa" w:w="2592"/>
          </w:tcPr>
          <w:p/>
        </w:tc>
        <w:tc>
          <w:tcPr>
            <w:tcW w:type="dxa" w:w="2160"/>
          </w:tcPr>
          <w:p/>
        </w:tc>
      </w:tr>
      <w:tr>
        <w:tc>
          <w:tcPr>
            <w:tcW w:type="dxa" w:w="720"/>
          </w:tcPr>
          <w:p/>
        </w:tc>
        <w:tc>
          <w:tcPr>
            <w:tcW w:type="dxa" w:w="3600"/>
          </w:tcPr>
          <w:p/>
        </w:tc>
        <w:tc>
          <w:tcPr>
            <w:tcW w:type="dxa" w:w="2592"/>
          </w:tcPr>
          <w:p/>
        </w:tc>
        <w:tc>
          <w:tcPr>
            <w:tcW w:type="dxa" w:w="2160"/>
          </w:tcPr>
          <w:p/>
        </w:tc>
      </w:tr>
      <w:tr>
        <w:tc>
          <w:tcPr>
            <w:tcW w:type="dxa" w:w="720"/>
          </w:tcPr>
          <w:p/>
        </w:tc>
        <w:tc>
          <w:tcPr>
            <w:tcW w:type="dxa" w:w="3600"/>
          </w:tcPr>
          <w:p/>
        </w:tc>
        <w:tc>
          <w:tcPr>
            <w:tcW w:type="dxa" w:w="2592"/>
          </w:tcPr>
          <w:p/>
        </w:tc>
        <w:tc>
          <w:tcPr>
            <w:tcW w:type="dxa" w:w="2160"/>
          </w:tcPr>
          <w:p/>
        </w:tc>
      </w:tr>
      <w:tr>
        <w:tc>
          <w:tcPr>
            <w:tcW w:type="dxa" w:w="720"/>
          </w:tcPr>
          <w:p/>
        </w:tc>
        <w:tc>
          <w:tcPr>
            <w:tcW w:type="dxa" w:w="3600"/>
          </w:tcPr>
          <w:p/>
        </w:tc>
        <w:tc>
          <w:tcPr>
            <w:tcW w:type="dxa" w:w="2592"/>
          </w:tcPr>
          <w:p/>
        </w:tc>
        <w:tc>
          <w:tcPr>
            <w:tcW w:type="dxa" w:w="2160"/>
          </w:tcPr>
          <w:p/>
        </w:tc>
      </w:tr>
      <w:tr>
        <w:tc>
          <w:tcPr>
            <w:tcW w:type="dxa" w:w="720"/>
          </w:tcPr>
          <w:p/>
        </w:tc>
        <w:tc>
          <w:tcPr>
            <w:tcW w:type="dxa" w:w="3600"/>
          </w:tcPr>
          <w:p/>
        </w:tc>
        <w:tc>
          <w:tcPr>
            <w:tcW w:type="dxa" w:w="2592"/>
          </w:tcPr>
          <w:p/>
        </w:tc>
        <w:tc>
          <w:tcPr>
            <w:tcW w:type="dxa" w:w="2160"/>
          </w:tcPr>
          <w:p/>
        </w:tc>
      </w:tr>
      <w:tr>
        <w:tc>
          <w:tcPr>
            <w:tcW w:type="dxa" w:w="720"/>
          </w:tcPr>
          <w:p>
            <w:r>
              <w:rPr>
                <w:sz w:val="18"/>
              </w:rPr>
              <w:t>453–455</w:t>
            </w:r>
          </w:p>
        </w:tc>
        <w:tc>
          <w:tcPr>
            <w:tcW w:type="dxa" w:w="3600"/>
          </w:tcPr>
          <w:p>
            <w:r>
              <w:rPr>
                <w:sz w:val="18"/>
              </w:rPr>
              <w:t>Debt issued (short + long)</w:t>
            </w:r>
          </w:p>
        </w:tc>
        <w:tc>
          <w:tcPr>
            <w:tcW w:type="dxa" w:w="2592"/>
          </w:tcPr>
          <w:p>
            <w:r>
              <w:rPr>
                <w:sz w:val="18"/>
              </w:rPr>
              <w:t>FY2015–FY2024</w:t>
            </w:r>
          </w:p>
        </w:tc>
        <w:tc>
          <w:tcPr>
            <w:tcW w:type="dxa" w:w="2160"/>
          </w:tcPr>
          <w:p>
            <w:r>
              <w:rPr>
                <w:sz w:val="18"/>
              </w:rPr>
              <w:t>nil (no new debt in FY2024)</w:t>
            </w:r>
          </w:p>
        </w:tc>
      </w:tr>
      <w:tr>
        <w:tc>
          <w:tcPr>
            <w:tcW w:type="dxa" w:w="720"/>
          </w:tcPr>
          <w:p>
            <w:r>
              <w:rPr>
                <w:sz w:val="18"/>
              </w:rPr>
              <w:t>456–458</w:t>
            </w:r>
          </w:p>
        </w:tc>
        <w:tc>
          <w:tcPr>
            <w:tcW w:type="dxa" w:w="3600"/>
          </w:tcPr>
          <w:p>
            <w:r>
              <w:rPr>
                <w:sz w:val="18"/>
              </w:rPr>
              <w:t>Debt repaid (short + long)</w:t>
            </w:r>
          </w:p>
        </w:tc>
        <w:tc>
          <w:tcPr>
            <w:tcW w:type="dxa" w:w="2592"/>
          </w:tcPr>
          <w:p>
            <w:r>
              <w:rPr>
                <w:sz w:val="18"/>
              </w:rPr>
              <w:t>FY2015–FY2024</w:t>
            </w:r>
          </w:p>
        </w:tc>
        <w:tc>
          <w:tcPr>
            <w:tcW w:type="dxa" w:w="2160"/>
          </w:tcPr>
          <w:p>
            <w:r>
              <w:rPr>
                <w:sz w:val="18"/>
              </w:rPr>
              <w:t>nil (no repayment in FY2024; J458=-$504m in FY2023)</w:t>
            </w:r>
          </w:p>
        </w:tc>
      </w:tr>
      <w:tr>
        <w:tc>
          <w:tcPr>
            <w:tcW w:type="dxa" w:w="720"/>
          </w:tcPr>
          <w:p>
            <w:r>
              <w:rPr>
                <w:sz w:val="18"/>
              </w:rPr>
              <w:t>459</w:t>
            </w:r>
          </w:p>
        </w:tc>
        <w:tc>
          <w:tcPr>
            <w:tcW w:type="dxa" w:w="3600"/>
          </w:tcPr>
          <w:p>
            <w:r>
              <w:rPr>
                <w:sz w:val="18"/>
              </w:rPr>
              <w:t>Issuance of common stock (SBC proceeds)</w:t>
            </w:r>
          </w:p>
        </w:tc>
        <w:tc>
          <w:tcPr>
            <w:tcW w:type="dxa" w:w="2592"/>
          </w:tcPr>
          <w:p>
            <w:r>
              <w:rPr>
                <w:sz w:val="18"/>
              </w:rPr>
              <w:t>FY2015–FY2024</w:t>
            </w:r>
          </w:p>
        </w:tc>
        <w:tc>
          <w:tcPr>
            <w:tcW w:type="dxa" w:w="2160"/>
          </w:tcPr>
          <w:p>
            <w:r>
              <w:rPr>
                <w:sz w:val="18"/>
              </w:rPr>
              <w:t>$667m</w:t>
            </w:r>
          </w:p>
        </w:tc>
      </w:tr>
      <w:tr>
        <w:tc>
          <w:tcPr>
            <w:tcW w:type="dxa" w:w="720"/>
          </w:tcPr>
          <w:p>
            <w:r>
              <w:rPr>
                <w:sz w:val="18"/>
              </w:rPr>
              <w:t>460</w:t>
            </w:r>
          </w:p>
        </w:tc>
        <w:tc>
          <w:tcPr>
            <w:tcW w:type="dxa" w:w="3600"/>
          </w:tcPr>
          <w:p>
            <w:r>
              <w:rPr>
                <w:sz w:val="18"/>
              </w:rPr>
              <w:t>Repurchase of common stock</w:t>
            </w:r>
          </w:p>
        </w:tc>
        <w:tc>
          <w:tcPr>
            <w:tcW w:type="dxa" w:w="2592"/>
          </w:tcPr>
          <w:p>
            <w:r>
              <w:rPr>
                <w:sz w:val="18"/>
              </w:rPr>
              <w:t>FY2015–FY2031</w:t>
            </w:r>
          </w:p>
        </w:tc>
        <w:tc>
          <w:tcPr>
            <w:tcW w:type="dxa" w:w="2160"/>
          </w:tcPr>
          <w:p>
            <w:r>
              <w:rPr>
                <w:sz w:val="18"/>
              </w:rPr>
              <w:t>-$4,250m FY2024; forecast = NI × payout_ratio</w:t>
            </w:r>
          </w:p>
        </w:tc>
      </w:tr>
      <w:tr>
        <w:tc>
          <w:tcPr>
            <w:tcW w:type="dxa" w:w="720"/>
          </w:tcPr>
          <w:p>
            <w:r>
              <w:rPr>
                <w:sz w:val="18"/>
              </w:rPr>
              <w:t>461</w:t>
            </w:r>
          </w:p>
        </w:tc>
        <w:tc>
          <w:tcPr>
            <w:tcW w:type="dxa" w:w="3600"/>
          </w:tcPr>
          <w:p>
            <w:r>
              <w:rPr>
                <w:sz w:val="18"/>
              </w:rPr>
              <w:t>Common dividends paid</w:t>
            </w:r>
          </w:p>
        </w:tc>
        <w:tc>
          <w:tcPr>
            <w:tcW w:type="dxa" w:w="2592"/>
          </w:tcPr>
          <w:p>
            <w:r>
              <w:rPr>
                <w:sz w:val="18"/>
              </w:rPr>
              <w:t>FY2015–FY2019 ONLY</w:t>
            </w:r>
          </w:p>
        </w:tc>
        <w:tc>
          <w:tcPr>
            <w:tcW w:type="dxa" w:w="2160"/>
          </w:tcPr>
          <w:p>
            <w:r>
              <w:rPr>
                <w:sz w:val="18"/>
              </w:rPr>
              <w:t>Historical only; FY2019 = -$1,332m</w:t>
            </w:r>
          </w:p>
        </w:tc>
      </w:tr>
      <w:tr>
        <w:tc>
          <w:tcPr>
            <w:tcW w:type="dxa" w:w="720"/>
          </w:tcPr>
          <w:p>
            <w:r>
              <w:rPr>
                <w:sz w:val="18"/>
              </w:rPr>
              <w:t>462</w:t>
            </w:r>
          </w:p>
        </w:tc>
        <w:tc>
          <w:tcPr>
            <w:tcW w:type="dxa" w:w="3600"/>
          </w:tcPr>
          <w:p>
            <w:r>
              <w:rPr>
                <w:sz w:val="18"/>
              </w:rPr>
              <w:t>Equity raisings (separate row)</w:t>
            </w:r>
          </w:p>
        </w:tc>
        <w:tc>
          <w:tcPr>
            <w:tcW w:type="dxa" w:w="2592"/>
          </w:tcPr>
          <w:p>
            <w:r>
              <w:rPr>
                <w:sz w:val="18"/>
              </w:rPr>
              <w:t>FY2015–FY2031 = 0</w:t>
            </w:r>
          </w:p>
        </w:tc>
        <w:tc>
          <w:tcPr>
            <w:tcW w:type="dxa" w:w="2160"/>
          </w:tcPr>
          <w:p>
            <w:r>
              <w:rPr>
                <w:sz w:val="18"/>
              </w:rPr>
              <w:t>Hard-coded zero throughout</w:t>
            </w:r>
          </w:p>
        </w:tc>
      </w:tr>
      <w:tr>
        <w:tc>
          <w:tcPr>
            <w:tcW w:type="dxa" w:w="720"/>
          </w:tcPr>
          <w:p>
            <w:r>
              <w:rPr>
                <w:sz w:val="18"/>
              </w:rPr>
              <w:t>463</w:t>
            </w:r>
          </w:p>
        </w:tc>
        <w:tc>
          <w:tcPr>
            <w:tcW w:type="dxa" w:w="3600"/>
          </w:tcPr>
          <w:p>
            <w:r>
              <w:rPr>
                <w:sz w:val="18"/>
              </w:rPr>
              <w:t>Common and/or Pref. dividends</w:t>
            </w:r>
          </w:p>
        </w:tc>
        <w:tc>
          <w:tcPr>
            <w:tcW w:type="dxa" w:w="2592"/>
          </w:tcPr>
          <w:p>
            <w:r>
              <w:rPr>
                <w:sz w:val="18"/>
              </w:rPr>
              <w:t>FY2020–FY2024</w:t>
            </w:r>
          </w:p>
        </w:tc>
        <w:tc>
          <w:tcPr>
            <w:tcW w:type="dxa" w:w="2160"/>
          </w:tcPr>
          <w:p>
            <w:r>
              <w:rPr>
                <w:sz w:val="18"/>
              </w:rPr>
              <w:t>-$2,169m FY2024</w:t>
            </w:r>
          </w:p>
        </w:tc>
      </w:tr>
      <w:tr>
        <w:tc>
          <w:tcPr>
            <w:tcW w:type="dxa" w:w="720"/>
          </w:tcPr>
          <w:p>
            <w:r>
              <w:rPr>
                <w:sz w:val="18"/>
              </w:rPr>
              <w:t>464</w:t>
            </w:r>
          </w:p>
        </w:tc>
        <w:tc>
          <w:tcPr>
            <w:tcW w:type="dxa" w:w="3600"/>
          </w:tcPr>
          <w:p>
            <w:r>
              <w:rPr>
                <w:sz w:val="18"/>
              </w:rPr>
              <w:t>Total dividends paid</w:t>
            </w:r>
          </w:p>
        </w:tc>
        <w:tc>
          <w:tcPr>
            <w:tcW w:type="dxa" w:w="2592"/>
          </w:tcPr>
          <w:p>
            <w:r>
              <w:rPr>
                <w:sz w:val="18"/>
              </w:rPr>
              <w:t>FY2015–FY2031</w:t>
            </w:r>
          </w:p>
        </w:tc>
        <w:tc>
          <w:tcPr>
            <w:tcW w:type="dxa" w:w="2160"/>
          </w:tcPr>
          <w:p>
            <w:r>
              <w:rPr>
                <w:sz w:val="18"/>
              </w:rPr>
              <w:t>-$2,169m FY2024; forecast = row 460/2</w:t>
            </w:r>
          </w:p>
        </w:tc>
      </w:tr>
      <w:tr>
        <w:tc>
          <w:tcPr>
            <w:tcW w:type="dxa" w:w="720"/>
          </w:tcPr>
          <w:p>
            <w:r>
              <w:rPr>
                <w:sz w:val="18"/>
              </w:rPr>
              <w:t>465</w:t>
            </w:r>
          </w:p>
        </w:tc>
        <w:tc>
          <w:tcPr>
            <w:tcW w:type="dxa" w:w="3600"/>
          </w:tcPr>
          <w:p>
            <w:r>
              <w:rPr>
                <w:sz w:val="18"/>
              </w:rPr>
              <w:t>Other financing</w:t>
            </w:r>
          </w:p>
        </w:tc>
        <w:tc>
          <w:tcPr>
            <w:tcW w:type="dxa" w:w="2592"/>
          </w:tcPr>
          <w:p>
            <w:r>
              <w:rPr>
                <w:sz w:val="18"/>
              </w:rPr>
              <w:t>FY2015–FY2024</w:t>
            </w:r>
          </w:p>
        </w:tc>
        <w:tc>
          <w:tcPr>
            <w:tcW w:type="dxa" w:w="2160"/>
          </w:tcPr>
          <w:p>
            <w:r>
              <w:rPr>
                <w:sz w:val="18"/>
              </w:rPr>
              <w:t>-$136m FY2024 (debt issuance costs, etc.)</w:t>
            </w:r>
          </w:p>
        </w:tc>
      </w:tr>
      <w:tr>
        <w:tc>
          <w:tcPr>
            <w:tcW w:type="dxa" w:w="720"/>
          </w:tcPr>
          <w:p>
            <w:r>
              <w:rPr>
                <w:sz w:val="18"/>
              </w:rPr>
              <w:t>466</w:t>
            </w:r>
          </w:p>
        </w:tc>
        <w:tc>
          <w:tcPr>
            <w:tcW w:type="dxa" w:w="3600"/>
          </w:tcPr>
          <w:p>
            <w:r>
              <w:rPr>
                <w:sz w:val="18"/>
              </w:rPr>
              <w:t>Total Cash from Financing</w:t>
            </w:r>
          </w:p>
        </w:tc>
        <w:tc>
          <w:tcPr>
            <w:tcW w:type="dxa" w:w="2592"/>
          </w:tcPr>
          <w:p>
            <w:r>
              <w:rPr>
                <w:sz w:val="18"/>
              </w:rPr>
              <w:t>FY2015–FY2031</w:t>
            </w:r>
          </w:p>
        </w:tc>
        <w:tc>
          <w:tcPr>
            <w:tcW w:type="dxa" w:w="2160"/>
          </w:tcPr>
          <w:p>
            <w:r>
              <w:rPr>
                <w:sz w:val="18"/>
              </w:rPr>
              <w:t>-$5,888m FY2024; links to model row 235</w:t>
            </w:r>
          </w:p>
        </w:tc>
      </w:tr>
    </w:tbl>
    <w:p/>
    <w:p>
      <w:pPr>
        <w:pStyle w:val="Heading3"/>
      </w:pPr>
      <w:r>
        <w:t>3.3.1  Dividend Row Split Explained</w:t>
      </w:r>
    </w:p>
    <w:p>
      <w:r>
        <w:rPr>
          <w:b w:val="0"/>
          <w:i w:val="0"/>
          <w:sz w:val="20"/>
        </w:rPr>
        <w:t>NIKE changed its dividend reporting between FY2019 and FY2020: prior to FY2020 common dividends were reported on a separate line (row 461); from FY2020 onwards CIQ consolidates common and any preferred dividends into a single line (row 463). NIKE has no preferred equity, so rows 461 and 463 are economically identical — but the two-row structure means row 464 (Total Dividends) is required to sum both rows to get a continuous series across all years.</w:t>
      </w:r>
    </w:p>
    <w:p>
      <w:pPr>
        <w:pStyle w:val="Heading3"/>
      </w:pPr>
      <w:r>
        <w:t>3.3.2  Forecast Dividend Formula (Row 464)</w:t>
      </w:r>
    </w:p>
    <w:p>
      <w:r>
        <w:rPr>
          <w:b/>
          <w:i w:val="0"/>
          <w:sz w:val="20"/>
        </w:rPr>
        <w:t xml:space="preserve">    L464: =L460/2  →  M464: =L464  →  N464: =M464  ...  R464: =Q464</w:t>
      </w:r>
    </w:p>
    <w:p>
      <w:r>
        <w:rPr>
          <w:b w:val="0"/>
          <w:i w:val="0"/>
          <w:sz w:val="20"/>
        </w:rPr>
        <w:t>Two separate mechanics:</w:t>
        <w:br/>
        <w:t xml:space="preserve">  1. FY2025 dividends = FY2025 buybacks ÷ 2. Since buybacks = NI × |payout_ratio|, dividends = NI × |payout_ratio| / 2. If NI = $5,000m and payout = 40%, buybacks = $2,000m and dividends = $1,000m (total return = $3,000m = 60% of NI).</w:t>
        <w:br/>
        <w:t xml:space="preserve">  2. FY2026–FY2031: dividends FROZEN at the FY2025 level (M464 = L464 etc). Dividends do not grow with NI in the forecast — an unrealistic but conservative simplifying assumption.</w:t>
      </w:r>
    </w:p>
    <w:p>
      <w:pPr>
        <w:ind w:left="432"/>
      </w:pPr>
      <w:r>
        <w:rPr>
          <w:b/>
          <w:color w:val="C0390B"/>
          <w:sz w:val="18"/>
        </w:rPr>
        <w:t>[QUIRK]  The dividend/buyback ratio of 0.5 (dividends = half of buybacks) is an approximation of NIKE's historical pattern (~40–50% of total returns in dividends historically). However, freezing dividends in years 2–7 means the model implicitly increases the buyback:dividend ratio as NI grows, which may overstate buybacks relative to dividends in later forecast years.</w:t>
      </w:r>
    </w:p>
    <w:p>
      <w:pPr>
        <w:pStyle w:val="Heading3"/>
      </w:pPr>
      <w:r>
        <w:t>3.3.3  Equity Raisings (Row 462)</w:t>
      </w:r>
    </w:p>
    <w:p>
      <w:r>
        <w:rPr>
          <w:b w:val="0"/>
          <w:i w:val="0"/>
          <w:sz w:val="20"/>
        </w:rPr>
        <w:t>Row 462 'equity raisings' is hard-coded to 0 for ALL years (both historical and forecast). This represents new equity issuances beyond SBC proceeds. NIKE has not issued net new equity since the 1990s; the row is a placeholder that analysts can activate if modelling a capital raise scenario. Note: Row 459 (stock issuances = SBC proceeds) is NOT zero — it is the proceeds from employees exercising options/vesting RSUs, which flows through APIC and offsets the dilution impact.</w:t>
      </w:r>
    </w:p>
    <w:p>
      <w:pPr>
        <w:pStyle w:val="Heading2"/>
      </w:pPr>
      <w:r>
        <w:t>3.4  Supplemental CF Items (Rows 470–476)</w:t>
      </w:r>
    </w:p>
    <w:tbl>
      <w:tblPr>
        <w:tblStyle w:val="LightList-Accent1"/>
        <w:tblW w:type="auto" w:w="0"/>
        <w:tblLook w:firstColumn="1" w:firstRow="1" w:lastColumn="0" w:lastRow="0" w:noHBand="0" w:noVBand="1" w:val="04A0"/>
      </w:tblPr>
      <w:tblGrid>
        <w:gridCol w:w="2160"/>
        <w:gridCol w:w="2160"/>
        <w:gridCol w:w="2160"/>
        <w:gridCol w:w="2160"/>
      </w:tblGrid>
      <w:tr>
        <w:tc>
          <w:tcPr>
            <w:tcW w:type="dxa" w:w="720"/>
          </w:tcPr>
          <w:p>
            <w:r>
              <w:rPr>
                <w:b/>
                <w:sz w:val="18"/>
              </w:rPr>
              <w:t>Row</w:t>
            </w:r>
          </w:p>
        </w:tc>
        <w:tc>
          <w:tcPr>
            <w:tcW w:type="dxa" w:w="3168"/>
          </w:tcPr>
          <w:p>
            <w:r>
              <w:rPr>
                <w:b/>
                <w:sz w:val="18"/>
              </w:rPr>
              <w:t>Item</w:t>
            </w:r>
          </w:p>
        </w:tc>
        <w:tc>
          <w:tcPr>
            <w:tcW w:type="dxa" w:w="1872"/>
          </w:tcPr>
          <w:p>
            <w:r>
              <w:rPr>
                <w:b/>
                <w:sz w:val="18"/>
              </w:rPr>
              <w:t>FY2024 ($m)</w:t>
            </w:r>
          </w:p>
        </w:tc>
        <w:tc>
          <w:tcPr>
            <w:tcW w:type="dxa" w:w="4032"/>
          </w:tcPr>
          <w:p>
            <w:r>
              <w:rPr>
                <w:b/>
                <w:sz w:val="18"/>
              </w:rPr>
              <w:t>Significance</w:t>
            </w:r>
          </w:p>
        </w:tc>
      </w:tr>
      <w:tr>
        <w:tc>
          <w:tcPr>
            <w:tcW w:type="dxa" w:w="720"/>
          </w:tcPr>
          <w:p/>
        </w:tc>
        <w:tc>
          <w:tcPr>
            <w:tcW w:type="dxa" w:w="3168"/>
          </w:tcPr>
          <w:p/>
        </w:tc>
        <w:tc>
          <w:tcPr>
            <w:tcW w:type="dxa" w:w="1872"/>
          </w:tcPr>
          <w:p/>
        </w:tc>
        <w:tc>
          <w:tcPr>
            <w:tcW w:type="dxa" w:w="4032"/>
          </w:tcPr>
          <w:p/>
        </w:tc>
      </w:tr>
      <w:tr>
        <w:tc>
          <w:tcPr>
            <w:tcW w:type="dxa" w:w="720"/>
          </w:tcPr>
          <w:p/>
        </w:tc>
        <w:tc>
          <w:tcPr>
            <w:tcW w:type="dxa" w:w="3168"/>
          </w:tcPr>
          <w:p/>
        </w:tc>
        <w:tc>
          <w:tcPr>
            <w:tcW w:type="dxa" w:w="1872"/>
          </w:tcPr>
          <w:p/>
        </w:tc>
        <w:tc>
          <w:tcPr>
            <w:tcW w:type="dxa" w:w="4032"/>
          </w:tcPr>
          <w:p/>
        </w:tc>
      </w:tr>
      <w:tr>
        <w:tc>
          <w:tcPr>
            <w:tcW w:type="dxa" w:w="720"/>
          </w:tcPr>
          <w:p/>
        </w:tc>
        <w:tc>
          <w:tcPr>
            <w:tcW w:type="dxa" w:w="3168"/>
          </w:tcPr>
          <w:p/>
        </w:tc>
        <w:tc>
          <w:tcPr>
            <w:tcW w:type="dxa" w:w="1872"/>
          </w:tcPr>
          <w:p/>
        </w:tc>
        <w:tc>
          <w:tcPr>
            <w:tcW w:type="dxa" w:w="4032"/>
          </w:tcPr>
          <w:p/>
        </w:tc>
      </w:tr>
      <w:tr>
        <w:tc>
          <w:tcPr>
            <w:tcW w:type="dxa" w:w="720"/>
          </w:tcPr>
          <w:p/>
        </w:tc>
        <w:tc>
          <w:tcPr>
            <w:tcW w:type="dxa" w:w="3168"/>
          </w:tcPr>
          <w:p/>
        </w:tc>
        <w:tc>
          <w:tcPr>
            <w:tcW w:type="dxa" w:w="1872"/>
          </w:tcPr>
          <w:p/>
        </w:tc>
        <w:tc>
          <w:tcPr>
            <w:tcW w:type="dxa" w:w="4032"/>
          </w:tcPr>
          <w:p/>
        </w:tc>
      </w:tr>
      <w:tr>
        <w:tc>
          <w:tcPr>
            <w:tcW w:type="dxa" w:w="720"/>
          </w:tcPr>
          <w:p/>
        </w:tc>
        <w:tc>
          <w:tcPr>
            <w:tcW w:type="dxa" w:w="3168"/>
          </w:tcPr>
          <w:p/>
        </w:tc>
        <w:tc>
          <w:tcPr>
            <w:tcW w:type="dxa" w:w="1872"/>
          </w:tcPr>
          <w:p/>
        </w:tc>
        <w:tc>
          <w:tcPr>
            <w:tcW w:type="dxa" w:w="4032"/>
          </w:tcPr>
          <w:p/>
        </w:tc>
      </w:tr>
      <w:tr>
        <w:tc>
          <w:tcPr>
            <w:tcW w:type="dxa" w:w="720"/>
          </w:tcPr>
          <w:p/>
        </w:tc>
        <w:tc>
          <w:tcPr>
            <w:tcW w:type="dxa" w:w="3168"/>
          </w:tcPr>
          <w:p/>
        </w:tc>
        <w:tc>
          <w:tcPr>
            <w:tcW w:type="dxa" w:w="1872"/>
          </w:tcPr>
          <w:p/>
        </w:tc>
        <w:tc>
          <w:tcPr>
            <w:tcW w:type="dxa" w:w="4032"/>
          </w:tcPr>
          <w:p/>
        </w:tc>
      </w:tr>
      <w:tr>
        <w:tc>
          <w:tcPr>
            <w:tcW w:type="dxa" w:w="720"/>
          </w:tcPr>
          <w:p>
            <w:r>
              <w:rPr>
                <w:sz w:val="18"/>
              </w:rPr>
              <w:t>471</w:t>
            </w:r>
          </w:p>
        </w:tc>
        <w:tc>
          <w:tcPr>
            <w:tcW w:type="dxa" w:w="3168"/>
          </w:tcPr>
          <w:p>
            <w:r>
              <w:rPr>
                <w:sz w:val="18"/>
              </w:rPr>
              <w:t>Cash interest paid</w:t>
            </w:r>
          </w:p>
        </w:tc>
        <w:tc>
          <w:tcPr>
            <w:tcW w:type="dxa" w:w="1872"/>
          </w:tcPr>
          <w:p>
            <w:r>
              <w:rPr>
                <w:sz w:val="18"/>
              </w:rPr>
              <w:t>381</w:t>
            </w:r>
          </w:p>
        </w:tc>
        <w:tc>
          <w:tcPr>
            <w:tcW w:type="dxa" w:w="4032"/>
          </w:tcPr>
          <w:p>
            <w:r>
              <w:rPr>
                <w:sz w:val="18"/>
              </w:rPr>
              <w:t>Actual cash outflow for interest; used in CFADS calculation</w:t>
            </w:r>
          </w:p>
        </w:tc>
      </w:tr>
      <w:tr>
        <w:tc>
          <w:tcPr>
            <w:tcW w:type="dxa" w:w="720"/>
          </w:tcPr>
          <w:p>
            <w:r>
              <w:rPr>
                <w:sz w:val="18"/>
              </w:rPr>
              <w:t>472</w:t>
            </w:r>
          </w:p>
        </w:tc>
        <w:tc>
          <w:tcPr>
            <w:tcW w:type="dxa" w:w="3168"/>
          </w:tcPr>
          <w:p>
            <w:r>
              <w:rPr>
                <w:sz w:val="18"/>
              </w:rPr>
              <w:t>Cash taxes paid</w:t>
            </w:r>
          </w:p>
        </w:tc>
        <w:tc>
          <w:tcPr>
            <w:tcW w:type="dxa" w:w="1872"/>
          </w:tcPr>
          <w:p>
            <w:r>
              <w:rPr>
                <w:sz w:val="18"/>
              </w:rPr>
              <w:t>1,299</w:t>
            </w:r>
          </w:p>
        </w:tc>
        <w:tc>
          <w:tcPr>
            <w:tcW w:type="dxa" w:w="4032"/>
          </w:tcPr>
          <w:p>
            <w:r>
              <w:rPr>
                <w:sz w:val="18"/>
              </w:rPr>
              <w:t>Exceeds provision ($1,000m) by $299m; timing difference</w:t>
            </w:r>
          </w:p>
        </w:tc>
      </w:tr>
      <w:tr>
        <w:tc>
          <w:tcPr>
            <w:tcW w:type="dxa" w:w="720"/>
          </w:tcPr>
          <w:p>
            <w:r>
              <w:rPr>
                <w:sz w:val="18"/>
              </w:rPr>
              <w:t>473</w:t>
            </w:r>
          </w:p>
        </w:tc>
        <w:tc>
          <w:tcPr>
            <w:tcW w:type="dxa" w:w="3168"/>
          </w:tcPr>
          <w:p>
            <w:r>
              <w:rPr>
                <w:sz w:val="18"/>
              </w:rPr>
              <w:t>CIQ Levered FCF</w:t>
            </w:r>
          </w:p>
        </w:tc>
        <w:tc>
          <w:tcPr>
            <w:tcW w:type="dxa" w:w="1872"/>
          </w:tcPr>
          <w:p>
            <w:r>
              <w:rPr>
                <w:sz w:val="18"/>
              </w:rPr>
              <w:t>5,853</w:t>
            </w:r>
          </w:p>
        </w:tc>
        <w:tc>
          <w:tcPr>
            <w:tcW w:type="dxa" w:w="4032"/>
          </w:tcPr>
          <w:p>
            <w:r>
              <w:rPr>
                <w:sz w:val="18"/>
              </w:rPr>
              <w:t>CIQ formula: CFO − CapEx + asset sales</w:t>
            </w:r>
          </w:p>
        </w:tc>
      </w:tr>
      <w:tr>
        <w:tc>
          <w:tcPr>
            <w:tcW w:type="dxa" w:w="720"/>
          </w:tcPr>
          <w:p>
            <w:r>
              <w:rPr>
                <w:sz w:val="18"/>
              </w:rPr>
              <w:t>474</w:t>
            </w:r>
          </w:p>
        </w:tc>
        <w:tc>
          <w:tcPr>
            <w:tcW w:type="dxa" w:w="3168"/>
          </w:tcPr>
          <w:p>
            <w:r>
              <w:rPr>
                <w:sz w:val="18"/>
              </w:rPr>
              <w:t>CIQ Unlevered FCF</w:t>
            </w:r>
          </w:p>
        </w:tc>
        <w:tc>
          <w:tcPr>
            <w:tcW w:type="dxa" w:w="1872"/>
          </w:tcPr>
          <w:p>
            <w:r>
              <w:rPr>
                <w:sz w:val="18"/>
              </w:rPr>
              <w:t>6,021</w:t>
            </w:r>
          </w:p>
        </w:tc>
        <w:tc>
          <w:tcPr>
            <w:tcW w:type="dxa" w:w="4032"/>
          </w:tcPr>
          <w:p>
            <w:r>
              <w:rPr>
                <w:sz w:val="18"/>
              </w:rPr>
              <w:t>CIQ formula: ULFCF = LFCF + after-tax interest</w:t>
            </w:r>
          </w:p>
        </w:tc>
      </w:tr>
      <w:tr>
        <w:tc>
          <w:tcPr>
            <w:tcW w:type="dxa" w:w="720"/>
          </w:tcPr>
          <w:p>
            <w:r>
              <w:rPr>
                <w:sz w:val="18"/>
              </w:rPr>
              <w:t>475</w:t>
            </w:r>
          </w:p>
        </w:tc>
        <w:tc>
          <w:tcPr>
            <w:tcW w:type="dxa" w:w="3168"/>
          </w:tcPr>
          <w:p>
            <w:r>
              <w:rPr>
                <w:sz w:val="18"/>
              </w:rPr>
              <w:t>CIQ Net Working Capital change</w:t>
            </w:r>
          </w:p>
        </w:tc>
        <w:tc>
          <w:tcPr>
            <w:tcW w:type="dxa" w:w="1872"/>
          </w:tcPr>
          <w:p>
            <w:r>
              <w:rPr>
                <w:sz w:val="18"/>
              </w:rPr>
              <w:t>-1,012</w:t>
            </w:r>
          </w:p>
        </w:tc>
        <w:tc>
          <w:tcPr>
            <w:tcW w:type="dxa" w:w="4032"/>
          </w:tcPr>
          <w:p>
            <w:r>
              <w:rPr>
                <w:sz w:val="18"/>
              </w:rPr>
              <w:t>= sum of rows 441–444; consistent with model</w:t>
            </w:r>
          </w:p>
        </w:tc>
      </w:tr>
      <w:tr>
        <w:tc>
          <w:tcPr>
            <w:tcW w:type="dxa" w:w="720"/>
          </w:tcPr>
          <w:p>
            <w:r>
              <w:rPr>
                <w:sz w:val="18"/>
              </w:rPr>
              <w:t>476</w:t>
            </w:r>
          </w:p>
        </w:tc>
        <w:tc>
          <w:tcPr>
            <w:tcW w:type="dxa" w:w="3168"/>
          </w:tcPr>
          <w:p>
            <w:r>
              <w:rPr>
                <w:sz w:val="18"/>
              </w:rPr>
              <w:t>CIQ Net Debt Issued</w:t>
            </w:r>
          </w:p>
        </w:tc>
        <w:tc>
          <w:tcPr>
            <w:tcW w:type="dxa" w:w="1872"/>
          </w:tcPr>
          <w:p>
            <w:r>
              <w:rPr>
                <w:sz w:val="18"/>
              </w:rPr>
              <w:t>NA (FY2024)</w:t>
            </w:r>
          </w:p>
        </w:tc>
        <w:tc>
          <w:tcPr>
            <w:tcW w:type="dxa" w:w="4032"/>
          </w:tcPr>
          <w:p>
            <w:r>
              <w:rPr>
                <w:sz w:val="18"/>
              </w:rPr>
              <w:t>No net debt change in FY2024; FY2023 = -$504m repayment</w:t>
            </w:r>
          </w:p>
        </w:tc>
      </w:tr>
    </w:tbl>
    <w:p/>
    <w:p>
      <w:r>
        <w:rPr>
          <w:b w:val="0"/>
          <w:i w:val="0"/>
          <w:sz w:val="20"/>
        </w:rPr>
        <w:t>The model's own FCF metrics differ slightly from CIQ's because the model uses its own intermediate calculations (EFCF, CFADS) rather than the CIQ supplemental rows. Section 5 covers these in detail.</w:t>
      </w:r>
    </w:p>
    <w:p>
      <w:pPr>
        <w:pStyle w:val="Heading2"/>
      </w:pPr>
      <w:r>
        <w:t>3.5  FX Adjustment (Row 468)</w:t>
      </w:r>
    </w:p>
    <w:p>
      <w:r>
        <w:rPr>
          <w:b w:val="0"/>
          <w:i w:val="0"/>
          <w:sz w:val="20"/>
        </w:rPr>
        <w:t>Row 468 'Foreign Exchange Rate Adj.' captures the effect of currency translation on cash balances held in non-USD currencies. FY2024 = -$16m (immaterial). In the forecast, all L468–R468 are hard-coded to 0, meaning the model assumes no FX translation effects — appropriate for a base-case USD model.</w:t>
      </w:r>
    </w:p>
    <w:p>
      <w:r>
        <w:br w:type="page"/>
      </w:r>
    </w:p>
    <w:p>
      <w:pPr>
        <w:pStyle w:val="Heading1"/>
      </w:pPr>
      <w:r>
        <w:t>PART IV — Balance Sheet</w:t>
      </w:r>
    </w:p>
    <w:p>
      <w:pPr>
        <w:pStyle w:val="Heading2"/>
      </w:pPr>
      <w:r>
        <w:t>4.1  Current Assets</w:t>
      </w:r>
    </w:p>
    <w:p>
      <w:r>
        <w:rPr>
          <w:b w:val="0"/>
          <w:i w:val="0"/>
          <w:sz w:val="20"/>
        </w:rPr>
        <w:t>The forecast methodology for each current asset line uses revenue-scaling: forecast item = (item / FY2024 revenue) × forecast revenue. This assumes each balance sheet line is a fixed % of revenue, anchored to the FY2024 ratio.</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720"/>
          </w:tcPr>
          <w:p>
            <w:r>
              <w:rPr>
                <w:b/>
                <w:sz w:val="18"/>
              </w:rPr>
              <w:t>Row</w:t>
            </w:r>
          </w:p>
        </w:tc>
        <w:tc>
          <w:tcPr>
            <w:tcW w:type="dxa" w:w="2592"/>
          </w:tcPr>
          <w:p>
            <w:r>
              <w:rPr>
                <w:b/>
                <w:sz w:val="18"/>
              </w:rPr>
              <w:t>Item</w:t>
            </w:r>
          </w:p>
        </w:tc>
        <w:tc>
          <w:tcPr>
            <w:tcW w:type="dxa" w:w="1728"/>
          </w:tcPr>
          <w:p>
            <w:r>
              <w:rPr>
                <w:b/>
                <w:sz w:val="18"/>
              </w:rPr>
              <w:t>FY2024 ($m)</w:t>
            </w:r>
          </w:p>
        </w:tc>
        <w:tc>
          <w:tcPr>
            <w:tcW w:type="dxa" w:w="2592"/>
          </w:tcPr>
          <w:p>
            <w:r>
              <w:rPr>
                <w:b/>
                <w:sz w:val="18"/>
              </w:rPr>
              <w:t>Forecast Method</w:t>
            </w:r>
          </w:p>
        </w:tc>
        <w:tc>
          <w:tcPr>
            <w:tcW w:type="dxa" w:w="2160"/>
          </w:tcPr>
          <w:p>
            <w:r>
              <w:rPr>
                <w:b/>
                <w:sz w:val="18"/>
              </w:rPr>
              <w:t>Notes</w:t>
            </w:r>
          </w:p>
        </w:tc>
      </w:tr>
      <w:tr>
        <w:tc>
          <w:tcPr>
            <w:tcW w:type="dxa" w:w="720"/>
          </w:tcPr>
          <w:p/>
        </w:tc>
        <w:tc>
          <w:tcPr>
            <w:tcW w:type="dxa" w:w="2592"/>
          </w:tcPr>
          <w:p/>
        </w:tc>
        <w:tc>
          <w:tcPr>
            <w:tcW w:type="dxa" w:w="1728"/>
          </w:tcPr>
          <w:p/>
        </w:tc>
        <w:tc>
          <w:tcPr>
            <w:tcW w:type="dxa" w:w="2592"/>
          </w:tcPr>
          <w:p/>
        </w:tc>
        <w:tc>
          <w:tcPr>
            <w:tcW w:type="dxa" w:w="2160"/>
          </w:tcPr>
          <w:p/>
        </w:tc>
      </w:tr>
      <w:tr>
        <w:tc>
          <w:tcPr>
            <w:tcW w:type="dxa" w:w="720"/>
          </w:tcPr>
          <w:p/>
        </w:tc>
        <w:tc>
          <w:tcPr>
            <w:tcW w:type="dxa" w:w="2592"/>
          </w:tcPr>
          <w:p/>
        </w:tc>
        <w:tc>
          <w:tcPr>
            <w:tcW w:type="dxa" w:w="1728"/>
          </w:tcPr>
          <w:p/>
        </w:tc>
        <w:tc>
          <w:tcPr>
            <w:tcW w:type="dxa" w:w="2592"/>
          </w:tcPr>
          <w:p/>
        </w:tc>
        <w:tc>
          <w:tcPr>
            <w:tcW w:type="dxa" w:w="2160"/>
          </w:tcPr>
          <w:p/>
        </w:tc>
      </w:tr>
      <w:tr>
        <w:tc>
          <w:tcPr>
            <w:tcW w:type="dxa" w:w="720"/>
          </w:tcPr>
          <w:p/>
        </w:tc>
        <w:tc>
          <w:tcPr>
            <w:tcW w:type="dxa" w:w="2592"/>
          </w:tcPr>
          <w:p/>
        </w:tc>
        <w:tc>
          <w:tcPr>
            <w:tcW w:type="dxa" w:w="1728"/>
          </w:tcPr>
          <w:p/>
        </w:tc>
        <w:tc>
          <w:tcPr>
            <w:tcW w:type="dxa" w:w="2592"/>
          </w:tcPr>
          <w:p/>
        </w:tc>
        <w:tc>
          <w:tcPr>
            <w:tcW w:type="dxa" w:w="2160"/>
          </w:tcPr>
          <w:p/>
        </w:tc>
      </w:tr>
      <w:tr>
        <w:tc>
          <w:tcPr>
            <w:tcW w:type="dxa" w:w="720"/>
          </w:tcPr>
          <w:p/>
        </w:tc>
        <w:tc>
          <w:tcPr>
            <w:tcW w:type="dxa" w:w="2592"/>
          </w:tcPr>
          <w:p/>
        </w:tc>
        <w:tc>
          <w:tcPr>
            <w:tcW w:type="dxa" w:w="1728"/>
          </w:tcPr>
          <w:p/>
        </w:tc>
        <w:tc>
          <w:tcPr>
            <w:tcW w:type="dxa" w:w="2592"/>
          </w:tcPr>
          <w:p/>
        </w:tc>
        <w:tc>
          <w:tcPr>
            <w:tcW w:type="dxa" w:w="2160"/>
          </w:tcPr>
          <w:p/>
        </w:tc>
      </w:tr>
      <w:tr>
        <w:tc>
          <w:tcPr>
            <w:tcW w:type="dxa" w:w="720"/>
          </w:tcPr>
          <w:p/>
        </w:tc>
        <w:tc>
          <w:tcPr>
            <w:tcW w:type="dxa" w:w="2592"/>
          </w:tcPr>
          <w:p/>
        </w:tc>
        <w:tc>
          <w:tcPr>
            <w:tcW w:type="dxa" w:w="1728"/>
          </w:tcPr>
          <w:p/>
        </w:tc>
        <w:tc>
          <w:tcPr>
            <w:tcW w:type="dxa" w:w="2592"/>
          </w:tcPr>
          <w:p/>
        </w:tc>
        <w:tc>
          <w:tcPr>
            <w:tcW w:type="dxa" w:w="2160"/>
          </w:tcPr>
          <w:p/>
        </w:tc>
      </w:tr>
      <w:tr>
        <w:tc>
          <w:tcPr>
            <w:tcW w:type="dxa" w:w="720"/>
          </w:tcPr>
          <w:p/>
        </w:tc>
        <w:tc>
          <w:tcPr>
            <w:tcW w:type="dxa" w:w="2592"/>
          </w:tcPr>
          <w:p/>
        </w:tc>
        <w:tc>
          <w:tcPr>
            <w:tcW w:type="dxa" w:w="1728"/>
          </w:tcPr>
          <w:p/>
        </w:tc>
        <w:tc>
          <w:tcPr>
            <w:tcW w:type="dxa" w:w="2592"/>
          </w:tcPr>
          <w:p/>
        </w:tc>
        <w:tc>
          <w:tcPr>
            <w:tcW w:type="dxa" w:w="2160"/>
          </w:tcPr>
          <w:p/>
        </w:tc>
      </w:tr>
      <w:tr>
        <w:tc>
          <w:tcPr>
            <w:tcW w:type="dxa" w:w="720"/>
          </w:tcPr>
          <w:p/>
        </w:tc>
        <w:tc>
          <w:tcPr>
            <w:tcW w:type="dxa" w:w="2592"/>
          </w:tcPr>
          <w:p/>
        </w:tc>
        <w:tc>
          <w:tcPr>
            <w:tcW w:type="dxa" w:w="1728"/>
          </w:tcPr>
          <w:p/>
        </w:tc>
        <w:tc>
          <w:tcPr>
            <w:tcW w:type="dxa" w:w="2592"/>
          </w:tcPr>
          <w:p/>
        </w:tc>
        <w:tc>
          <w:tcPr>
            <w:tcW w:type="dxa" w:w="2160"/>
          </w:tcPr>
          <w:p/>
        </w:tc>
      </w:tr>
      <w:tr>
        <w:tc>
          <w:tcPr>
            <w:tcW w:type="dxa" w:w="720"/>
          </w:tcPr>
          <w:p/>
        </w:tc>
        <w:tc>
          <w:tcPr>
            <w:tcW w:type="dxa" w:w="2592"/>
          </w:tcPr>
          <w:p/>
        </w:tc>
        <w:tc>
          <w:tcPr>
            <w:tcW w:type="dxa" w:w="1728"/>
          </w:tcPr>
          <w:p/>
        </w:tc>
        <w:tc>
          <w:tcPr>
            <w:tcW w:type="dxa" w:w="2592"/>
          </w:tcPr>
          <w:p/>
        </w:tc>
        <w:tc>
          <w:tcPr>
            <w:tcW w:type="dxa" w:w="2160"/>
          </w:tcPr>
          <w:p/>
        </w:tc>
      </w:tr>
      <w:tr>
        <w:tc>
          <w:tcPr>
            <w:tcW w:type="dxa" w:w="720"/>
          </w:tcPr>
          <w:p/>
        </w:tc>
        <w:tc>
          <w:tcPr>
            <w:tcW w:type="dxa" w:w="2592"/>
          </w:tcPr>
          <w:p/>
        </w:tc>
        <w:tc>
          <w:tcPr>
            <w:tcW w:type="dxa" w:w="1728"/>
          </w:tcPr>
          <w:p/>
        </w:tc>
        <w:tc>
          <w:tcPr>
            <w:tcW w:type="dxa" w:w="2592"/>
          </w:tcPr>
          <w:p/>
        </w:tc>
        <w:tc>
          <w:tcPr>
            <w:tcW w:type="dxa" w:w="2160"/>
          </w:tcPr>
          <w:p/>
        </w:tc>
      </w:tr>
      <w:tr>
        <w:tc>
          <w:tcPr>
            <w:tcW w:type="dxa" w:w="720"/>
          </w:tcPr>
          <w:p/>
        </w:tc>
        <w:tc>
          <w:tcPr>
            <w:tcW w:type="dxa" w:w="2592"/>
          </w:tcPr>
          <w:p/>
        </w:tc>
        <w:tc>
          <w:tcPr>
            <w:tcW w:type="dxa" w:w="1728"/>
          </w:tcPr>
          <w:p/>
        </w:tc>
        <w:tc>
          <w:tcPr>
            <w:tcW w:type="dxa" w:w="2592"/>
          </w:tcPr>
          <w:p/>
        </w:tc>
        <w:tc>
          <w:tcPr>
            <w:tcW w:type="dxa" w:w="2160"/>
          </w:tcPr>
          <w:p/>
        </w:tc>
      </w:tr>
      <w:tr>
        <w:tc>
          <w:tcPr>
            <w:tcW w:type="dxa" w:w="720"/>
          </w:tcPr>
          <w:p>
            <w:r>
              <w:rPr>
                <w:sz w:val="18"/>
              </w:rPr>
              <w:t>500</w:t>
            </w:r>
          </w:p>
        </w:tc>
        <w:tc>
          <w:tcPr>
            <w:tcW w:type="dxa" w:w="2592"/>
          </w:tcPr>
          <w:p>
            <w:r>
              <w:rPr>
                <w:sz w:val="18"/>
              </w:rPr>
              <w:t>Cash &amp; equivalents</w:t>
            </w:r>
          </w:p>
        </w:tc>
        <w:tc>
          <w:tcPr>
            <w:tcW w:type="dxa" w:w="1728"/>
          </w:tcPr>
          <w:p>
            <w:r>
              <w:rPr>
                <w:sz w:val="18"/>
              </w:rPr>
              <w:t>9,860</w:t>
            </w:r>
          </w:p>
        </w:tc>
        <w:tc>
          <w:tcPr>
            <w:tcW w:type="dxa" w:w="2592"/>
          </w:tcPr>
          <w:p>
            <w:r>
              <w:rPr>
                <w:sz w:val="18"/>
              </w:rPr>
              <w:t>Prior cash + ΔCash (row 236)</w:t>
            </w:r>
          </w:p>
        </w:tc>
        <w:tc>
          <w:tcPr>
            <w:tcW w:type="dxa" w:w="2160"/>
          </w:tcPr>
          <w:p>
            <w:r>
              <w:rPr>
                <w:sz w:val="18"/>
              </w:rPr>
              <w:t>Residual; driven by 3-statement</w:t>
            </w:r>
          </w:p>
        </w:tc>
      </w:tr>
      <w:tr>
        <w:tc>
          <w:tcPr>
            <w:tcW w:type="dxa" w:w="720"/>
          </w:tcPr>
          <w:p>
            <w:r>
              <w:rPr>
                <w:sz w:val="18"/>
              </w:rPr>
              <w:t>501</w:t>
            </w:r>
          </w:p>
        </w:tc>
        <w:tc>
          <w:tcPr>
            <w:tcW w:type="dxa" w:w="2592"/>
          </w:tcPr>
          <w:p>
            <w:r>
              <w:rPr>
                <w:sz w:val="18"/>
              </w:rPr>
              <w:t>Short-term investments</w:t>
            </w:r>
          </w:p>
        </w:tc>
        <w:tc>
          <w:tcPr>
            <w:tcW w:type="dxa" w:w="1728"/>
          </w:tcPr>
          <w:p>
            <w:r>
              <w:rPr>
                <w:sz w:val="18"/>
              </w:rPr>
              <w:t>1,722</w:t>
            </w:r>
          </w:p>
        </w:tc>
        <w:tc>
          <w:tcPr>
            <w:tcW w:type="dxa" w:w="2592"/>
          </w:tcPr>
          <w:p>
            <w:r>
              <w:rPr>
                <w:sz w:val="18"/>
              </w:rPr>
              <w:t>Revenue-scaled</w:t>
            </w:r>
          </w:p>
        </w:tc>
        <w:tc>
          <w:tcPr>
            <w:tcW w:type="dxa" w:w="2160"/>
          </w:tcPr>
          <w:p>
            <w:r>
              <w:rPr>
                <w:sz w:val="18"/>
              </w:rPr>
              <w:t>Very volatile historically ($197m–$4,423m)</w:t>
            </w:r>
          </w:p>
        </w:tc>
      </w:tr>
      <w:tr>
        <w:tc>
          <w:tcPr>
            <w:tcW w:type="dxa" w:w="720"/>
          </w:tcPr>
          <w:p>
            <w:r>
              <w:rPr>
                <w:sz w:val="18"/>
              </w:rPr>
              <w:t>502</w:t>
            </w:r>
          </w:p>
        </w:tc>
        <w:tc>
          <w:tcPr>
            <w:tcW w:type="dxa" w:w="2592"/>
          </w:tcPr>
          <w:p>
            <w:r>
              <w:rPr>
                <w:sz w:val="18"/>
              </w:rPr>
              <w:t>Trading securities</w:t>
            </w:r>
          </w:p>
        </w:tc>
        <w:tc>
          <w:tcPr>
            <w:tcW w:type="dxa" w:w="1728"/>
          </w:tcPr>
          <w:p>
            <w:r>
              <w:rPr>
                <w:sz w:val="18"/>
              </w:rPr>
              <w:t>nil</w:t>
            </w:r>
          </w:p>
        </w:tc>
        <w:tc>
          <w:tcPr>
            <w:tcW w:type="dxa" w:w="2592"/>
          </w:tcPr>
          <w:p>
            <w:r>
              <w:rPr>
                <w:sz w:val="18"/>
              </w:rPr>
              <w:t>Hard-coded 0 in forecast</w:t>
            </w:r>
          </w:p>
        </w:tc>
        <w:tc>
          <w:tcPr>
            <w:tcW w:type="dxa" w:w="2160"/>
          </w:tcPr>
          <w:p>
            <w:r>
              <w:rPr>
                <w:sz w:val="18"/>
              </w:rPr>
              <w:t>Only existed FY2015–FY2016 ($78m/$7m)</w:t>
            </w:r>
          </w:p>
        </w:tc>
      </w:tr>
      <w:tr>
        <w:tc>
          <w:tcPr>
            <w:tcW w:type="dxa" w:w="720"/>
          </w:tcPr>
          <w:p>
            <w:r>
              <w:rPr>
                <w:sz w:val="18"/>
              </w:rPr>
              <w:t>503</w:t>
            </w:r>
          </w:p>
        </w:tc>
        <w:tc>
          <w:tcPr>
            <w:tcW w:type="dxa" w:w="2592"/>
          </w:tcPr>
          <w:p>
            <w:r>
              <w:rPr>
                <w:sz w:val="18"/>
              </w:rPr>
              <w:t>Total cash &amp; ST investments</w:t>
            </w:r>
          </w:p>
        </w:tc>
        <w:tc>
          <w:tcPr>
            <w:tcW w:type="dxa" w:w="1728"/>
          </w:tcPr>
          <w:p>
            <w:r>
              <w:rPr>
                <w:sz w:val="18"/>
              </w:rPr>
              <w:t>11,582</w:t>
            </w:r>
          </w:p>
        </w:tc>
        <w:tc>
          <w:tcPr>
            <w:tcW w:type="dxa" w:w="2592"/>
          </w:tcPr>
          <w:p>
            <w:r>
              <w:rPr>
                <w:sz w:val="18"/>
              </w:rPr>
              <w:t>= sum 500+501+502</w:t>
            </w:r>
          </w:p>
        </w:tc>
        <w:tc>
          <w:tcPr>
            <w:tcW w:type="dxa" w:w="2160"/>
          </w:tcPr>
          <w:p>
            <w:r>
              <w:rPr>
                <w:sz w:val="18"/>
              </w:rPr>
            </w:r>
          </w:p>
        </w:tc>
      </w:tr>
      <w:tr>
        <w:tc>
          <w:tcPr>
            <w:tcW w:type="dxa" w:w="720"/>
          </w:tcPr>
          <w:p>
            <w:r>
              <w:rPr>
                <w:sz w:val="18"/>
              </w:rPr>
              <w:t>504</w:t>
            </w:r>
          </w:p>
        </w:tc>
        <w:tc>
          <w:tcPr>
            <w:tcW w:type="dxa" w:w="2592"/>
          </w:tcPr>
          <w:p>
            <w:r>
              <w:rPr>
                <w:sz w:val="18"/>
              </w:rPr>
              <w:t>Accounts receivable</w:t>
            </w:r>
          </w:p>
        </w:tc>
        <w:tc>
          <w:tcPr>
            <w:tcW w:type="dxa" w:w="1728"/>
          </w:tcPr>
          <w:p>
            <w:r>
              <w:rPr>
                <w:sz w:val="18"/>
              </w:rPr>
              <w:t>4,427</w:t>
            </w:r>
          </w:p>
        </w:tc>
        <w:tc>
          <w:tcPr>
            <w:tcW w:type="dxa" w:w="2592"/>
          </w:tcPr>
          <w:p>
            <w:r>
              <w:rPr>
                <w:sz w:val="18"/>
              </w:rPr>
              <w:t>Revenue-scaled</w:t>
            </w:r>
          </w:p>
        </w:tc>
        <w:tc>
          <w:tcPr>
            <w:tcW w:type="dxa" w:w="2160"/>
          </w:tcPr>
          <w:p>
            <w:r>
              <w:rPr>
                <w:sz w:val="18"/>
              </w:rPr>
              <w:t>Days sales = ~31 days FY2024</w:t>
            </w:r>
          </w:p>
        </w:tc>
      </w:tr>
      <w:tr>
        <w:tc>
          <w:tcPr>
            <w:tcW w:type="dxa" w:w="720"/>
          </w:tcPr>
          <w:p>
            <w:r>
              <w:rPr>
                <w:sz w:val="18"/>
              </w:rPr>
              <w:t>505</w:t>
            </w:r>
          </w:p>
        </w:tc>
        <w:tc>
          <w:tcPr>
            <w:tcW w:type="dxa" w:w="2592"/>
          </w:tcPr>
          <w:p>
            <w:r>
              <w:rPr>
                <w:sz w:val="18"/>
              </w:rPr>
              <w:t>Notes receivable</w:t>
            </w:r>
          </w:p>
        </w:tc>
        <w:tc>
          <w:tcPr>
            <w:tcW w:type="dxa" w:w="1728"/>
          </w:tcPr>
          <w:p>
            <w:r>
              <w:rPr>
                <w:sz w:val="18"/>
              </w:rPr>
              <w:t>nil</w:t>
            </w:r>
          </w:p>
        </w:tc>
        <w:tc>
          <w:tcPr>
            <w:tcW w:type="dxa" w:w="2592"/>
          </w:tcPr>
          <w:p>
            <w:r>
              <w:rPr>
                <w:sz w:val="18"/>
              </w:rPr>
              <w:t>Hard-coded 0</w:t>
            </w:r>
          </w:p>
        </w:tc>
        <w:tc>
          <w:tcPr>
            <w:tcW w:type="dxa" w:w="2160"/>
          </w:tcPr>
          <w:p>
            <w:r>
              <w:rPr>
                <w:sz w:val="18"/>
              </w:rPr>
              <w:t>Only FY2015 ($150m)</w:t>
            </w:r>
          </w:p>
        </w:tc>
      </w:tr>
      <w:tr>
        <w:tc>
          <w:tcPr>
            <w:tcW w:type="dxa" w:w="720"/>
          </w:tcPr>
          <w:p>
            <w:r>
              <w:rPr>
                <w:sz w:val="18"/>
              </w:rPr>
              <w:t>507</w:t>
            </w:r>
          </w:p>
        </w:tc>
        <w:tc>
          <w:tcPr>
            <w:tcW w:type="dxa" w:w="2592"/>
          </w:tcPr>
          <w:p>
            <w:r>
              <w:rPr>
                <w:sz w:val="18"/>
              </w:rPr>
              <w:t>Inventory</w:t>
            </w:r>
          </w:p>
        </w:tc>
        <w:tc>
          <w:tcPr>
            <w:tcW w:type="dxa" w:w="1728"/>
          </w:tcPr>
          <w:p>
            <w:r>
              <w:rPr>
                <w:sz w:val="18"/>
              </w:rPr>
              <w:t>7,519</w:t>
            </w:r>
          </w:p>
        </w:tc>
        <w:tc>
          <w:tcPr>
            <w:tcW w:type="dxa" w:w="2592"/>
          </w:tcPr>
          <w:p>
            <w:r>
              <w:rPr>
                <w:sz w:val="18"/>
              </w:rPr>
              <w:t>Revenue-scaled</w:t>
            </w:r>
          </w:p>
        </w:tc>
        <w:tc>
          <w:tcPr>
            <w:tcW w:type="dxa" w:w="2160"/>
          </w:tcPr>
          <w:p>
            <w:r>
              <w:rPr>
                <w:sz w:val="18"/>
              </w:rPr>
              <w:t>Destocked from $8,454m peak in FY2023</w:t>
            </w:r>
          </w:p>
        </w:tc>
      </w:tr>
      <w:tr>
        <w:tc>
          <w:tcPr>
            <w:tcW w:type="dxa" w:w="720"/>
          </w:tcPr>
          <w:p>
            <w:r>
              <w:rPr>
                <w:sz w:val="18"/>
              </w:rPr>
              <w:t>508</w:t>
            </w:r>
          </w:p>
        </w:tc>
        <w:tc>
          <w:tcPr>
            <w:tcW w:type="dxa" w:w="2592"/>
          </w:tcPr>
          <w:p>
            <w:r>
              <w:rPr>
                <w:sz w:val="18"/>
              </w:rPr>
              <w:t>Prepaid expenses</w:t>
            </w:r>
          </w:p>
        </w:tc>
        <w:tc>
          <w:tcPr>
            <w:tcW w:type="dxa" w:w="1728"/>
          </w:tcPr>
          <w:p>
            <w:r>
              <w:rPr>
                <w:sz w:val="18"/>
              </w:rPr>
              <w:t>1,224</w:t>
            </w:r>
          </w:p>
        </w:tc>
        <w:tc>
          <w:tcPr>
            <w:tcW w:type="dxa" w:w="2592"/>
          </w:tcPr>
          <w:p>
            <w:r>
              <w:rPr>
                <w:sz w:val="18"/>
              </w:rPr>
              <w:t>Revenue-scaled</w:t>
            </w:r>
          </w:p>
        </w:tc>
        <w:tc>
          <w:tcPr>
            <w:tcW w:type="dxa" w:w="2160"/>
          </w:tcPr>
          <w:p>
            <w:r>
              <w:rPr>
                <w:sz w:val="18"/>
              </w:rPr>
              <w:t>Includes prepaid marketing/sponsorship</w:t>
            </w:r>
          </w:p>
        </w:tc>
      </w:tr>
      <w:tr>
        <w:tc>
          <w:tcPr>
            <w:tcW w:type="dxa" w:w="720"/>
          </w:tcPr>
          <w:p>
            <w:r>
              <w:rPr>
                <w:sz w:val="18"/>
              </w:rPr>
              <w:t>509</w:t>
            </w:r>
          </w:p>
        </w:tc>
        <w:tc>
          <w:tcPr>
            <w:tcW w:type="dxa" w:w="2592"/>
          </w:tcPr>
          <w:p>
            <w:r>
              <w:rPr>
                <w:sz w:val="18"/>
              </w:rPr>
              <w:t>Other current assets</w:t>
            </w:r>
          </w:p>
        </w:tc>
        <w:tc>
          <w:tcPr>
            <w:tcW w:type="dxa" w:w="1728"/>
          </w:tcPr>
          <w:p>
            <w:r>
              <w:rPr>
                <w:sz w:val="18"/>
              </w:rPr>
              <w:t>630</w:t>
            </w:r>
          </w:p>
        </w:tc>
        <w:tc>
          <w:tcPr>
            <w:tcW w:type="dxa" w:w="2592"/>
          </w:tcPr>
          <w:p>
            <w:r>
              <w:rPr>
                <w:sz w:val="18"/>
              </w:rPr>
              <w:t>FROZEN at FY2024 value</w:t>
            </w:r>
          </w:p>
        </w:tc>
        <w:tc>
          <w:tcPr>
            <w:tcW w:type="dxa" w:w="2160"/>
          </w:tcPr>
          <w:p>
            <w:r>
              <w:rPr>
                <w:sz w:val="18"/>
              </w:rPr>
              <w:t>=K509 in all forecast years</w:t>
            </w:r>
          </w:p>
        </w:tc>
      </w:tr>
      <w:tr>
        <w:tc>
          <w:tcPr>
            <w:tcW w:type="dxa" w:w="720"/>
          </w:tcPr>
          <w:p>
            <w:r>
              <w:rPr>
                <w:sz w:val="18"/>
              </w:rPr>
              <w:t>510</w:t>
            </w:r>
          </w:p>
        </w:tc>
        <w:tc>
          <w:tcPr>
            <w:tcW w:type="dxa" w:w="2592"/>
          </w:tcPr>
          <w:p>
            <w:r>
              <w:rPr>
                <w:sz w:val="18"/>
              </w:rPr>
              <w:t>Total current assets</w:t>
            </w:r>
          </w:p>
        </w:tc>
        <w:tc>
          <w:tcPr>
            <w:tcW w:type="dxa" w:w="1728"/>
          </w:tcPr>
          <w:p>
            <w:r>
              <w:rPr>
                <w:sz w:val="18"/>
              </w:rPr>
              <w:t>25,382</w:t>
            </w:r>
          </w:p>
        </w:tc>
        <w:tc>
          <w:tcPr>
            <w:tcW w:type="dxa" w:w="2592"/>
          </w:tcPr>
          <w:p>
            <w:r>
              <w:rPr>
                <w:sz w:val="18"/>
              </w:rPr>
              <w:t>Sum of above</w:t>
            </w:r>
          </w:p>
        </w:tc>
        <w:tc>
          <w:tcPr>
            <w:tcW w:type="dxa" w:w="2160"/>
          </w:tcPr>
          <w:p>
            <w:r>
              <w:rPr>
                <w:sz w:val="18"/>
              </w:rPr>
            </w:r>
          </w:p>
        </w:tc>
      </w:tr>
    </w:tbl>
    <w:p/>
    <w:p>
      <w:pPr>
        <w:ind w:left="432"/>
      </w:pPr>
      <w:r>
        <w:rPr>
          <w:b/>
          <w:color w:val="C0390B"/>
          <w:sz w:val="18"/>
        </w:rPr>
        <w:t>[QUIRK]  Other Current Assets (row 509) is deliberately frozen rather than revenue-scaled. This suggests the analyst judged this line to be driven by factors other than revenue (e.g. short-term derivatives, tax receivables). Similarly, Short-term borrowings (row 522) and Deferred tax assets LT (row 516) are frozen.</w:t>
      </w:r>
    </w:p>
    <w:p>
      <w:pPr>
        <w:pStyle w:val="Heading2"/>
      </w:pPr>
      <w:r>
        <w:t>4.2  Non-Current Assets</w:t>
      </w:r>
    </w:p>
    <w:p>
      <w:pPr>
        <w:pStyle w:val="Heading3"/>
      </w:pPr>
      <w:r>
        <w:t>4.2.1  Net PP&amp;E — Hard-Coded After FY2025 (Row 513)</w:t>
      </w:r>
    </w:p>
    <w:p>
      <w:r>
        <w:rPr>
          <w:b w:val="0"/>
          <w:i w:val="0"/>
          <w:sz w:val="20"/>
        </w:rPr>
        <w:t>This is one of the most important and unusual features of the balance sheet model:</w:t>
      </w:r>
    </w:p>
    <w:p>
      <w:r>
        <w:rPr>
          <w:b w:val="0"/>
          <w:i w:val="0"/>
          <w:sz w:val="20"/>
        </w:rPr>
        <w:t xml:space="preserve">  • L513 (FY2025): =K513/K$338×L$338  [revenue-scaled normally]</w:t>
        <w:br/>
        <w:t xml:space="preserve">  • M513–R513: Hard-coded to $7,885,489,990  (≈$7,885m) in ALL years</w:t>
        <w:br/>
        <w:t xml:space="preserve">  • Cell S513 contains the comment: 'Hard coded'</w:t>
        <w:br/>
        <w:t xml:space="preserve">  • This means Net PP&amp;E is frozen at ~$7.885bn from FY2026 through FY2031</w:t>
      </w:r>
    </w:p>
    <w:p>
      <w:pPr>
        <w:ind w:left="432"/>
      </w:pPr>
      <w:r>
        <w:rPr>
          <w:b/>
          <w:color w:val="C0390B"/>
          <w:sz w:val="18"/>
        </w:rPr>
        <w:t>[IMPORTANT]  The Gross PP&amp;E and Accumulated Depreciation rows (511, 512) are still revenue-scaled in the forecast, creating an internal inconsistency: Gross PP&amp;E and AccumDeprec keep growing, but Net PP&amp;E is fixed. The hard-coded Net PP&amp;E overrides the component-level formulas. Economically this means CapEx ≈ D&amp;A in perpetuity (maintenance capex only), which is a reasonable steady-state assumption but is ASSUMED rather than derived.</w:t>
      </w:r>
    </w:p>
    <w:p>
      <w:pPr>
        <w:pStyle w:val="Heading3"/>
      </w:pPr>
      <w:r>
        <w:t>4.2.2  PP&amp;E Component Breakdown (Rows 554–558)</w:t>
      </w:r>
    </w:p>
    <w:tbl>
      <w:tblPr>
        <w:tblStyle w:val="LightList-Accent1"/>
        <w:tblW w:type="auto" w:w="0"/>
        <w:tblLook w:firstColumn="1" w:firstRow="1" w:lastColumn="0" w:lastRow="0" w:noHBand="0" w:noVBand="1" w:val="04A0"/>
      </w:tblPr>
      <w:tblGrid>
        <w:gridCol w:w="2160"/>
        <w:gridCol w:w="2160"/>
        <w:gridCol w:w="2160"/>
        <w:gridCol w:w="2160"/>
      </w:tblGrid>
      <w:tr>
        <w:tc>
          <w:tcPr>
            <w:tcW w:type="dxa" w:w="3168"/>
          </w:tcPr>
          <w:p>
            <w:r>
              <w:rPr>
                <w:b/>
                <w:sz w:val="18"/>
              </w:rPr>
              <w:t>Component</w:t>
            </w:r>
          </w:p>
        </w:tc>
        <w:tc>
          <w:tcPr>
            <w:tcW w:type="dxa" w:w="1728"/>
          </w:tcPr>
          <w:p>
            <w:r>
              <w:rPr>
                <w:b/>
                <w:sz w:val="18"/>
              </w:rPr>
              <w:t>FY2015 ($m)</w:t>
            </w:r>
          </w:p>
        </w:tc>
        <w:tc>
          <w:tcPr>
            <w:tcW w:type="dxa" w:w="1728"/>
          </w:tcPr>
          <w:p>
            <w:r>
              <w:rPr>
                <w:b/>
                <w:sz w:val="18"/>
              </w:rPr>
              <w:t>FY2024 ($m)</w:t>
            </w:r>
          </w:p>
        </w:tc>
        <w:tc>
          <w:tcPr>
            <w:tcW w:type="dxa" w:w="3168"/>
          </w:tcPr>
          <w:p>
            <w:r>
              <w:rPr>
                <w:b/>
                <w:sz w:val="18"/>
              </w:rPr>
              <w:t>Change</w:t>
            </w:r>
          </w:p>
        </w:tc>
      </w:tr>
      <w:tr>
        <w:tc>
          <w:tcPr>
            <w:tcW w:type="dxa" w:w="3168"/>
          </w:tcPr>
          <w:p/>
        </w:tc>
        <w:tc>
          <w:tcPr>
            <w:tcW w:type="dxa" w:w="1728"/>
          </w:tcPr>
          <w:p/>
        </w:tc>
        <w:tc>
          <w:tcPr>
            <w:tcW w:type="dxa" w:w="1728"/>
          </w:tcPr>
          <w:p/>
        </w:tc>
        <w:tc>
          <w:tcPr>
            <w:tcW w:type="dxa" w:w="3168"/>
          </w:tcPr>
          <w:p/>
        </w:tc>
      </w:tr>
      <w:tr>
        <w:tc>
          <w:tcPr>
            <w:tcW w:type="dxa" w:w="3168"/>
          </w:tcPr>
          <w:p/>
        </w:tc>
        <w:tc>
          <w:tcPr>
            <w:tcW w:type="dxa" w:w="1728"/>
          </w:tcPr>
          <w:p/>
        </w:tc>
        <w:tc>
          <w:tcPr>
            <w:tcW w:type="dxa" w:w="1728"/>
          </w:tcPr>
          <w:p/>
        </w:tc>
        <w:tc>
          <w:tcPr>
            <w:tcW w:type="dxa" w:w="3168"/>
          </w:tcPr>
          <w:p/>
        </w:tc>
      </w:tr>
      <w:tr>
        <w:tc>
          <w:tcPr>
            <w:tcW w:type="dxa" w:w="3168"/>
          </w:tcPr>
          <w:p/>
        </w:tc>
        <w:tc>
          <w:tcPr>
            <w:tcW w:type="dxa" w:w="1728"/>
          </w:tcPr>
          <w:p/>
        </w:tc>
        <w:tc>
          <w:tcPr>
            <w:tcW w:type="dxa" w:w="1728"/>
          </w:tcPr>
          <w:p/>
        </w:tc>
        <w:tc>
          <w:tcPr>
            <w:tcW w:type="dxa" w:w="3168"/>
          </w:tcPr>
          <w:p/>
        </w:tc>
      </w:tr>
      <w:tr>
        <w:tc>
          <w:tcPr>
            <w:tcW w:type="dxa" w:w="3168"/>
          </w:tcPr>
          <w:p/>
        </w:tc>
        <w:tc>
          <w:tcPr>
            <w:tcW w:type="dxa" w:w="1728"/>
          </w:tcPr>
          <w:p/>
        </w:tc>
        <w:tc>
          <w:tcPr>
            <w:tcW w:type="dxa" w:w="1728"/>
          </w:tcPr>
          <w:p/>
        </w:tc>
        <w:tc>
          <w:tcPr>
            <w:tcW w:type="dxa" w:w="3168"/>
          </w:tcPr>
          <w:p/>
        </w:tc>
      </w:tr>
      <w:tr>
        <w:tc>
          <w:tcPr>
            <w:tcW w:type="dxa" w:w="3168"/>
          </w:tcPr>
          <w:p/>
        </w:tc>
        <w:tc>
          <w:tcPr>
            <w:tcW w:type="dxa" w:w="1728"/>
          </w:tcPr>
          <w:p/>
        </w:tc>
        <w:tc>
          <w:tcPr>
            <w:tcW w:type="dxa" w:w="1728"/>
          </w:tcPr>
          <w:p/>
        </w:tc>
        <w:tc>
          <w:tcPr>
            <w:tcW w:type="dxa" w:w="3168"/>
          </w:tcPr>
          <w:p/>
        </w:tc>
      </w:tr>
      <w:tr>
        <w:tc>
          <w:tcPr>
            <w:tcW w:type="dxa" w:w="3168"/>
          </w:tcPr>
          <w:p/>
        </w:tc>
        <w:tc>
          <w:tcPr>
            <w:tcW w:type="dxa" w:w="1728"/>
          </w:tcPr>
          <w:p/>
        </w:tc>
        <w:tc>
          <w:tcPr>
            <w:tcW w:type="dxa" w:w="1728"/>
          </w:tcPr>
          <w:p/>
        </w:tc>
        <w:tc>
          <w:tcPr>
            <w:tcW w:type="dxa" w:w="3168"/>
          </w:tcPr>
          <w:p/>
        </w:tc>
      </w:tr>
      <w:tr>
        <w:tc>
          <w:tcPr>
            <w:tcW w:type="dxa" w:w="3168"/>
          </w:tcPr>
          <w:p>
            <w:r>
              <w:rPr>
                <w:sz w:val="18"/>
              </w:rPr>
              <w:t>Land</w:t>
            </w:r>
          </w:p>
        </w:tc>
        <w:tc>
          <w:tcPr>
            <w:tcW w:type="dxa" w:w="1728"/>
          </w:tcPr>
          <w:p>
            <w:r>
              <w:rPr>
                <w:sz w:val="18"/>
              </w:rPr>
              <w:t>273</w:t>
            </w:r>
          </w:p>
        </w:tc>
        <w:tc>
          <w:tcPr>
            <w:tcW w:type="dxa" w:w="1728"/>
          </w:tcPr>
          <w:p>
            <w:r>
              <w:rPr>
                <w:sz w:val="18"/>
              </w:rPr>
              <w:t>329</w:t>
            </w:r>
          </w:p>
        </w:tc>
        <w:tc>
          <w:tcPr>
            <w:tcW w:type="dxa" w:w="3168"/>
          </w:tcPr>
          <w:p>
            <w:r>
              <w:rPr>
                <w:sz w:val="18"/>
              </w:rPr>
              <w:t>+20% over 9 years</w:t>
            </w:r>
          </w:p>
        </w:tc>
      </w:tr>
      <w:tr>
        <w:tc>
          <w:tcPr>
            <w:tcW w:type="dxa" w:w="3168"/>
          </w:tcPr>
          <w:p>
            <w:r>
              <w:rPr>
                <w:sz w:val="18"/>
              </w:rPr>
              <w:t>Buildings</w:t>
            </w:r>
          </w:p>
        </w:tc>
        <w:tc>
          <w:tcPr>
            <w:tcW w:type="dxa" w:w="1728"/>
          </w:tcPr>
          <w:p>
            <w:r>
              <w:rPr>
                <w:sz w:val="18"/>
              </w:rPr>
              <w:t>1,250</w:t>
            </w:r>
          </w:p>
        </w:tc>
        <w:tc>
          <w:tcPr>
            <w:tcW w:type="dxa" w:w="1728"/>
          </w:tcPr>
          <w:p>
            <w:r>
              <w:rPr>
                <w:sz w:val="18"/>
              </w:rPr>
              <w:t>3,439</w:t>
            </w:r>
          </w:p>
        </w:tc>
        <w:tc>
          <w:tcPr>
            <w:tcW w:type="dxa" w:w="3168"/>
          </w:tcPr>
          <w:p>
            <w:r>
              <w:rPr>
                <w:sz w:val="18"/>
              </w:rPr>
              <w:t>+175%; major expansion of owned facilities</w:t>
            </w:r>
          </w:p>
        </w:tc>
      </w:tr>
      <w:tr>
        <w:tc>
          <w:tcPr>
            <w:tcW w:type="dxa" w:w="3168"/>
          </w:tcPr>
          <w:p>
            <w:r>
              <w:rPr>
                <w:sz w:val="18"/>
              </w:rPr>
              <w:t>Machinery / Equipment</w:t>
            </w:r>
          </w:p>
        </w:tc>
        <w:tc>
          <w:tcPr>
            <w:tcW w:type="dxa" w:w="1728"/>
          </w:tcPr>
          <w:p>
            <w:r>
              <w:rPr>
                <w:sz w:val="18"/>
              </w:rPr>
              <w:t>3,329</w:t>
            </w:r>
          </w:p>
        </w:tc>
        <w:tc>
          <w:tcPr>
            <w:tcW w:type="dxa" w:w="1728"/>
          </w:tcPr>
          <w:p>
            <w:r>
              <w:rPr>
                <w:sz w:val="18"/>
              </w:rPr>
              <w:t>3,123</w:t>
            </w:r>
          </w:p>
        </w:tc>
        <w:tc>
          <w:tcPr>
            <w:tcW w:type="dxa" w:w="3168"/>
          </w:tcPr>
          <w:p>
            <w:r>
              <w:rPr>
                <w:sz w:val="18"/>
              </w:rPr>
              <w:t>-6%; mature asset base</w:t>
            </w:r>
          </w:p>
        </w:tc>
      </w:tr>
      <w:tr>
        <w:tc>
          <w:tcPr>
            <w:tcW w:type="dxa" w:w="3168"/>
          </w:tcPr>
          <w:p>
            <w:r>
              <w:rPr>
                <w:sz w:val="18"/>
              </w:rPr>
              <w:t>Construction in Progress (CIP)</w:t>
            </w:r>
          </w:p>
        </w:tc>
        <w:tc>
          <w:tcPr>
            <w:tcW w:type="dxa" w:w="1728"/>
          </w:tcPr>
          <w:p>
            <w:r>
              <w:rPr>
                <w:sz w:val="18"/>
              </w:rPr>
              <w:t>350</w:t>
            </w:r>
          </w:p>
        </w:tc>
        <w:tc>
          <w:tcPr>
            <w:tcW w:type="dxa" w:w="1728"/>
          </w:tcPr>
          <w:p>
            <w:r>
              <w:rPr>
                <w:sz w:val="18"/>
              </w:rPr>
              <w:t>193</w:t>
            </w:r>
          </w:p>
        </w:tc>
        <w:tc>
          <w:tcPr>
            <w:tcW w:type="dxa" w:w="3168"/>
          </w:tcPr>
          <w:p>
            <w:r>
              <w:rPr>
                <w:sz w:val="18"/>
              </w:rPr>
              <w:t>-45%; projects completed; $525m in FY2023 came online</w:t>
            </w:r>
          </w:p>
        </w:tc>
      </w:tr>
      <w:tr>
        <w:tc>
          <w:tcPr>
            <w:tcW w:type="dxa" w:w="3168"/>
          </w:tcPr>
          <w:p>
            <w:r>
              <w:rPr>
                <w:sz w:val="18"/>
              </w:rPr>
              <w:t>Leasehold Improvements</w:t>
            </w:r>
          </w:p>
        </w:tc>
        <w:tc>
          <w:tcPr>
            <w:tcW w:type="dxa" w:w="1728"/>
          </w:tcPr>
          <w:p>
            <w:r>
              <w:rPr>
                <w:sz w:val="18"/>
              </w:rPr>
              <w:t>1,150</w:t>
            </w:r>
          </w:p>
        </w:tc>
        <w:tc>
          <w:tcPr>
            <w:tcW w:type="dxa" w:w="1728"/>
          </w:tcPr>
          <w:p>
            <w:r>
              <w:rPr>
                <w:sz w:val="18"/>
              </w:rPr>
              <w:t>2,023</w:t>
            </w:r>
          </w:p>
        </w:tc>
        <w:tc>
          <w:tcPr>
            <w:tcW w:type="dxa" w:w="3168"/>
          </w:tcPr>
          <w:p>
            <w:r>
              <w:rPr>
                <w:sz w:val="18"/>
              </w:rPr>
              <w:t>+76%; store/office buildouts</w:t>
            </w:r>
          </w:p>
        </w:tc>
      </w:tr>
      <w:tr>
        <w:tc>
          <w:tcPr>
            <w:tcW w:type="dxa" w:w="3168"/>
          </w:tcPr>
          <w:p>
            <w:r>
              <w:rPr>
                <w:sz w:val="18"/>
              </w:rPr>
              <w:t>Total Gross PP&amp;E</w:t>
            </w:r>
          </w:p>
        </w:tc>
        <w:tc>
          <w:tcPr>
            <w:tcW w:type="dxa" w:w="1728"/>
          </w:tcPr>
          <w:p>
            <w:r>
              <w:rPr>
                <w:sz w:val="18"/>
              </w:rPr>
              <w:t>6,352</w:t>
            </w:r>
          </w:p>
        </w:tc>
        <w:tc>
          <w:tcPr>
            <w:tcW w:type="dxa" w:w="1728"/>
          </w:tcPr>
          <w:p>
            <w:r>
              <w:rPr>
                <w:sz w:val="18"/>
              </w:rPr>
              <w:t>13,632</w:t>
            </w:r>
          </w:p>
        </w:tc>
        <w:tc>
          <w:tcPr>
            <w:tcW w:type="dxa" w:w="3168"/>
          </w:tcPr>
          <w:p>
            <w:r>
              <w:rPr>
                <w:sz w:val="18"/>
              </w:rPr>
              <w:t>+115%; total doubling</w:t>
            </w:r>
          </w:p>
        </w:tc>
      </w:tr>
    </w:tbl>
    <w:p/>
    <w:p>
      <w:r>
        <w:rPr>
          <w:b w:val="0"/>
          <w:i w:val="0"/>
          <w:sz w:val="20"/>
        </w:rPr>
        <w:t>CIP dropped from $525m (FY2023) to $193m (FY2024), indicating major capital projects came online in FY2024 — likely the new technology and distribution infrastructure NIKE has been building. Buildings more than doubled, reflecting NIKE's investment in owned supply-chain assets (distribution centres) post-COVID to reduce dependence on third-party logistics.</w:t>
      </w:r>
    </w:p>
    <w:p>
      <w:pPr>
        <w:pStyle w:val="Heading3"/>
      </w:pPr>
      <w:r>
        <w:t>4.2.3  Goodwill (Row 514)</w:t>
      </w:r>
    </w:p>
    <w:p>
      <w:r>
        <w:rPr>
          <w:b w:val="0"/>
          <w:i w:val="0"/>
          <w:sz w:val="20"/>
        </w:rPr>
        <w:t>Goodwill = $240m FY2024, down from $284m FY2022 peak. Forecast: frozen at K514 = $240m throughout (L514: =K514, M514: =L514, etc.). No acquisitions assumed. NIKE's goodwill is small relative to its size, reflecting a history of brand-building rather than acquisitive growth.</w:t>
      </w:r>
    </w:p>
    <w:p>
      <w:pPr>
        <w:pStyle w:val="Heading3"/>
      </w:pPr>
      <w:r>
        <w:t>4.2.4  Other Long-term Assets (Row 517)</w:t>
      </w:r>
    </w:p>
    <w:p>
      <w:r>
        <w:rPr>
          <w:b w:val="0"/>
          <w:i w:val="0"/>
          <w:sz w:val="20"/>
        </w:rPr>
        <w:t>Row 517 = $2,046m FY2024 (up from $525m FY2015). This is revenue-scaled in the forecast. It captures right-of-use assets from operating leases (post-ASC 842), long-term derivatives, and equity investments. The tripling since FY2015 is almost entirely explained by ASC 842 adoption in FY2020 when NIKE's operating lease ROU asset ($2,913m) was added to the balance sheet.</w:t>
      </w:r>
    </w:p>
    <w:p>
      <w:pPr>
        <w:pStyle w:val="Heading3"/>
      </w:pPr>
      <w:r>
        <w:t>4.2.5  Deferred Tax Assets Long-term (Row 516)</w:t>
      </w:r>
    </w:p>
    <w:p>
      <w:r>
        <w:rPr>
          <w:b w:val="0"/>
          <w:i w:val="0"/>
          <w:sz w:val="20"/>
        </w:rPr>
        <w:t>Row 516 DTA = $2,465m FY2024. Forecast: FROZEN at FY2024 value (=K516 for all periods). The analyst treats deferred taxes as static — a reasonable simplification since DTA/DTL movements are hard to forecast and often offsetting. DTA jumped from $663m (FY2019) to $1,963m (FY2020) due to accelerated depreciation deductions and COVID-era loss carrybacks.</w:t>
      </w:r>
    </w:p>
    <w:p>
      <w:pPr>
        <w:pStyle w:val="Heading2"/>
      </w:pPr>
      <w:r>
        <w:t>4.3  Current Liabilities</w:t>
      </w:r>
    </w:p>
    <w:tbl>
      <w:tblPr>
        <w:tblStyle w:val="LightList-Accent1"/>
        <w:tblW w:type="auto" w:w="0"/>
        <w:tblLook w:firstColumn="1" w:firstRow="1" w:lastColumn="0" w:lastRow="0" w:noHBand="0" w:noVBand="1" w:val="04A0"/>
      </w:tblPr>
      <w:tblGrid>
        <w:gridCol w:w="2160"/>
        <w:gridCol w:w="2160"/>
        <w:gridCol w:w="2160"/>
        <w:gridCol w:w="2160"/>
      </w:tblGrid>
      <w:tr>
        <w:tc>
          <w:tcPr>
            <w:tcW w:type="dxa" w:w="720"/>
          </w:tcPr>
          <w:p>
            <w:r>
              <w:rPr>
                <w:b/>
                <w:sz w:val="18"/>
              </w:rPr>
              <w:t>Row</w:t>
            </w:r>
          </w:p>
        </w:tc>
        <w:tc>
          <w:tcPr>
            <w:tcW w:type="dxa" w:w="2880"/>
          </w:tcPr>
          <w:p>
            <w:r>
              <w:rPr>
                <w:b/>
                <w:sz w:val="18"/>
              </w:rPr>
              <w:t>Item</w:t>
            </w:r>
          </w:p>
        </w:tc>
        <w:tc>
          <w:tcPr>
            <w:tcW w:type="dxa" w:w="1728"/>
          </w:tcPr>
          <w:p>
            <w:r>
              <w:rPr>
                <w:b/>
                <w:sz w:val="18"/>
              </w:rPr>
              <w:t>FY2024 ($m)</w:t>
            </w:r>
          </w:p>
        </w:tc>
        <w:tc>
          <w:tcPr>
            <w:tcW w:type="dxa" w:w="3600"/>
          </w:tcPr>
          <w:p>
            <w:r>
              <w:rPr>
                <w:b/>
                <w:sz w:val="18"/>
              </w:rPr>
              <w:t>Forecast Method</w:t>
            </w:r>
          </w:p>
        </w:tc>
      </w:tr>
      <w:tr>
        <w:tc>
          <w:tcPr>
            <w:tcW w:type="dxa" w:w="720"/>
          </w:tcPr>
          <w:p/>
        </w:tc>
        <w:tc>
          <w:tcPr>
            <w:tcW w:type="dxa" w:w="2880"/>
          </w:tcPr>
          <w:p/>
        </w:tc>
        <w:tc>
          <w:tcPr>
            <w:tcW w:type="dxa" w:w="1728"/>
          </w:tcPr>
          <w:p/>
        </w:tc>
        <w:tc>
          <w:tcPr>
            <w:tcW w:type="dxa" w:w="3600"/>
          </w:tcPr>
          <w:p/>
        </w:tc>
      </w:tr>
      <w:tr>
        <w:tc>
          <w:tcPr>
            <w:tcW w:type="dxa" w:w="720"/>
          </w:tcPr>
          <w:p/>
        </w:tc>
        <w:tc>
          <w:tcPr>
            <w:tcW w:type="dxa" w:w="2880"/>
          </w:tcPr>
          <w:p/>
        </w:tc>
        <w:tc>
          <w:tcPr>
            <w:tcW w:type="dxa" w:w="1728"/>
          </w:tcPr>
          <w:p/>
        </w:tc>
        <w:tc>
          <w:tcPr>
            <w:tcW w:type="dxa" w:w="3600"/>
          </w:tcPr>
          <w:p/>
        </w:tc>
      </w:tr>
      <w:tr>
        <w:tc>
          <w:tcPr>
            <w:tcW w:type="dxa" w:w="720"/>
          </w:tcPr>
          <w:p/>
        </w:tc>
        <w:tc>
          <w:tcPr>
            <w:tcW w:type="dxa" w:w="2880"/>
          </w:tcPr>
          <w:p/>
        </w:tc>
        <w:tc>
          <w:tcPr>
            <w:tcW w:type="dxa" w:w="1728"/>
          </w:tcPr>
          <w:p/>
        </w:tc>
        <w:tc>
          <w:tcPr>
            <w:tcW w:type="dxa" w:w="3600"/>
          </w:tcPr>
          <w:p/>
        </w:tc>
      </w:tr>
      <w:tr>
        <w:tc>
          <w:tcPr>
            <w:tcW w:type="dxa" w:w="720"/>
          </w:tcPr>
          <w:p/>
        </w:tc>
        <w:tc>
          <w:tcPr>
            <w:tcW w:type="dxa" w:w="2880"/>
          </w:tcPr>
          <w:p/>
        </w:tc>
        <w:tc>
          <w:tcPr>
            <w:tcW w:type="dxa" w:w="1728"/>
          </w:tcPr>
          <w:p/>
        </w:tc>
        <w:tc>
          <w:tcPr>
            <w:tcW w:type="dxa" w:w="3600"/>
          </w:tcPr>
          <w:p/>
        </w:tc>
      </w:tr>
      <w:tr>
        <w:tc>
          <w:tcPr>
            <w:tcW w:type="dxa" w:w="720"/>
          </w:tcPr>
          <w:p/>
        </w:tc>
        <w:tc>
          <w:tcPr>
            <w:tcW w:type="dxa" w:w="2880"/>
          </w:tcPr>
          <w:p/>
        </w:tc>
        <w:tc>
          <w:tcPr>
            <w:tcW w:type="dxa" w:w="1728"/>
          </w:tcPr>
          <w:p/>
        </w:tc>
        <w:tc>
          <w:tcPr>
            <w:tcW w:type="dxa" w:w="3600"/>
          </w:tcPr>
          <w:p/>
        </w:tc>
      </w:tr>
      <w:tr>
        <w:tc>
          <w:tcPr>
            <w:tcW w:type="dxa" w:w="720"/>
          </w:tcPr>
          <w:p/>
        </w:tc>
        <w:tc>
          <w:tcPr>
            <w:tcW w:type="dxa" w:w="2880"/>
          </w:tcPr>
          <w:p/>
        </w:tc>
        <w:tc>
          <w:tcPr>
            <w:tcW w:type="dxa" w:w="1728"/>
          </w:tcPr>
          <w:p/>
        </w:tc>
        <w:tc>
          <w:tcPr>
            <w:tcW w:type="dxa" w:w="3600"/>
          </w:tcPr>
          <w:p/>
        </w:tc>
      </w:tr>
      <w:tr>
        <w:tc>
          <w:tcPr>
            <w:tcW w:type="dxa" w:w="720"/>
          </w:tcPr>
          <w:p/>
        </w:tc>
        <w:tc>
          <w:tcPr>
            <w:tcW w:type="dxa" w:w="2880"/>
          </w:tcPr>
          <w:p/>
        </w:tc>
        <w:tc>
          <w:tcPr>
            <w:tcW w:type="dxa" w:w="1728"/>
          </w:tcPr>
          <w:p/>
        </w:tc>
        <w:tc>
          <w:tcPr>
            <w:tcW w:type="dxa" w:w="3600"/>
          </w:tcPr>
          <w:p/>
        </w:tc>
      </w:tr>
      <w:tr>
        <w:tc>
          <w:tcPr>
            <w:tcW w:type="dxa" w:w="720"/>
          </w:tcPr>
          <w:p/>
        </w:tc>
        <w:tc>
          <w:tcPr>
            <w:tcW w:type="dxa" w:w="2880"/>
          </w:tcPr>
          <w:p/>
        </w:tc>
        <w:tc>
          <w:tcPr>
            <w:tcW w:type="dxa" w:w="1728"/>
          </w:tcPr>
          <w:p/>
        </w:tc>
        <w:tc>
          <w:tcPr>
            <w:tcW w:type="dxa" w:w="3600"/>
          </w:tcPr>
          <w:p/>
        </w:tc>
      </w:tr>
      <w:tr>
        <w:tc>
          <w:tcPr>
            <w:tcW w:type="dxa" w:w="720"/>
          </w:tcPr>
          <w:p>
            <w:r>
              <w:rPr>
                <w:sz w:val="18"/>
              </w:rPr>
              <w:t>520</w:t>
            </w:r>
          </w:p>
        </w:tc>
        <w:tc>
          <w:tcPr>
            <w:tcW w:type="dxa" w:w="2880"/>
          </w:tcPr>
          <w:p>
            <w:r>
              <w:rPr>
                <w:sz w:val="18"/>
              </w:rPr>
              <w:t>Accounts payable</w:t>
            </w:r>
          </w:p>
        </w:tc>
        <w:tc>
          <w:tcPr>
            <w:tcW w:type="dxa" w:w="1728"/>
          </w:tcPr>
          <w:p>
            <w:r>
              <w:rPr>
                <w:sz w:val="18"/>
              </w:rPr>
              <w:t>2,851</w:t>
            </w:r>
          </w:p>
        </w:tc>
        <w:tc>
          <w:tcPr>
            <w:tcW w:type="dxa" w:w="3600"/>
          </w:tcPr>
          <w:p>
            <w:r>
              <w:rPr>
                <w:sz w:val="18"/>
              </w:rPr>
              <w:t>Revenue-scaled</w:t>
            </w:r>
          </w:p>
        </w:tc>
      </w:tr>
      <w:tr>
        <w:tc>
          <w:tcPr>
            <w:tcW w:type="dxa" w:w="720"/>
          </w:tcPr>
          <w:p>
            <w:r>
              <w:rPr>
                <w:sz w:val="18"/>
              </w:rPr>
              <w:t>521</w:t>
            </w:r>
          </w:p>
        </w:tc>
        <w:tc>
          <w:tcPr>
            <w:tcW w:type="dxa" w:w="2880"/>
          </w:tcPr>
          <w:p>
            <w:r>
              <w:rPr>
                <w:sz w:val="18"/>
              </w:rPr>
              <w:t>Accrued expenses</w:t>
            </w:r>
          </w:p>
        </w:tc>
        <w:tc>
          <w:tcPr>
            <w:tcW w:type="dxa" w:w="1728"/>
          </w:tcPr>
          <w:p>
            <w:r>
              <w:rPr>
                <w:sz w:val="18"/>
              </w:rPr>
              <w:t>3,880</w:t>
            </w:r>
          </w:p>
        </w:tc>
        <w:tc>
          <w:tcPr>
            <w:tcW w:type="dxa" w:w="3600"/>
          </w:tcPr>
          <w:p>
            <w:r>
              <w:rPr>
                <w:sz w:val="18"/>
              </w:rPr>
              <w:t>Revenue-scaled</w:t>
            </w:r>
          </w:p>
        </w:tc>
      </w:tr>
      <w:tr>
        <w:tc>
          <w:tcPr>
            <w:tcW w:type="dxa" w:w="720"/>
          </w:tcPr>
          <w:p>
            <w:r>
              <w:rPr>
                <w:sz w:val="18"/>
              </w:rPr>
              <w:t>522</w:t>
            </w:r>
          </w:p>
        </w:tc>
        <w:tc>
          <w:tcPr>
            <w:tcW w:type="dxa" w:w="2880"/>
          </w:tcPr>
          <w:p>
            <w:r>
              <w:rPr>
                <w:sz w:val="18"/>
              </w:rPr>
              <w:t>Short-term borrowings</w:t>
            </w:r>
          </w:p>
        </w:tc>
        <w:tc>
          <w:tcPr>
            <w:tcW w:type="dxa" w:w="1728"/>
          </w:tcPr>
          <w:p>
            <w:r>
              <w:rPr>
                <w:sz w:val="18"/>
              </w:rPr>
              <w:t>6</w:t>
            </w:r>
          </w:p>
        </w:tc>
        <w:tc>
          <w:tcPr>
            <w:tcW w:type="dxa" w:w="3600"/>
          </w:tcPr>
          <w:p>
            <w:r>
              <w:rPr>
                <w:sz w:val="18"/>
              </w:rPr>
              <w:t>FROZEN at $6m (=K522)</w:t>
            </w:r>
          </w:p>
        </w:tc>
      </w:tr>
      <w:tr>
        <w:tc>
          <w:tcPr>
            <w:tcW w:type="dxa" w:w="720"/>
          </w:tcPr>
          <w:p>
            <w:r>
              <w:rPr>
                <w:sz w:val="18"/>
              </w:rPr>
              <w:t>523</w:t>
            </w:r>
          </w:p>
        </w:tc>
        <w:tc>
          <w:tcPr>
            <w:tcW w:type="dxa" w:w="2880"/>
          </w:tcPr>
          <w:p>
            <w:r>
              <w:rPr>
                <w:sz w:val="18"/>
              </w:rPr>
              <w:t>Current portion of long-term debt</w:t>
            </w:r>
          </w:p>
        </w:tc>
        <w:tc>
          <w:tcPr>
            <w:tcW w:type="dxa" w:w="1728"/>
          </w:tcPr>
          <w:p>
            <w:r>
              <w:rPr>
                <w:sz w:val="18"/>
              </w:rPr>
              <w:t>1,000</w:t>
            </w:r>
          </w:p>
        </w:tc>
        <w:tc>
          <w:tcPr>
            <w:tcW w:type="dxa" w:w="3600"/>
          </w:tcPr>
          <w:p>
            <w:r>
              <w:rPr>
                <w:sz w:val="18"/>
              </w:rPr>
              <w:t>FROZEN at FY2024 value ($1,000m = 2025 maturity)</w:t>
            </w:r>
          </w:p>
        </w:tc>
      </w:tr>
      <w:tr>
        <w:tc>
          <w:tcPr>
            <w:tcW w:type="dxa" w:w="720"/>
          </w:tcPr>
          <w:p>
            <w:r>
              <w:rPr>
                <w:sz w:val="18"/>
              </w:rPr>
              <w:t>524</w:t>
            </w:r>
          </w:p>
        </w:tc>
        <w:tc>
          <w:tcPr>
            <w:tcW w:type="dxa" w:w="2880"/>
          </w:tcPr>
          <w:p>
            <w:r>
              <w:rPr>
                <w:sz w:val="18"/>
              </w:rPr>
              <w:t>Current portion of leases</w:t>
            </w:r>
          </w:p>
        </w:tc>
        <w:tc>
          <w:tcPr>
            <w:tcW w:type="dxa" w:w="1728"/>
          </w:tcPr>
          <w:p>
            <w:r>
              <w:rPr>
                <w:sz w:val="18"/>
              </w:rPr>
              <w:t>477</w:t>
            </w:r>
          </w:p>
        </w:tc>
        <w:tc>
          <w:tcPr>
            <w:tcW w:type="dxa" w:w="3600"/>
          </w:tcPr>
          <w:p>
            <w:r>
              <w:rPr>
                <w:sz w:val="18"/>
              </w:rPr>
              <w:t>Revenue-scaled</w:t>
            </w:r>
          </w:p>
        </w:tc>
      </w:tr>
      <w:tr>
        <w:tc>
          <w:tcPr>
            <w:tcW w:type="dxa" w:w="720"/>
          </w:tcPr>
          <w:p>
            <w:r>
              <w:rPr>
                <w:sz w:val="18"/>
              </w:rPr>
              <w:t>525</w:t>
            </w:r>
          </w:p>
        </w:tc>
        <w:tc>
          <w:tcPr>
            <w:tcW w:type="dxa" w:w="2880"/>
          </w:tcPr>
          <w:p>
            <w:r>
              <w:rPr>
                <w:sz w:val="18"/>
              </w:rPr>
              <w:t>Income taxes payable</w:t>
            </w:r>
          </w:p>
        </w:tc>
        <w:tc>
          <w:tcPr>
            <w:tcW w:type="dxa" w:w="1728"/>
          </w:tcPr>
          <w:p>
            <w:r>
              <w:rPr>
                <w:sz w:val="18"/>
              </w:rPr>
              <w:t>534</w:t>
            </w:r>
          </w:p>
        </w:tc>
        <w:tc>
          <w:tcPr>
            <w:tcW w:type="dxa" w:w="3600"/>
          </w:tcPr>
          <w:p>
            <w:r>
              <w:rPr>
                <w:sz w:val="18"/>
              </w:rPr>
              <w:t>Revenue-scaled</w:t>
            </w:r>
          </w:p>
        </w:tc>
      </w:tr>
      <w:tr>
        <w:tc>
          <w:tcPr>
            <w:tcW w:type="dxa" w:w="720"/>
          </w:tcPr>
          <w:p>
            <w:r>
              <w:rPr>
                <w:sz w:val="18"/>
              </w:rPr>
              <w:t>526</w:t>
            </w:r>
          </w:p>
        </w:tc>
        <w:tc>
          <w:tcPr>
            <w:tcW w:type="dxa" w:w="2880"/>
          </w:tcPr>
          <w:p>
            <w:r>
              <w:rPr>
                <w:sz w:val="18"/>
              </w:rPr>
              <w:t>Other current liabilities</w:t>
            </w:r>
          </w:p>
        </w:tc>
        <w:tc>
          <w:tcPr>
            <w:tcW w:type="dxa" w:w="1728"/>
          </w:tcPr>
          <w:p>
            <w:r>
              <w:rPr>
                <w:sz w:val="18"/>
              </w:rPr>
              <w:t>1,845</w:t>
            </w:r>
          </w:p>
        </w:tc>
        <w:tc>
          <w:tcPr>
            <w:tcW w:type="dxa" w:w="3600"/>
          </w:tcPr>
          <w:p>
            <w:r>
              <w:rPr>
                <w:sz w:val="18"/>
              </w:rPr>
              <w:t>Revenue-scaled</w:t>
            </w:r>
          </w:p>
        </w:tc>
      </w:tr>
      <w:tr>
        <w:tc>
          <w:tcPr>
            <w:tcW w:type="dxa" w:w="720"/>
          </w:tcPr>
          <w:p>
            <w:r>
              <w:rPr>
                <w:sz w:val="18"/>
              </w:rPr>
              <w:t>527</w:t>
            </w:r>
          </w:p>
        </w:tc>
        <w:tc>
          <w:tcPr>
            <w:tcW w:type="dxa" w:w="2880"/>
          </w:tcPr>
          <w:p>
            <w:r>
              <w:rPr>
                <w:sz w:val="18"/>
              </w:rPr>
              <w:t>Total current liabilities</w:t>
            </w:r>
          </w:p>
        </w:tc>
        <w:tc>
          <w:tcPr>
            <w:tcW w:type="dxa" w:w="1728"/>
          </w:tcPr>
          <w:p>
            <w:r>
              <w:rPr>
                <w:sz w:val="18"/>
              </w:rPr>
              <w:t>10,593</w:t>
            </w:r>
          </w:p>
        </w:tc>
        <w:tc>
          <w:tcPr>
            <w:tcW w:type="dxa" w:w="3600"/>
          </w:tcPr>
          <w:p>
            <w:r>
              <w:rPr>
                <w:sz w:val="18"/>
              </w:rPr>
              <w:t>Sum</w:t>
            </w:r>
          </w:p>
        </w:tc>
      </w:tr>
    </w:tbl>
    <w:p/>
    <w:p>
      <w:pPr>
        <w:ind w:left="432"/>
      </w:pPr>
      <w:r>
        <w:rPr>
          <w:b/>
          <w:color w:val="C0390B"/>
          <w:sz w:val="18"/>
        </w:rPr>
        <w:t>[QUIRK]  The current portion of LT debt (row 523) is frozen at $1,000m for all forecast years. In reality this represents the FY2024 maturity of NIKE's 2023 bond. After FY2025 payment, this should theoretically reflect the next tranche of maturities, not a static $1bn. This is a known simplification.</w:t>
      </w:r>
    </w:p>
    <w:p>
      <w:pPr>
        <w:pStyle w:val="Heading2"/>
      </w:pPr>
      <w:r>
        <w:t>4.4  Long-term Debt — Derivation (Row 528)</w:t>
      </w:r>
    </w:p>
    <w:p>
      <w:r>
        <w:rPr>
          <w:b w:val="0"/>
          <w:i w:val="0"/>
          <w:sz w:val="20"/>
        </w:rPr>
        <w:t>Long-term debt in the forecast is derived from the D/TA ratio driver (row 323):</w:t>
      </w:r>
    </w:p>
    <w:p>
      <w:r>
        <w:rPr>
          <w:b/>
          <w:i w:val="0"/>
          <w:sz w:val="20"/>
        </w:rPr>
        <w:t xml:space="preserve">    L528: =K518 × K323  (FY2025 debt = FY2024 total assets × FY2024 D/TA ratio)</w:t>
      </w:r>
    </w:p>
    <w:p>
      <w:r>
        <w:rPr>
          <w:b/>
          <w:i w:val="0"/>
          <w:sz w:val="20"/>
        </w:rPr>
        <w:t xml:space="preserve">    M528: =L518 × L323  (FY2026 debt = FY2025 total assets × FY2025 D/TA ratio)</w:t>
      </w:r>
    </w:p>
    <w:p>
      <w:pPr>
        <w:ind w:left="432"/>
      </w:pPr>
      <w:r>
        <w:rPr>
          <w:b/>
          <w:color w:val="C0390B"/>
          <w:sz w:val="18"/>
        </w:rPr>
        <w:t>[BUG]  [BUG] L528 uses K518 (FY2024 total assets) rather than L518 (FY2025 total assets). This means FY2025 long-term debt is based on PRIOR year assets × CURRENT D/TA ratio, while all subsequent years (M528 through R528) use current-year assets. This creates a one-year lag for FY2025 only. The numerical impact is small if total assets don't change dramatically between FY2024 and FY2025.</w:t>
      </w:r>
    </w:p>
    <w:p>
      <w:r>
        <w:rPr>
          <w:b w:val="0"/>
          <w:i w:val="0"/>
          <w:sz w:val="20"/>
        </w:rPr>
        <w:t>Long-term debt history: $1,079m (FY2015) → $9,406m (FY2020) → $7,934m (FY2024). NIKE issued $6,134m of LT debt in FY2020 to build a COVID liquidity buffer. The company has been systematically reducing debt since FY2021. S528 is annotated 'IBD' marking this as an interest-bearing debt row.</w:t>
      </w:r>
    </w:p>
    <w:p>
      <w:pPr>
        <w:pStyle w:val="Heading3"/>
      </w:pPr>
      <w:r>
        <w:t>4.4.1  IBD Classification</w:t>
      </w:r>
    </w:p>
    <w:p>
      <w:r>
        <w:rPr>
          <w:b w:val="0"/>
          <w:i w:val="0"/>
          <w:sz w:val="20"/>
        </w:rPr>
        <w:t>The following rows are annotated 'IBD' (Interest-Bearing Debt) in column S:</w:t>
      </w:r>
    </w:p>
    <w:tbl>
      <w:tblPr>
        <w:tblStyle w:val="LightList-Accent1"/>
        <w:tblW w:type="auto" w:w="0"/>
        <w:tblLook w:firstColumn="1" w:firstRow="1" w:lastColumn="0" w:lastRow="0" w:noHBand="0" w:noVBand="1" w:val="04A0"/>
      </w:tblPr>
      <w:tblGrid>
        <w:gridCol w:w="2880"/>
        <w:gridCol w:w="2880"/>
        <w:gridCol w:w="2880"/>
      </w:tblGrid>
      <w:tr>
        <w:tc>
          <w:tcPr>
            <w:tcW w:type="dxa" w:w="720"/>
          </w:tcPr>
          <w:p>
            <w:r>
              <w:rPr>
                <w:b/>
                <w:sz w:val="18"/>
              </w:rPr>
              <w:t>Row</w:t>
            </w:r>
          </w:p>
        </w:tc>
        <w:tc>
          <w:tcPr>
            <w:tcW w:type="dxa" w:w="3600"/>
          </w:tcPr>
          <w:p>
            <w:r>
              <w:rPr>
                <w:b/>
                <w:sz w:val="18"/>
              </w:rPr>
              <w:t>Component</w:t>
            </w:r>
          </w:p>
        </w:tc>
        <w:tc>
          <w:tcPr>
            <w:tcW w:type="dxa" w:w="2160"/>
          </w:tcPr>
          <w:p>
            <w:r>
              <w:rPr>
                <w:b/>
                <w:sz w:val="18"/>
              </w:rPr>
              <w:t>FY2024 ($m)</w:t>
            </w:r>
          </w:p>
        </w:tc>
      </w:tr>
      <w:tr>
        <w:tc>
          <w:tcPr>
            <w:tcW w:type="dxa" w:w="720"/>
          </w:tcPr>
          <w:p/>
        </w:tc>
        <w:tc>
          <w:tcPr>
            <w:tcW w:type="dxa" w:w="3600"/>
          </w:tcPr>
          <w:p/>
        </w:tc>
        <w:tc>
          <w:tcPr>
            <w:tcW w:type="dxa" w:w="2160"/>
          </w:tcPr>
          <w:p/>
        </w:tc>
      </w:tr>
      <w:tr>
        <w:tc>
          <w:tcPr>
            <w:tcW w:type="dxa" w:w="720"/>
          </w:tcPr>
          <w:p/>
        </w:tc>
        <w:tc>
          <w:tcPr>
            <w:tcW w:type="dxa" w:w="3600"/>
          </w:tcPr>
          <w:p/>
        </w:tc>
        <w:tc>
          <w:tcPr>
            <w:tcW w:type="dxa" w:w="2160"/>
          </w:tcPr>
          <w:p/>
        </w:tc>
      </w:tr>
      <w:tr>
        <w:tc>
          <w:tcPr>
            <w:tcW w:type="dxa" w:w="720"/>
          </w:tcPr>
          <w:p/>
        </w:tc>
        <w:tc>
          <w:tcPr>
            <w:tcW w:type="dxa" w:w="3600"/>
          </w:tcPr>
          <w:p/>
        </w:tc>
        <w:tc>
          <w:tcPr>
            <w:tcW w:type="dxa" w:w="2160"/>
          </w:tcPr>
          <w:p/>
        </w:tc>
      </w:tr>
      <w:tr>
        <w:tc>
          <w:tcPr>
            <w:tcW w:type="dxa" w:w="720"/>
          </w:tcPr>
          <w:p/>
        </w:tc>
        <w:tc>
          <w:tcPr>
            <w:tcW w:type="dxa" w:w="3600"/>
          </w:tcPr>
          <w:p/>
        </w:tc>
        <w:tc>
          <w:tcPr>
            <w:tcW w:type="dxa" w:w="2160"/>
          </w:tcPr>
          <w:p/>
        </w:tc>
      </w:tr>
      <w:tr>
        <w:tc>
          <w:tcPr>
            <w:tcW w:type="dxa" w:w="720"/>
          </w:tcPr>
          <w:p/>
        </w:tc>
        <w:tc>
          <w:tcPr>
            <w:tcW w:type="dxa" w:w="3600"/>
          </w:tcPr>
          <w:p/>
        </w:tc>
        <w:tc>
          <w:tcPr>
            <w:tcW w:type="dxa" w:w="2160"/>
          </w:tcPr>
          <w:p/>
        </w:tc>
      </w:tr>
      <w:tr>
        <w:tc>
          <w:tcPr>
            <w:tcW w:type="dxa" w:w="720"/>
          </w:tcPr>
          <w:p>
            <w:r>
              <w:rPr>
                <w:sz w:val="18"/>
              </w:rPr>
              <w:t>522</w:t>
            </w:r>
          </w:p>
        </w:tc>
        <w:tc>
          <w:tcPr>
            <w:tcW w:type="dxa" w:w="3600"/>
          </w:tcPr>
          <w:p>
            <w:r>
              <w:rPr>
                <w:sz w:val="18"/>
              </w:rPr>
              <w:t>Short-term borrowings</w:t>
            </w:r>
          </w:p>
        </w:tc>
        <w:tc>
          <w:tcPr>
            <w:tcW w:type="dxa" w:w="2160"/>
          </w:tcPr>
          <w:p>
            <w:r>
              <w:rPr>
                <w:sz w:val="18"/>
              </w:rPr>
              <w:t>6</w:t>
            </w:r>
          </w:p>
        </w:tc>
      </w:tr>
      <w:tr>
        <w:tc>
          <w:tcPr>
            <w:tcW w:type="dxa" w:w="720"/>
          </w:tcPr>
          <w:p>
            <w:r>
              <w:rPr>
                <w:sz w:val="18"/>
              </w:rPr>
              <w:t>523</w:t>
            </w:r>
          </w:p>
        </w:tc>
        <w:tc>
          <w:tcPr>
            <w:tcW w:type="dxa" w:w="3600"/>
          </w:tcPr>
          <w:p>
            <w:r>
              <w:rPr>
                <w:sz w:val="18"/>
              </w:rPr>
              <w:t>Current portion of LT debt</w:t>
            </w:r>
          </w:p>
        </w:tc>
        <w:tc>
          <w:tcPr>
            <w:tcW w:type="dxa" w:w="2160"/>
          </w:tcPr>
          <w:p>
            <w:r>
              <w:rPr>
                <w:sz w:val="18"/>
              </w:rPr>
              <w:t>1,000</w:t>
            </w:r>
          </w:p>
        </w:tc>
      </w:tr>
      <w:tr>
        <w:tc>
          <w:tcPr>
            <w:tcW w:type="dxa" w:w="720"/>
          </w:tcPr>
          <w:p>
            <w:r>
              <w:rPr>
                <w:sz w:val="18"/>
              </w:rPr>
              <w:t>524</w:t>
            </w:r>
          </w:p>
        </w:tc>
        <w:tc>
          <w:tcPr>
            <w:tcW w:type="dxa" w:w="3600"/>
          </w:tcPr>
          <w:p>
            <w:r>
              <w:rPr>
                <w:sz w:val="18"/>
              </w:rPr>
              <w:t>Current portion of leases (IFRS/ASC842)</w:t>
            </w:r>
          </w:p>
        </w:tc>
        <w:tc>
          <w:tcPr>
            <w:tcW w:type="dxa" w:w="2160"/>
          </w:tcPr>
          <w:p>
            <w:r>
              <w:rPr>
                <w:sz w:val="18"/>
              </w:rPr>
              <w:t>477</w:t>
            </w:r>
          </w:p>
        </w:tc>
      </w:tr>
      <w:tr>
        <w:tc>
          <w:tcPr>
            <w:tcW w:type="dxa" w:w="720"/>
          </w:tcPr>
          <w:p>
            <w:r>
              <w:rPr>
                <w:sz w:val="18"/>
              </w:rPr>
              <w:t>528</w:t>
            </w:r>
          </w:p>
        </w:tc>
        <w:tc>
          <w:tcPr>
            <w:tcW w:type="dxa" w:w="3600"/>
          </w:tcPr>
          <w:p>
            <w:r>
              <w:rPr>
                <w:sz w:val="18"/>
              </w:rPr>
              <w:t>Long-term debt</w:t>
            </w:r>
          </w:p>
        </w:tc>
        <w:tc>
          <w:tcPr>
            <w:tcW w:type="dxa" w:w="2160"/>
          </w:tcPr>
          <w:p>
            <w:r>
              <w:rPr>
                <w:sz w:val="18"/>
              </w:rPr>
              <w:t>7,934</w:t>
            </w:r>
          </w:p>
        </w:tc>
      </w:tr>
      <w:tr>
        <w:tc>
          <w:tcPr>
            <w:tcW w:type="dxa" w:w="720"/>
          </w:tcPr>
          <w:p>
            <w:r>
              <w:rPr>
                <w:sz w:val="18"/>
              </w:rPr>
              <w:t>529</w:t>
            </w:r>
          </w:p>
        </w:tc>
        <w:tc>
          <w:tcPr>
            <w:tcW w:type="dxa" w:w="3600"/>
          </w:tcPr>
          <w:p>
            <w:r>
              <w:rPr>
                <w:sz w:val="18"/>
              </w:rPr>
              <w:t>Long-term leases</w:t>
            </w:r>
          </w:p>
        </w:tc>
        <w:tc>
          <w:tcPr>
            <w:tcW w:type="dxa" w:w="2160"/>
          </w:tcPr>
          <w:p>
            <w:r>
              <w:rPr>
                <w:sz w:val="18"/>
              </w:rPr>
              <w:t>2,566</w:t>
            </w:r>
          </w:p>
        </w:tc>
      </w:tr>
    </w:tbl>
    <w:p/>
    <w:p>
      <w:r>
        <w:rPr>
          <w:b w:val="0"/>
          <w:i w:val="0"/>
          <w:sz w:val="20"/>
        </w:rPr>
        <w:t>Total IBD = $6m + $1,000m + $477m + $7,934m + $2,566m = $11,983m FY2024. The WACC calculation uses average IBD × interest rate to derive interest expense. Including lease obligations in IBD means NIKE's leverage looks considerably higher than a pre-ASC 842 analysis would suggest.</w:t>
      </w:r>
    </w:p>
    <w:p>
      <w:pPr>
        <w:pStyle w:val="Heading2"/>
      </w:pPr>
      <w:r>
        <w:t>4.5  Long-term Leases (Row 529)</w:t>
      </w:r>
    </w:p>
    <w:p>
      <w:r>
        <w:rPr>
          <w:b w:val="0"/>
          <w:i w:val="0"/>
          <w:sz w:val="20"/>
        </w:rPr>
        <w:t>Row 529 = $2,566m FY2024. Revenue-scaled in forecast. Pre-ASC 842 (pre-FY2020) NIKE had no on-balance-sheet long-term lease liability. The $2,913m that appeared in FY2020 represented the present value of all future operating lease payments discounted at NIKE's incremental borrowing rate (~3%). Note: CIQ row 551 'Debt Equivalent of Operating Leases' shows $8,408m for FY2024 — the FULL undiscounted obligation. The $5.8bn gap between on-BS ($2,566m) and CIQ's PV estimate reflects different discount rate assumptions and lease term scope.</w:t>
      </w:r>
    </w:p>
    <w:p>
      <w:pPr>
        <w:pStyle w:val="Heading2"/>
      </w:pPr>
      <w:r>
        <w:t>4.6  Other Non-current Liabilities (Rows 530–532)</w:t>
      </w:r>
    </w:p>
    <w:tbl>
      <w:tblPr>
        <w:tblStyle w:val="LightList-Accent1"/>
        <w:tblW w:type="auto" w:w="0"/>
        <w:tblLook w:firstColumn="1" w:firstRow="1" w:lastColumn="0" w:lastRow="0" w:noHBand="0" w:noVBand="1" w:val="04A0"/>
      </w:tblPr>
      <w:tblGrid>
        <w:gridCol w:w="2160"/>
        <w:gridCol w:w="2160"/>
        <w:gridCol w:w="2160"/>
        <w:gridCol w:w="2160"/>
      </w:tblGrid>
      <w:tr>
        <w:tc>
          <w:tcPr>
            <w:tcW w:type="dxa" w:w="720"/>
          </w:tcPr>
          <w:p>
            <w:r>
              <w:rPr>
                <w:b/>
                <w:sz w:val="18"/>
              </w:rPr>
              <w:t>Row</w:t>
            </w:r>
          </w:p>
        </w:tc>
        <w:tc>
          <w:tcPr>
            <w:tcW w:type="dxa" w:w="3168"/>
          </w:tcPr>
          <w:p>
            <w:r>
              <w:rPr>
                <w:b/>
                <w:sz w:val="18"/>
              </w:rPr>
              <w:t>Item</w:t>
            </w:r>
          </w:p>
        </w:tc>
        <w:tc>
          <w:tcPr>
            <w:tcW w:type="dxa" w:w="1728"/>
          </w:tcPr>
          <w:p>
            <w:r>
              <w:rPr>
                <w:b/>
                <w:sz w:val="18"/>
              </w:rPr>
              <w:t>FY2024 ($m)</w:t>
            </w:r>
          </w:p>
        </w:tc>
        <w:tc>
          <w:tcPr>
            <w:tcW w:type="dxa" w:w="3600"/>
          </w:tcPr>
          <w:p>
            <w:r>
              <w:rPr>
                <w:b/>
                <w:sz w:val="18"/>
              </w:rPr>
              <w:t>Forecast Method</w:t>
            </w:r>
          </w:p>
        </w:tc>
      </w:tr>
      <w:tr>
        <w:tc>
          <w:tcPr>
            <w:tcW w:type="dxa" w:w="720"/>
          </w:tcPr>
          <w:p/>
        </w:tc>
        <w:tc>
          <w:tcPr>
            <w:tcW w:type="dxa" w:w="3168"/>
          </w:tcPr>
          <w:p/>
        </w:tc>
        <w:tc>
          <w:tcPr>
            <w:tcW w:type="dxa" w:w="1728"/>
          </w:tcPr>
          <w:p/>
        </w:tc>
        <w:tc>
          <w:tcPr>
            <w:tcW w:type="dxa" w:w="3600"/>
          </w:tcPr>
          <w:p/>
        </w:tc>
      </w:tr>
      <w:tr>
        <w:tc>
          <w:tcPr>
            <w:tcW w:type="dxa" w:w="720"/>
          </w:tcPr>
          <w:p/>
        </w:tc>
        <w:tc>
          <w:tcPr>
            <w:tcW w:type="dxa" w:w="3168"/>
          </w:tcPr>
          <w:p/>
        </w:tc>
        <w:tc>
          <w:tcPr>
            <w:tcW w:type="dxa" w:w="1728"/>
          </w:tcPr>
          <w:p/>
        </w:tc>
        <w:tc>
          <w:tcPr>
            <w:tcW w:type="dxa" w:w="3600"/>
          </w:tcPr>
          <w:p/>
        </w:tc>
      </w:tr>
      <w:tr>
        <w:tc>
          <w:tcPr>
            <w:tcW w:type="dxa" w:w="720"/>
          </w:tcPr>
          <w:p/>
        </w:tc>
        <w:tc>
          <w:tcPr>
            <w:tcW w:type="dxa" w:w="3168"/>
          </w:tcPr>
          <w:p/>
        </w:tc>
        <w:tc>
          <w:tcPr>
            <w:tcW w:type="dxa" w:w="1728"/>
          </w:tcPr>
          <w:p/>
        </w:tc>
        <w:tc>
          <w:tcPr>
            <w:tcW w:type="dxa" w:w="3600"/>
          </w:tcPr>
          <w:p/>
        </w:tc>
      </w:tr>
      <w:tr>
        <w:tc>
          <w:tcPr>
            <w:tcW w:type="dxa" w:w="720"/>
          </w:tcPr>
          <w:p>
            <w:r>
              <w:rPr>
                <w:sz w:val="18"/>
              </w:rPr>
              <w:t>530</w:t>
            </w:r>
          </w:p>
        </w:tc>
        <w:tc>
          <w:tcPr>
            <w:tcW w:type="dxa" w:w="3168"/>
          </w:tcPr>
          <w:p>
            <w:r>
              <w:rPr>
                <w:sz w:val="18"/>
              </w:rPr>
              <w:t>Pension &amp; post-retirement benefits</w:t>
            </w:r>
          </w:p>
        </w:tc>
        <w:tc>
          <w:tcPr>
            <w:tcW w:type="dxa" w:w="1728"/>
          </w:tcPr>
          <w:p>
            <w:r>
              <w:rPr>
                <w:sz w:val="18"/>
              </w:rPr>
              <w:t>nil</w:t>
            </w:r>
          </w:p>
        </w:tc>
        <w:tc>
          <w:tcPr>
            <w:tcW w:type="dxa" w:w="3600"/>
          </w:tcPr>
          <w:p>
            <w:r>
              <w:rPr>
                <w:sz w:val="18"/>
              </w:rPr>
              <w:t>HARD-CODED ZERO (=0) for all forecast years; T530 = equity/(IBD+equity) sanity check</w:t>
            </w:r>
          </w:p>
        </w:tc>
      </w:tr>
      <w:tr>
        <w:tc>
          <w:tcPr>
            <w:tcW w:type="dxa" w:w="720"/>
          </w:tcPr>
          <w:p>
            <w:r>
              <w:rPr>
                <w:sz w:val="18"/>
              </w:rPr>
              <w:t>531</w:t>
            </w:r>
          </w:p>
        </w:tc>
        <w:tc>
          <w:tcPr>
            <w:tcW w:type="dxa" w:w="3168"/>
          </w:tcPr>
          <w:p>
            <w:r>
              <w:rPr>
                <w:sz w:val="18"/>
              </w:rPr>
              <w:t>Deferred tax liability non-current</w:t>
            </w:r>
          </w:p>
        </w:tc>
        <w:tc>
          <w:tcPr>
            <w:tcW w:type="dxa" w:w="1728"/>
          </w:tcPr>
          <w:p>
            <w:r>
              <w:rPr>
                <w:sz w:val="18"/>
              </w:rPr>
              <w:t>145</w:t>
            </w:r>
          </w:p>
        </w:tc>
        <w:tc>
          <w:tcPr>
            <w:tcW w:type="dxa" w:w="3600"/>
          </w:tcPr>
          <w:p>
            <w:r>
              <w:rPr>
                <w:sz w:val="18"/>
              </w:rPr>
              <w:t>Revenue-scaled</w:t>
            </w:r>
          </w:p>
        </w:tc>
      </w:tr>
      <w:tr>
        <w:tc>
          <w:tcPr>
            <w:tcW w:type="dxa" w:w="720"/>
          </w:tcPr>
          <w:p>
            <w:r>
              <w:rPr>
                <w:sz w:val="18"/>
              </w:rPr>
              <w:t>532</w:t>
            </w:r>
          </w:p>
        </w:tc>
        <w:tc>
          <w:tcPr>
            <w:tcW w:type="dxa" w:w="3168"/>
          </w:tcPr>
          <w:p>
            <w:r>
              <w:rPr>
                <w:sz w:val="18"/>
              </w:rPr>
              <w:t>Other non-current liabilities</w:t>
            </w:r>
          </w:p>
        </w:tc>
        <w:tc>
          <w:tcPr>
            <w:tcW w:type="dxa" w:w="1728"/>
          </w:tcPr>
          <w:p>
            <w:r>
              <w:rPr>
                <w:sz w:val="18"/>
              </w:rPr>
              <w:t>2,442</w:t>
            </w:r>
          </w:p>
        </w:tc>
        <w:tc>
          <w:tcPr>
            <w:tcW w:type="dxa" w:w="3600"/>
          </w:tcPr>
          <w:p>
            <w:r>
              <w:rPr>
                <w:sz w:val="18"/>
              </w:rPr>
              <w:t>Revenue-scaled</w:t>
            </w:r>
          </w:p>
        </w:tc>
      </w:tr>
    </w:tbl>
    <w:p/>
    <w:p>
      <w:r>
        <w:rPr>
          <w:b w:val="0"/>
          <w:i w:val="0"/>
          <w:sz w:val="20"/>
        </w:rPr>
        <w:t>Cell T530 contains the formula: =K540/(K201+K540)×100. This computes FY2024 equity as a percentage of (IBD + equity) = the equity weight in capital structure. The result feeds into the WACC verification. K201 = total IBD in FY2024; K540 = total equity = $14,430m.</w:t>
      </w:r>
    </w:p>
    <w:p>
      <w:pPr>
        <w:pStyle w:val="Heading2"/>
      </w:pPr>
      <w:r>
        <w:t>4.7  Equity Section (Rows 534–540)</w:t>
      </w:r>
    </w:p>
    <w:p>
      <w:r>
        <w:rPr>
          <w:b w:val="0"/>
          <w:i w:val="0"/>
          <w:sz w:val="20"/>
        </w:rPr>
        <w:t>The equity section has four components, each forecast separately:</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720"/>
          </w:tcPr>
          <w:p>
            <w:r>
              <w:rPr>
                <w:b/>
                <w:sz w:val="18"/>
              </w:rPr>
              <w:t>Row</w:t>
            </w:r>
          </w:p>
        </w:tc>
        <w:tc>
          <w:tcPr>
            <w:tcW w:type="dxa" w:w="2880"/>
          </w:tcPr>
          <w:p>
            <w:r>
              <w:rPr>
                <w:b/>
                <w:sz w:val="18"/>
              </w:rPr>
              <w:t>Component</w:t>
            </w:r>
          </w:p>
        </w:tc>
        <w:tc>
          <w:tcPr>
            <w:tcW w:type="dxa" w:w="1728"/>
          </w:tcPr>
          <w:p>
            <w:r>
              <w:rPr>
                <w:b/>
                <w:sz w:val="18"/>
              </w:rPr>
              <w:t>FY2024 ($m)</w:t>
            </w:r>
          </w:p>
        </w:tc>
        <w:tc>
          <w:tcPr>
            <w:tcW w:type="dxa" w:w="3168"/>
          </w:tcPr>
          <w:p>
            <w:r>
              <w:rPr>
                <w:b/>
                <w:sz w:val="18"/>
              </w:rPr>
              <w:t>Forecast Formula</w:t>
            </w:r>
          </w:p>
        </w:tc>
        <w:tc>
          <w:tcPr>
            <w:tcW w:type="dxa" w:w="2880"/>
          </w:tcPr>
          <w:p>
            <w:r>
              <w:rPr>
                <w:b/>
                <w:sz w:val="18"/>
              </w:rPr>
              <w:t>Mechanics</w:t>
            </w:r>
          </w:p>
        </w:tc>
      </w:tr>
      <w:tr>
        <w:tc>
          <w:tcPr>
            <w:tcW w:type="dxa" w:w="720"/>
          </w:tcPr>
          <w:p/>
        </w:tc>
        <w:tc>
          <w:tcPr>
            <w:tcW w:type="dxa" w:w="2880"/>
          </w:tcPr>
          <w:p/>
        </w:tc>
        <w:tc>
          <w:tcPr>
            <w:tcW w:type="dxa" w:w="1728"/>
          </w:tcPr>
          <w:p/>
        </w:tc>
        <w:tc>
          <w:tcPr>
            <w:tcW w:type="dxa" w:w="3168"/>
          </w:tcPr>
          <w:p/>
        </w:tc>
        <w:tc>
          <w:tcPr>
            <w:tcW w:type="dxa" w:w="2880"/>
          </w:tcPr>
          <w:p/>
        </w:tc>
      </w:tr>
      <w:tr>
        <w:tc>
          <w:tcPr>
            <w:tcW w:type="dxa" w:w="720"/>
          </w:tcPr>
          <w:p/>
        </w:tc>
        <w:tc>
          <w:tcPr>
            <w:tcW w:type="dxa" w:w="2880"/>
          </w:tcPr>
          <w:p/>
        </w:tc>
        <w:tc>
          <w:tcPr>
            <w:tcW w:type="dxa" w:w="1728"/>
          </w:tcPr>
          <w:p/>
        </w:tc>
        <w:tc>
          <w:tcPr>
            <w:tcW w:type="dxa" w:w="3168"/>
          </w:tcPr>
          <w:p/>
        </w:tc>
        <w:tc>
          <w:tcPr>
            <w:tcW w:type="dxa" w:w="2880"/>
          </w:tcPr>
          <w:p/>
        </w:tc>
      </w:tr>
      <w:tr>
        <w:tc>
          <w:tcPr>
            <w:tcW w:type="dxa" w:w="720"/>
          </w:tcPr>
          <w:p/>
        </w:tc>
        <w:tc>
          <w:tcPr>
            <w:tcW w:type="dxa" w:w="2880"/>
          </w:tcPr>
          <w:p/>
        </w:tc>
        <w:tc>
          <w:tcPr>
            <w:tcW w:type="dxa" w:w="1728"/>
          </w:tcPr>
          <w:p/>
        </w:tc>
        <w:tc>
          <w:tcPr>
            <w:tcW w:type="dxa" w:w="3168"/>
          </w:tcPr>
          <w:p/>
        </w:tc>
        <w:tc>
          <w:tcPr>
            <w:tcW w:type="dxa" w:w="2880"/>
          </w:tcPr>
          <w:p/>
        </w:tc>
      </w:tr>
      <w:tr>
        <w:tc>
          <w:tcPr>
            <w:tcW w:type="dxa" w:w="720"/>
          </w:tcPr>
          <w:p/>
        </w:tc>
        <w:tc>
          <w:tcPr>
            <w:tcW w:type="dxa" w:w="2880"/>
          </w:tcPr>
          <w:p/>
        </w:tc>
        <w:tc>
          <w:tcPr>
            <w:tcW w:type="dxa" w:w="1728"/>
          </w:tcPr>
          <w:p/>
        </w:tc>
        <w:tc>
          <w:tcPr>
            <w:tcW w:type="dxa" w:w="3168"/>
          </w:tcPr>
          <w:p/>
        </w:tc>
        <w:tc>
          <w:tcPr>
            <w:tcW w:type="dxa" w:w="2880"/>
          </w:tcPr>
          <w:p/>
        </w:tc>
      </w:tr>
      <w:tr>
        <w:tc>
          <w:tcPr>
            <w:tcW w:type="dxa" w:w="720"/>
          </w:tcPr>
          <w:p/>
        </w:tc>
        <w:tc>
          <w:tcPr>
            <w:tcW w:type="dxa" w:w="2880"/>
          </w:tcPr>
          <w:p/>
        </w:tc>
        <w:tc>
          <w:tcPr>
            <w:tcW w:type="dxa" w:w="1728"/>
          </w:tcPr>
          <w:p/>
        </w:tc>
        <w:tc>
          <w:tcPr>
            <w:tcW w:type="dxa" w:w="3168"/>
          </w:tcPr>
          <w:p/>
        </w:tc>
        <w:tc>
          <w:tcPr>
            <w:tcW w:type="dxa" w:w="2880"/>
          </w:tcPr>
          <w:p/>
        </w:tc>
      </w:tr>
      <w:tr>
        <w:tc>
          <w:tcPr>
            <w:tcW w:type="dxa" w:w="720"/>
          </w:tcPr>
          <w:p/>
        </w:tc>
        <w:tc>
          <w:tcPr>
            <w:tcW w:type="dxa" w:w="2880"/>
          </w:tcPr>
          <w:p/>
        </w:tc>
        <w:tc>
          <w:tcPr>
            <w:tcW w:type="dxa" w:w="1728"/>
          </w:tcPr>
          <w:p/>
        </w:tc>
        <w:tc>
          <w:tcPr>
            <w:tcW w:type="dxa" w:w="3168"/>
          </w:tcPr>
          <w:p/>
        </w:tc>
        <w:tc>
          <w:tcPr>
            <w:tcW w:type="dxa" w:w="2880"/>
          </w:tcPr>
          <w:p/>
        </w:tc>
      </w:tr>
      <w:tr>
        <w:tc>
          <w:tcPr>
            <w:tcW w:type="dxa" w:w="720"/>
          </w:tcPr>
          <w:p>
            <w:r>
              <w:rPr>
                <w:sz w:val="18"/>
              </w:rPr>
              <w:t>535</w:t>
            </w:r>
          </w:p>
        </w:tc>
        <w:tc>
          <w:tcPr>
            <w:tcW w:type="dxa" w:w="2880"/>
          </w:tcPr>
          <w:p>
            <w:r>
              <w:rPr>
                <w:sz w:val="18"/>
              </w:rPr>
              <w:t>Common stock (par value)</w:t>
            </w:r>
          </w:p>
        </w:tc>
        <w:tc>
          <w:tcPr>
            <w:tcW w:type="dxa" w:w="1728"/>
          </w:tcPr>
          <w:p>
            <w:r>
              <w:rPr>
                <w:sz w:val="18"/>
              </w:rPr>
              <w:t>3</w:t>
            </w:r>
          </w:p>
        </w:tc>
        <w:tc>
          <w:tcPr>
            <w:tcW w:type="dxa" w:w="3168"/>
          </w:tcPr>
          <w:p>
            <w:r>
              <w:rPr>
                <w:sz w:val="18"/>
              </w:rPr>
              <w:t>Frozen: =K535</w:t>
            </w:r>
          </w:p>
        </w:tc>
        <w:tc>
          <w:tcPr>
            <w:tcW w:type="dxa" w:w="2880"/>
          </w:tcPr>
          <w:p>
            <w:r>
              <w:rPr>
                <w:sz w:val="18"/>
              </w:rPr>
              <w:t>NIKE's $0.0001 par; essentially nil</w:t>
            </w:r>
          </w:p>
        </w:tc>
      </w:tr>
      <w:tr>
        <w:tc>
          <w:tcPr>
            <w:tcW w:type="dxa" w:w="720"/>
          </w:tcPr>
          <w:p>
            <w:r>
              <w:rPr>
                <w:sz w:val="18"/>
              </w:rPr>
              <w:t>536</w:t>
            </w:r>
          </w:p>
        </w:tc>
        <w:tc>
          <w:tcPr>
            <w:tcW w:type="dxa" w:w="2880"/>
          </w:tcPr>
          <w:p>
            <w:r>
              <w:rPr>
                <w:sz w:val="18"/>
              </w:rPr>
              <w:t>Additional Paid-In Capital</w:t>
            </w:r>
          </w:p>
        </w:tc>
        <w:tc>
          <w:tcPr>
            <w:tcW w:type="dxa" w:w="1728"/>
          </w:tcPr>
          <w:p>
            <w:r>
              <w:rPr>
                <w:sz w:val="18"/>
              </w:rPr>
              <w:t>13,409</w:t>
            </w:r>
          </w:p>
        </w:tc>
        <w:tc>
          <w:tcPr>
            <w:tcW w:type="dxa" w:w="3168"/>
          </w:tcPr>
          <w:p>
            <w:r>
              <w:rPr>
                <w:sz w:val="18"/>
              </w:rPr>
              <w:t>L536: =K536+L460+L459</w:t>
            </w:r>
          </w:p>
        </w:tc>
        <w:tc>
          <w:tcPr>
            <w:tcW w:type="dxa" w:w="2880"/>
          </w:tcPr>
          <w:p>
            <w:r>
              <w:rPr>
                <w:sz w:val="18"/>
              </w:rPr>
              <w:t>APIC += buybacks (neg) + issuances (pos)</w:t>
            </w:r>
          </w:p>
        </w:tc>
      </w:tr>
      <w:tr>
        <w:tc>
          <w:tcPr>
            <w:tcW w:type="dxa" w:w="720"/>
          </w:tcPr>
          <w:p>
            <w:r>
              <w:rPr>
                <w:sz w:val="18"/>
              </w:rPr>
              <w:t>537</w:t>
            </w:r>
          </w:p>
        </w:tc>
        <w:tc>
          <w:tcPr>
            <w:tcW w:type="dxa" w:w="2880"/>
          </w:tcPr>
          <w:p>
            <w:r>
              <w:rPr>
                <w:sz w:val="18"/>
              </w:rPr>
              <w:t>Retained Earnings</w:t>
            </w:r>
          </w:p>
        </w:tc>
        <w:tc>
          <w:tcPr>
            <w:tcW w:type="dxa" w:w="1728"/>
          </w:tcPr>
          <w:p>
            <w:r>
              <w:rPr>
                <w:sz w:val="18"/>
              </w:rPr>
              <w:t>965</w:t>
            </w:r>
          </w:p>
        </w:tc>
        <w:tc>
          <w:tcPr>
            <w:tcW w:type="dxa" w:w="3168"/>
          </w:tcPr>
          <w:p>
            <w:r>
              <w:rPr>
                <w:sz w:val="18"/>
              </w:rPr>
              <w:t>L537: =L361+L464+K537</w:t>
            </w:r>
          </w:p>
        </w:tc>
        <w:tc>
          <w:tcPr>
            <w:tcW w:type="dxa" w:w="2880"/>
          </w:tcPr>
          <w:p>
            <w:r>
              <w:rPr>
                <w:sz w:val="18"/>
              </w:rPr>
              <w:t>RE += NI + dividends (neg) + prior RE</w:t>
            </w:r>
          </w:p>
        </w:tc>
      </w:tr>
      <w:tr>
        <w:tc>
          <w:tcPr>
            <w:tcW w:type="dxa" w:w="720"/>
          </w:tcPr>
          <w:p>
            <w:r>
              <w:rPr>
                <w:sz w:val="18"/>
              </w:rPr>
              <w:t>538</w:t>
            </w:r>
          </w:p>
        </w:tc>
        <w:tc>
          <w:tcPr>
            <w:tcW w:type="dxa" w:w="2880"/>
          </w:tcPr>
          <w:p>
            <w:r>
              <w:rPr>
                <w:sz w:val="18"/>
              </w:rPr>
              <w:t>Accumulated OCI</w:t>
            </w:r>
          </w:p>
        </w:tc>
        <w:tc>
          <w:tcPr>
            <w:tcW w:type="dxa" w:w="1728"/>
          </w:tcPr>
          <w:p>
            <w:r>
              <w:rPr>
                <w:sz w:val="18"/>
              </w:rPr>
              <w:t>53</w:t>
            </w:r>
          </w:p>
        </w:tc>
        <w:tc>
          <w:tcPr>
            <w:tcW w:type="dxa" w:w="3168"/>
          </w:tcPr>
          <w:p>
            <w:r>
              <w:rPr>
                <w:sz w:val="18"/>
              </w:rPr>
              <w:t>Frozen: =K538</w:t>
            </w:r>
          </w:p>
        </w:tc>
        <w:tc>
          <w:tcPr>
            <w:tcW w:type="dxa" w:w="2880"/>
          </w:tcPr>
          <w:p>
            <w:r>
              <w:rPr>
                <w:sz w:val="18"/>
              </w:rPr>
              <w:t>No FX/hedge movements modelled</w:t>
            </w:r>
          </w:p>
        </w:tc>
      </w:tr>
      <w:tr>
        <w:tc>
          <w:tcPr>
            <w:tcW w:type="dxa" w:w="720"/>
          </w:tcPr>
          <w:p>
            <w:r>
              <w:rPr>
                <w:sz w:val="18"/>
              </w:rPr>
              <w:t>539</w:t>
            </w:r>
          </w:p>
        </w:tc>
        <w:tc>
          <w:tcPr>
            <w:tcW w:type="dxa" w:w="2880"/>
          </w:tcPr>
          <w:p>
            <w:r>
              <w:rPr>
                <w:sz w:val="18"/>
              </w:rPr>
              <w:t>Total Common Equity</w:t>
            </w:r>
          </w:p>
        </w:tc>
        <w:tc>
          <w:tcPr>
            <w:tcW w:type="dxa" w:w="1728"/>
          </w:tcPr>
          <w:p>
            <w:r>
              <w:rPr>
                <w:sz w:val="18"/>
              </w:rPr>
              <w:t>14,430</w:t>
            </w:r>
          </w:p>
        </w:tc>
        <w:tc>
          <w:tcPr>
            <w:tcW w:type="dxa" w:w="3168"/>
          </w:tcPr>
          <w:p>
            <w:r>
              <w:rPr>
                <w:sz w:val="18"/>
              </w:rPr>
              <w:t>= sum 535:538</w:t>
            </w:r>
          </w:p>
        </w:tc>
        <w:tc>
          <w:tcPr>
            <w:tcW w:type="dxa" w:w="2880"/>
          </w:tcPr>
          <w:p>
            <w:r>
              <w:rPr>
                <w:sz w:val="18"/>
              </w:rPr>
            </w:r>
          </w:p>
        </w:tc>
      </w:tr>
      <w:tr>
        <w:tc>
          <w:tcPr>
            <w:tcW w:type="dxa" w:w="720"/>
          </w:tcPr>
          <w:p>
            <w:r>
              <w:rPr>
                <w:sz w:val="18"/>
              </w:rPr>
              <w:t>540</w:t>
            </w:r>
          </w:p>
        </w:tc>
        <w:tc>
          <w:tcPr>
            <w:tcW w:type="dxa" w:w="2880"/>
          </w:tcPr>
          <w:p>
            <w:r>
              <w:rPr>
                <w:sz w:val="18"/>
              </w:rPr>
              <w:t>Total Equity</w:t>
            </w:r>
          </w:p>
        </w:tc>
        <w:tc>
          <w:tcPr>
            <w:tcW w:type="dxa" w:w="1728"/>
          </w:tcPr>
          <w:p>
            <w:r>
              <w:rPr>
                <w:sz w:val="18"/>
              </w:rPr>
              <w:t>14,430</w:t>
            </w:r>
          </w:p>
        </w:tc>
        <w:tc>
          <w:tcPr>
            <w:tcW w:type="dxa" w:w="3168"/>
          </w:tcPr>
          <w:p>
            <w:r>
              <w:rPr>
                <w:sz w:val="18"/>
              </w:rPr>
              <w:t>=L539</w:t>
            </w:r>
          </w:p>
        </w:tc>
        <w:tc>
          <w:tcPr>
            <w:tcW w:type="dxa" w:w="2880"/>
          </w:tcPr>
          <w:p>
            <w:r>
              <w:rPr>
                <w:sz w:val="18"/>
              </w:rPr>
              <w:t>No minority interest</w:t>
            </w:r>
          </w:p>
        </w:tc>
      </w:tr>
    </w:tbl>
    <w:p/>
    <w:p>
      <w:pPr>
        <w:pStyle w:val="Heading3"/>
      </w:pPr>
      <w:r>
        <w:t>4.7.1  APIC Mechanics (Row 536)</w:t>
      </w:r>
    </w:p>
    <w:p>
      <w:r>
        <w:rPr>
          <w:b w:val="0"/>
          <w:i w:val="0"/>
          <w:sz w:val="20"/>
        </w:rPr>
        <w:t>APIC increases each year by: (a) stock issuance proceeds (row 459, always positive) and (b) share repurchases (row 460, always negative for a buyer). NIKE does NOT carry treasury stock; repurchased shares are immediately retired, so all buyback effects hit APIC (reduce it) rather than a separate treasury account. APIC has grown from $6,773m (FY2015) to $13,409m (FY2024) despite $29bn+ of buybacks, because SBC issuances and exercises continuously add to APIC.</w:t>
      </w:r>
    </w:p>
    <w:p>
      <w:pPr>
        <w:pStyle w:val="Heading3"/>
      </w:pPr>
      <w:r>
        <w:t>4.7.2  Retained Earnings Roll-Forward (Row 537)</w:t>
      </w:r>
    </w:p>
    <w:p>
      <w:r>
        <w:rPr>
          <w:b/>
          <w:i w:val="0"/>
          <w:sz w:val="20"/>
        </w:rPr>
        <w:t xml:space="preserve">    L537: =L361 + L464 + K537</w:t>
      </w:r>
    </w:p>
    <w:p>
      <w:r>
        <w:rPr>
          <w:b w:val="0"/>
          <w:i w:val="0"/>
          <w:sz w:val="20"/>
        </w:rPr>
        <w:t xml:space="preserve">  • L361 = forecast Net Income (NI adds to RE)</w:t>
        <w:br/>
        <w:t xml:space="preserve">  • L464 = forecast dividends (negative, reduces RE)</w:t>
        <w:br/>
        <w:t xml:space="preserve">  • K537 = prior year ending RE</w:t>
        <w:br/>
        <w:t>NIKE's RE has been suppressed by its aggressive buyback program. RE = $965m in FY2024 despite cumulative NI of ~$40bn+ since FY2015 — nearly all profits have been returned to shareholders or reinvested in assets.</w:t>
        <w:br/>
        <w:t>FY2020 RE went NEGATIVE (-$191m), a rare event for an investment-grade company — the result of COVID-year low NI plus continuation of buybacks and dividends funded from borrowings.</w:t>
      </w:r>
    </w:p>
    <w:p>
      <w:pPr>
        <w:pStyle w:val="Heading3"/>
      </w:pPr>
      <w:r>
        <w:t>4.7.3  Accumulated OCI (Row 538)</w:t>
      </w:r>
    </w:p>
    <w:p>
      <w:r>
        <w:rPr>
          <w:b w:val="0"/>
          <w:i w:val="0"/>
          <w:sz w:val="20"/>
        </w:rPr>
        <w:t>OCI = $53m frozen in forecast (=K538 for all years). Historically volatile: $1,246m (FY2015, strong USD hedge gains) to -$380m (FY2021, FX losses). The freeze removes currency translation and derivative fair-value movements from the model — a standard simplification.</w:t>
      </w:r>
    </w:p>
    <w:p>
      <w:pPr>
        <w:pStyle w:val="Heading2"/>
      </w:pPr>
      <w:r>
        <w:t>4.8  Balance Sheet Supplemental Items</w:t>
      </w:r>
    </w:p>
    <w:p>
      <w:pPr>
        <w:pStyle w:val="Heading3"/>
      </w:pPr>
      <w:r>
        <w:t>4.8.1  Shares Outstanding (Rows 543–544)</w:t>
      </w:r>
    </w:p>
    <w:tbl>
      <w:tblPr>
        <w:tblStyle w:val="LightList-Accent1"/>
        <w:tblW w:type="auto" w:w="0"/>
        <w:tblLook w:firstColumn="1" w:firstRow="1" w:lastColumn="0" w:lastRow="0" w:noHBand="0" w:noVBand="1" w:val="04A0"/>
      </w:tblPr>
      <w:tblGrid>
        <w:gridCol w:w="2160"/>
        <w:gridCol w:w="2160"/>
        <w:gridCol w:w="2160"/>
        <w:gridCol w:w="2160"/>
      </w:tblGrid>
      <w:tr>
        <w:tc>
          <w:tcPr>
            <w:tcW w:type="dxa" w:w="1728"/>
          </w:tcPr>
          <w:p>
            <w:r>
              <w:rPr>
                <w:b/>
                <w:sz w:val="18"/>
              </w:rPr>
              <w:t>Year</w:t>
            </w:r>
          </w:p>
        </w:tc>
        <w:tc>
          <w:tcPr>
            <w:tcW w:type="dxa" w:w="2880"/>
          </w:tcPr>
          <w:p>
            <w:r>
              <w:rPr>
                <w:b/>
                <w:sz w:val="18"/>
              </w:rPr>
              <w:t>Period-end shares (m)</w:t>
            </w:r>
          </w:p>
        </w:tc>
        <w:tc>
          <w:tcPr>
            <w:tcW w:type="dxa" w:w="2880"/>
          </w:tcPr>
          <w:p>
            <w:r>
              <w:rPr>
                <w:b/>
                <w:sz w:val="18"/>
              </w:rPr>
              <w:t>Filing-date shares (m)</w:t>
            </w:r>
          </w:p>
        </w:tc>
        <w:tc>
          <w:tcPr>
            <w:tcW w:type="dxa" w:w="2160"/>
          </w:tcPr>
          <w:p>
            <w:r>
              <w:rPr>
                <w:b/>
                <w:sz w:val="18"/>
              </w:rPr>
              <w:t>Change</w:t>
            </w:r>
          </w:p>
        </w:tc>
      </w:tr>
      <w:tr>
        <w:tc>
          <w:tcPr>
            <w:tcW w:type="dxa" w:w="1728"/>
          </w:tcPr>
          <w:p/>
        </w:tc>
        <w:tc>
          <w:tcPr>
            <w:tcW w:type="dxa" w:w="2880"/>
          </w:tcPr>
          <w:p/>
        </w:tc>
        <w:tc>
          <w:tcPr>
            <w:tcW w:type="dxa" w:w="2880"/>
          </w:tcPr>
          <w:p/>
        </w:tc>
        <w:tc>
          <w:tcPr>
            <w:tcW w:type="dxa" w:w="2160"/>
          </w:tcPr>
          <w:p/>
        </w:tc>
      </w:tr>
      <w:tr>
        <w:tc>
          <w:tcPr>
            <w:tcW w:type="dxa" w:w="1728"/>
          </w:tcPr>
          <w:p/>
        </w:tc>
        <w:tc>
          <w:tcPr>
            <w:tcW w:type="dxa" w:w="2880"/>
          </w:tcPr>
          <w:p/>
        </w:tc>
        <w:tc>
          <w:tcPr>
            <w:tcW w:type="dxa" w:w="2880"/>
          </w:tcPr>
          <w:p/>
        </w:tc>
        <w:tc>
          <w:tcPr>
            <w:tcW w:type="dxa" w:w="2160"/>
          </w:tcPr>
          <w:p/>
        </w:tc>
      </w:tr>
      <w:tr>
        <w:tc>
          <w:tcPr>
            <w:tcW w:type="dxa" w:w="1728"/>
          </w:tcPr>
          <w:p/>
        </w:tc>
        <w:tc>
          <w:tcPr>
            <w:tcW w:type="dxa" w:w="2880"/>
          </w:tcPr>
          <w:p/>
        </w:tc>
        <w:tc>
          <w:tcPr>
            <w:tcW w:type="dxa" w:w="2880"/>
          </w:tcPr>
          <w:p/>
        </w:tc>
        <w:tc>
          <w:tcPr>
            <w:tcW w:type="dxa" w:w="2160"/>
          </w:tcPr>
          <w:p/>
        </w:tc>
      </w:tr>
      <w:tr>
        <w:tc>
          <w:tcPr>
            <w:tcW w:type="dxa" w:w="1728"/>
          </w:tcPr>
          <w:p/>
        </w:tc>
        <w:tc>
          <w:tcPr>
            <w:tcW w:type="dxa" w:w="2880"/>
          </w:tcPr>
          <w:p/>
        </w:tc>
        <w:tc>
          <w:tcPr>
            <w:tcW w:type="dxa" w:w="2880"/>
          </w:tcPr>
          <w:p/>
        </w:tc>
        <w:tc>
          <w:tcPr>
            <w:tcW w:type="dxa" w:w="2160"/>
          </w:tcPr>
          <w:p/>
        </w:tc>
      </w:tr>
      <w:tr>
        <w:tc>
          <w:tcPr>
            <w:tcW w:type="dxa" w:w="1728"/>
          </w:tcPr>
          <w:p/>
        </w:tc>
        <w:tc>
          <w:tcPr>
            <w:tcW w:type="dxa" w:w="2880"/>
          </w:tcPr>
          <w:p/>
        </w:tc>
        <w:tc>
          <w:tcPr>
            <w:tcW w:type="dxa" w:w="2880"/>
          </w:tcPr>
          <w:p/>
        </w:tc>
        <w:tc>
          <w:tcPr>
            <w:tcW w:type="dxa" w:w="2160"/>
          </w:tcPr>
          <w:p/>
        </w:tc>
      </w:tr>
      <w:tr>
        <w:tc>
          <w:tcPr>
            <w:tcW w:type="dxa" w:w="1728"/>
          </w:tcPr>
          <w:p>
            <w:r>
              <w:rPr>
                <w:sz w:val="18"/>
              </w:rPr>
              <w:t>FY2015</w:t>
            </w:r>
          </w:p>
        </w:tc>
        <w:tc>
          <w:tcPr>
            <w:tcW w:type="dxa" w:w="2880"/>
          </w:tcPr>
          <w:p>
            <w:r>
              <w:rPr>
                <w:sz w:val="18"/>
              </w:rPr>
              <w:t>1,712</w:t>
            </w:r>
          </w:p>
        </w:tc>
        <w:tc>
          <w:tcPr>
            <w:tcW w:type="dxa" w:w="2880"/>
          </w:tcPr>
          <w:p>
            <w:r>
              <w:rPr>
                <w:sz w:val="18"/>
              </w:rPr>
              <w:t>1,710.7</w:t>
            </w:r>
          </w:p>
        </w:tc>
        <w:tc>
          <w:tcPr>
            <w:tcW w:type="dxa" w:w="2160"/>
          </w:tcPr>
          <w:p>
            <w:r>
              <w:rPr>
                <w:sz w:val="18"/>
              </w:rPr>
              <w:t>Buybacks ongoing</w:t>
            </w:r>
          </w:p>
        </w:tc>
      </w:tr>
      <w:tr>
        <w:tc>
          <w:tcPr>
            <w:tcW w:type="dxa" w:w="1728"/>
          </w:tcPr>
          <w:p>
            <w:r>
              <w:rPr>
                <w:sz w:val="18"/>
              </w:rPr>
              <w:t>FY2019</w:t>
            </w:r>
          </w:p>
        </w:tc>
        <w:tc>
          <w:tcPr>
            <w:tcW w:type="dxa" w:w="2880"/>
          </w:tcPr>
          <w:p>
            <w:r>
              <w:rPr>
                <w:sz w:val="18"/>
              </w:rPr>
              <w:t>1,568</w:t>
            </w:r>
          </w:p>
        </w:tc>
        <w:tc>
          <w:tcPr>
            <w:tcW w:type="dxa" w:w="2880"/>
          </w:tcPr>
          <w:p>
            <w:r>
              <w:rPr>
                <w:sz w:val="18"/>
              </w:rPr>
              <w:t>1,566.9</w:t>
            </w:r>
          </w:p>
        </w:tc>
        <w:tc>
          <w:tcPr>
            <w:tcW w:type="dxa" w:w="2160"/>
          </w:tcPr>
          <w:p>
            <w:r>
              <w:rPr>
                <w:sz w:val="18"/>
              </w:rPr>
            </w:r>
          </w:p>
        </w:tc>
      </w:tr>
      <w:tr>
        <w:tc>
          <w:tcPr>
            <w:tcW w:type="dxa" w:w="1728"/>
          </w:tcPr>
          <w:p>
            <w:r>
              <w:rPr>
                <w:sz w:val="18"/>
              </w:rPr>
              <w:t>FY2021</w:t>
            </w:r>
          </w:p>
        </w:tc>
        <w:tc>
          <w:tcPr>
            <w:tcW w:type="dxa" w:w="2880"/>
          </w:tcPr>
          <w:p>
            <w:r>
              <w:rPr>
                <w:sz w:val="18"/>
              </w:rPr>
              <w:t>1,578</w:t>
            </w:r>
          </w:p>
        </w:tc>
        <w:tc>
          <w:tcPr>
            <w:tcW w:type="dxa" w:w="2880"/>
          </w:tcPr>
          <w:p>
            <w:r>
              <w:rPr>
                <w:sz w:val="18"/>
              </w:rPr>
              <w:t>1,581.8</w:t>
            </w:r>
          </w:p>
        </w:tc>
        <w:tc>
          <w:tcPr>
            <w:tcW w:type="dxa" w:w="2160"/>
          </w:tcPr>
          <w:p>
            <w:r>
              <w:rPr>
                <w:sz w:val="18"/>
              </w:rPr>
              <w:t>Slight increase from SBC issuances</w:t>
            </w:r>
          </w:p>
        </w:tc>
      </w:tr>
      <w:tr>
        <w:tc>
          <w:tcPr>
            <w:tcW w:type="dxa" w:w="1728"/>
          </w:tcPr>
          <w:p>
            <w:r>
              <w:rPr>
                <w:sz w:val="18"/>
              </w:rPr>
              <w:t>FY2023</w:t>
            </w:r>
          </w:p>
        </w:tc>
        <w:tc>
          <w:tcPr>
            <w:tcW w:type="dxa" w:w="2880"/>
          </w:tcPr>
          <w:p>
            <w:r>
              <w:rPr>
                <w:sz w:val="18"/>
              </w:rPr>
              <w:t>1,531.9</w:t>
            </w:r>
          </w:p>
        </w:tc>
        <w:tc>
          <w:tcPr>
            <w:tcW w:type="dxa" w:w="2880"/>
          </w:tcPr>
          <w:p>
            <w:r>
              <w:rPr>
                <w:sz w:val="18"/>
              </w:rPr>
              <w:t>1,530.0</w:t>
            </w:r>
          </w:p>
        </w:tc>
        <w:tc>
          <w:tcPr>
            <w:tcW w:type="dxa" w:w="2160"/>
          </w:tcPr>
          <w:p>
            <w:r>
              <w:rPr>
                <w:sz w:val="18"/>
              </w:rPr>
            </w:r>
          </w:p>
        </w:tc>
      </w:tr>
      <w:tr>
        <w:tc>
          <w:tcPr>
            <w:tcW w:type="dxa" w:w="1728"/>
          </w:tcPr>
          <w:p>
            <w:r>
              <w:rPr>
                <w:sz w:val="18"/>
              </w:rPr>
              <w:t>FY2024</w:t>
            </w:r>
          </w:p>
        </w:tc>
        <w:tc>
          <w:tcPr>
            <w:tcW w:type="dxa" w:w="2880"/>
          </w:tcPr>
          <w:p>
            <w:r>
              <w:rPr>
                <w:sz w:val="18"/>
              </w:rPr>
              <w:t>1,503</w:t>
            </w:r>
          </w:p>
        </w:tc>
        <w:tc>
          <w:tcPr>
            <w:tcW w:type="dxa" w:w="2880"/>
          </w:tcPr>
          <w:p>
            <w:r>
              <w:rPr>
                <w:sz w:val="18"/>
              </w:rPr>
              <w:t>1,499.4</w:t>
            </w:r>
          </w:p>
        </w:tc>
        <w:tc>
          <w:tcPr>
            <w:tcW w:type="dxa" w:w="2160"/>
          </w:tcPr>
          <w:p>
            <w:r>
              <w:rPr>
                <w:sz w:val="18"/>
              </w:rPr>
              <w:t>Continued reduction; ~209m shares retired since FY2015</w:t>
            </w:r>
          </w:p>
        </w:tc>
      </w:tr>
    </w:tbl>
    <w:p/>
    <w:p>
      <w:r>
        <w:rPr>
          <w:b w:val="0"/>
          <w:i w:val="0"/>
          <w:sz w:val="20"/>
        </w:rPr>
        <w:t>Row 543 = shares on filing date (actual); Row 544 = shares at fiscal year-end (rounded to millions). The small difference between them reflects buybacks or issuances between fiscal year-end (31 May) and the 10-K filing date (~July).</w:t>
      </w:r>
    </w:p>
    <w:p>
      <w:pPr>
        <w:pStyle w:val="Heading3"/>
      </w:pPr>
      <w:r>
        <w:t>4.8.2  Net Debt History (Rows 548–549)</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440"/>
          </w:tcPr>
          <w:p>
            <w:r>
              <w:rPr>
                <w:b/>
                <w:sz w:val="18"/>
              </w:rPr>
              <w:t>Year</w:t>
            </w:r>
          </w:p>
        </w:tc>
        <w:tc>
          <w:tcPr>
            <w:tcW w:type="dxa" w:w="2592"/>
          </w:tcPr>
          <w:p>
            <w:r>
              <w:rPr>
                <w:b/>
                <w:sz w:val="18"/>
              </w:rPr>
              <w:t>Total Debt ($m)</w:t>
            </w:r>
          </w:p>
        </w:tc>
        <w:tc>
          <w:tcPr>
            <w:tcW w:type="dxa" w:w="2592"/>
          </w:tcPr>
          <w:p>
            <w:r>
              <w:rPr>
                <w:b/>
                <w:sz w:val="18"/>
              </w:rPr>
              <w:t>Cash+Investments ($m)</w:t>
            </w:r>
          </w:p>
        </w:tc>
        <w:tc>
          <w:tcPr>
            <w:tcW w:type="dxa" w:w="1440"/>
          </w:tcPr>
          <w:p>
            <w:r>
              <w:rPr>
                <w:b/>
                <w:sz w:val="18"/>
              </w:rPr>
              <w:t>Net Debt ($m)</w:t>
            </w:r>
          </w:p>
        </w:tc>
        <w:tc>
          <w:tcPr>
            <w:tcW w:type="dxa" w:w="2160"/>
          </w:tcPr>
          <w:p>
            <w:r>
              <w:rPr>
                <w:b/>
                <w:sz w:val="18"/>
              </w:rPr>
              <w:t>Status</w:t>
            </w:r>
          </w:p>
        </w:tc>
      </w:tr>
      <w:tr>
        <w:tc>
          <w:tcPr>
            <w:tcW w:type="dxa" w:w="1440"/>
          </w:tcPr>
          <w:p/>
        </w:tc>
        <w:tc>
          <w:tcPr>
            <w:tcW w:type="dxa" w:w="2592"/>
          </w:tcPr>
          <w:p/>
        </w:tc>
        <w:tc>
          <w:tcPr>
            <w:tcW w:type="dxa" w:w="2592"/>
          </w:tcPr>
          <w:p/>
        </w:tc>
        <w:tc>
          <w:tcPr>
            <w:tcW w:type="dxa" w:w="1440"/>
          </w:tcPr>
          <w:p/>
        </w:tc>
        <w:tc>
          <w:tcPr>
            <w:tcW w:type="dxa" w:w="2160"/>
          </w:tcPr>
          <w:p/>
        </w:tc>
      </w:tr>
      <w:tr>
        <w:tc>
          <w:tcPr>
            <w:tcW w:type="dxa" w:w="1440"/>
          </w:tcPr>
          <w:p/>
        </w:tc>
        <w:tc>
          <w:tcPr>
            <w:tcW w:type="dxa" w:w="2592"/>
          </w:tcPr>
          <w:p/>
        </w:tc>
        <w:tc>
          <w:tcPr>
            <w:tcW w:type="dxa" w:w="2592"/>
          </w:tcPr>
          <w:p/>
        </w:tc>
        <w:tc>
          <w:tcPr>
            <w:tcW w:type="dxa" w:w="1440"/>
          </w:tcPr>
          <w:p/>
        </w:tc>
        <w:tc>
          <w:tcPr>
            <w:tcW w:type="dxa" w:w="2160"/>
          </w:tcPr>
          <w:p/>
        </w:tc>
      </w:tr>
      <w:tr>
        <w:tc>
          <w:tcPr>
            <w:tcW w:type="dxa" w:w="1440"/>
          </w:tcPr>
          <w:p/>
        </w:tc>
        <w:tc>
          <w:tcPr>
            <w:tcW w:type="dxa" w:w="2592"/>
          </w:tcPr>
          <w:p/>
        </w:tc>
        <w:tc>
          <w:tcPr>
            <w:tcW w:type="dxa" w:w="2592"/>
          </w:tcPr>
          <w:p/>
        </w:tc>
        <w:tc>
          <w:tcPr>
            <w:tcW w:type="dxa" w:w="1440"/>
          </w:tcPr>
          <w:p/>
        </w:tc>
        <w:tc>
          <w:tcPr>
            <w:tcW w:type="dxa" w:w="2160"/>
          </w:tcPr>
          <w:p/>
        </w:tc>
      </w:tr>
      <w:tr>
        <w:tc>
          <w:tcPr>
            <w:tcW w:type="dxa" w:w="1440"/>
          </w:tcPr>
          <w:p/>
        </w:tc>
        <w:tc>
          <w:tcPr>
            <w:tcW w:type="dxa" w:w="2592"/>
          </w:tcPr>
          <w:p/>
        </w:tc>
        <w:tc>
          <w:tcPr>
            <w:tcW w:type="dxa" w:w="2592"/>
          </w:tcPr>
          <w:p/>
        </w:tc>
        <w:tc>
          <w:tcPr>
            <w:tcW w:type="dxa" w:w="1440"/>
          </w:tcPr>
          <w:p/>
        </w:tc>
        <w:tc>
          <w:tcPr>
            <w:tcW w:type="dxa" w:w="2160"/>
          </w:tcPr>
          <w:p/>
        </w:tc>
      </w:tr>
      <w:tr>
        <w:tc>
          <w:tcPr>
            <w:tcW w:type="dxa" w:w="1440"/>
          </w:tcPr>
          <w:p/>
        </w:tc>
        <w:tc>
          <w:tcPr>
            <w:tcW w:type="dxa" w:w="2592"/>
          </w:tcPr>
          <w:p/>
        </w:tc>
        <w:tc>
          <w:tcPr>
            <w:tcW w:type="dxa" w:w="2592"/>
          </w:tcPr>
          <w:p/>
        </w:tc>
        <w:tc>
          <w:tcPr>
            <w:tcW w:type="dxa" w:w="1440"/>
          </w:tcPr>
          <w:p/>
        </w:tc>
        <w:tc>
          <w:tcPr>
            <w:tcW w:type="dxa" w:w="2160"/>
          </w:tcPr>
          <w:p/>
        </w:tc>
      </w:tr>
      <w:tr>
        <w:tc>
          <w:tcPr>
            <w:tcW w:type="dxa" w:w="1440"/>
          </w:tcPr>
          <w:p/>
        </w:tc>
        <w:tc>
          <w:tcPr>
            <w:tcW w:type="dxa" w:w="2592"/>
          </w:tcPr>
          <w:p/>
        </w:tc>
        <w:tc>
          <w:tcPr>
            <w:tcW w:type="dxa" w:w="2592"/>
          </w:tcPr>
          <w:p/>
        </w:tc>
        <w:tc>
          <w:tcPr>
            <w:tcW w:type="dxa" w:w="1440"/>
          </w:tcPr>
          <w:p/>
        </w:tc>
        <w:tc>
          <w:tcPr>
            <w:tcW w:type="dxa" w:w="2160"/>
          </w:tcPr>
          <w:p/>
        </w:tc>
      </w:tr>
      <w:tr>
        <w:tc>
          <w:tcPr>
            <w:tcW w:type="dxa" w:w="1440"/>
          </w:tcPr>
          <w:p/>
        </w:tc>
        <w:tc>
          <w:tcPr>
            <w:tcW w:type="dxa" w:w="2592"/>
          </w:tcPr>
          <w:p/>
        </w:tc>
        <w:tc>
          <w:tcPr>
            <w:tcW w:type="dxa" w:w="2592"/>
          </w:tcPr>
          <w:p/>
        </w:tc>
        <w:tc>
          <w:tcPr>
            <w:tcW w:type="dxa" w:w="1440"/>
          </w:tcPr>
          <w:p/>
        </w:tc>
        <w:tc>
          <w:tcPr>
            <w:tcW w:type="dxa" w:w="2160"/>
          </w:tcPr>
          <w:p/>
        </w:tc>
      </w:tr>
      <w:tr>
        <w:tc>
          <w:tcPr>
            <w:tcW w:type="dxa" w:w="1440"/>
          </w:tcPr>
          <w:p>
            <w:r>
              <w:rPr>
                <w:sz w:val="18"/>
              </w:rPr>
              <w:t>FY2015</w:t>
            </w:r>
          </w:p>
        </w:tc>
        <w:tc>
          <w:tcPr>
            <w:tcW w:type="dxa" w:w="2592"/>
          </w:tcPr>
          <w:p>
            <w:r>
              <w:rPr>
                <w:sz w:val="18"/>
              </w:rPr>
              <w:t>1,260</w:t>
            </w:r>
          </w:p>
        </w:tc>
        <w:tc>
          <w:tcPr>
            <w:tcW w:type="dxa" w:w="2592"/>
          </w:tcPr>
          <w:p>
            <w:r>
              <w:rPr>
                <w:sz w:val="18"/>
              </w:rPr>
              <w:t>6,002</w:t>
            </w:r>
          </w:p>
        </w:tc>
        <w:tc>
          <w:tcPr>
            <w:tcW w:type="dxa" w:w="1440"/>
          </w:tcPr>
          <w:p>
            <w:r>
              <w:rPr>
                <w:sz w:val="18"/>
              </w:rPr>
              <w:t>-4,742</w:t>
            </w:r>
          </w:p>
        </w:tc>
        <w:tc>
          <w:tcPr>
            <w:tcW w:type="dxa" w:w="2160"/>
          </w:tcPr>
          <w:p>
            <w:r>
              <w:rPr>
                <w:sz w:val="18"/>
              </w:rPr>
              <w:t>Strong net cash</w:t>
            </w:r>
          </w:p>
        </w:tc>
      </w:tr>
      <w:tr>
        <w:tc>
          <w:tcPr>
            <w:tcW w:type="dxa" w:w="1440"/>
          </w:tcPr>
          <w:p>
            <w:r>
              <w:rPr>
                <w:sz w:val="18"/>
              </w:rPr>
              <w:t>FY2019</w:t>
            </w:r>
          </w:p>
        </w:tc>
        <w:tc>
          <w:tcPr>
            <w:tcW w:type="dxa" w:w="2592"/>
          </w:tcPr>
          <w:p>
            <w:r>
              <w:rPr>
                <w:sz w:val="18"/>
              </w:rPr>
              <w:t>3,853</w:t>
            </w:r>
          </w:p>
        </w:tc>
        <w:tc>
          <w:tcPr>
            <w:tcW w:type="dxa" w:w="2592"/>
          </w:tcPr>
          <w:p>
            <w:r>
              <w:rPr>
                <w:sz w:val="18"/>
              </w:rPr>
              <w:t>4,663</w:t>
            </w:r>
          </w:p>
        </w:tc>
        <w:tc>
          <w:tcPr>
            <w:tcW w:type="dxa" w:w="1440"/>
          </w:tcPr>
          <w:p>
            <w:r>
              <w:rPr>
                <w:sz w:val="18"/>
              </w:rPr>
              <w:t>-810</w:t>
            </w:r>
          </w:p>
        </w:tc>
        <w:tc>
          <w:tcPr>
            <w:tcW w:type="dxa" w:w="2160"/>
          </w:tcPr>
          <w:p>
            <w:r>
              <w:rPr>
                <w:sz w:val="18"/>
              </w:rPr>
              <w:t>Slight net cash</w:t>
            </w:r>
          </w:p>
        </w:tc>
      </w:tr>
      <w:tr>
        <w:tc>
          <w:tcPr>
            <w:tcW w:type="dxa" w:w="1440"/>
          </w:tcPr>
          <w:p>
            <w:r>
              <w:rPr>
                <w:sz w:val="18"/>
              </w:rPr>
              <w:t>FY2020</w:t>
            </w:r>
          </w:p>
        </w:tc>
        <w:tc>
          <w:tcPr>
            <w:tcW w:type="dxa" w:w="2592"/>
          </w:tcPr>
          <w:p>
            <w:r>
              <w:rPr>
                <w:sz w:val="18"/>
              </w:rPr>
              <w:t>13,015</w:t>
            </w:r>
          </w:p>
        </w:tc>
        <w:tc>
          <w:tcPr>
            <w:tcW w:type="dxa" w:w="2592"/>
          </w:tcPr>
          <w:p>
            <w:r>
              <w:rPr>
                <w:sz w:val="18"/>
              </w:rPr>
              <w:t>8,787</w:t>
            </w:r>
          </w:p>
        </w:tc>
        <w:tc>
          <w:tcPr>
            <w:tcW w:type="dxa" w:w="1440"/>
          </w:tcPr>
          <w:p>
            <w:r>
              <w:rPr>
                <w:sz w:val="18"/>
              </w:rPr>
              <w:t>+4,228</w:t>
            </w:r>
          </w:p>
        </w:tc>
        <w:tc>
          <w:tcPr>
            <w:tcW w:type="dxa" w:w="2160"/>
          </w:tcPr>
          <w:p>
            <w:r>
              <w:rPr>
                <w:sz w:val="18"/>
              </w:rPr>
              <w:t>FIRST net debt position — COVID borrowing</w:t>
            </w:r>
          </w:p>
        </w:tc>
      </w:tr>
      <w:tr>
        <w:tc>
          <w:tcPr>
            <w:tcW w:type="dxa" w:w="1440"/>
          </w:tcPr>
          <w:p>
            <w:r>
              <w:rPr>
                <w:sz w:val="18"/>
              </w:rPr>
              <w:t>FY2021</w:t>
            </w:r>
          </w:p>
        </w:tc>
        <w:tc>
          <w:tcPr>
            <w:tcW w:type="dxa" w:w="2592"/>
          </w:tcPr>
          <w:p>
            <w:r>
              <w:rPr>
                <w:sz w:val="18"/>
              </w:rPr>
              <w:t>12,813</w:t>
            </w:r>
          </w:p>
        </w:tc>
        <w:tc>
          <w:tcPr>
            <w:tcW w:type="dxa" w:w="2592"/>
          </w:tcPr>
          <w:p>
            <w:r>
              <w:rPr>
                <w:sz w:val="18"/>
              </w:rPr>
              <w:t>13,476</w:t>
            </w:r>
          </w:p>
        </w:tc>
        <w:tc>
          <w:tcPr>
            <w:tcW w:type="dxa" w:w="1440"/>
          </w:tcPr>
          <w:p>
            <w:r>
              <w:rPr>
                <w:sz w:val="18"/>
              </w:rPr>
              <w:t>-663</w:t>
            </w:r>
          </w:p>
        </w:tc>
        <w:tc>
          <w:tcPr>
            <w:tcW w:type="dxa" w:w="2160"/>
          </w:tcPr>
          <w:p>
            <w:r>
              <w:rPr>
                <w:sz w:val="18"/>
              </w:rPr>
              <w:t>Back to net cash (massive COO recovery)</w:t>
            </w:r>
          </w:p>
        </w:tc>
      </w:tr>
      <w:tr>
        <w:tc>
          <w:tcPr>
            <w:tcW w:type="dxa" w:w="1440"/>
          </w:tcPr>
          <w:p>
            <w:r>
              <w:rPr>
                <w:sz w:val="18"/>
              </w:rPr>
              <w:t>FY2022</w:t>
            </w:r>
          </w:p>
        </w:tc>
        <w:tc>
          <w:tcPr>
            <w:tcW w:type="dxa" w:w="2592"/>
          </w:tcPr>
          <w:p>
            <w:r>
              <w:rPr>
                <w:sz w:val="18"/>
              </w:rPr>
              <w:t>12,627</w:t>
            </w:r>
          </w:p>
        </w:tc>
        <w:tc>
          <w:tcPr>
            <w:tcW w:type="dxa" w:w="2592"/>
          </w:tcPr>
          <w:p>
            <w:r>
              <w:rPr>
                <w:sz w:val="18"/>
              </w:rPr>
              <w:t>12,997</w:t>
            </w:r>
          </w:p>
        </w:tc>
        <w:tc>
          <w:tcPr>
            <w:tcW w:type="dxa" w:w="1440"/>
          </w:tcPr>
          <w:p>
            <w:r>
              <w:rPr>
                <w:sz w:val="18"/>
              </w:rPr>
              <w:t>-370</w:t>
            </w:r>
          </w:p>
        </w:tc>
        <w:tc>
          <w:tcPr>
            <w:tcW w:type="dxa" w:w="2160"/>
          </w:tcPr>
          <w:p>
            <w:r>
              <w:rPr>
                <w:sz w:val="18"/>
              </w:rPr>
              <w:t>Marginal net cash</w:t>
            </w:r>
          </w:p>
        </w:tc>
      </w:tr>
      <w:tr>
        <w:tc>
          <w:tcPr>
            <w:tcW w:type="dxa" w:w="1440"/>
          </w:tcPr>
          <w:p>
            <w:r>
              <w:rPr>
                <w:sz w:val="18"/>
              </w:rPr>
              <w:t>FY2023</w:t>
            </w:r>
          </w:p>
        </w:tc>
        <w:tc>
          <w:tcPr>
            <w:tcW w:type="dxa" w:w="2592"/>
          </w:tcPr>
          <w:p>
            <w:r>
              <w:rPr>
                <w:sz w:val="18"/>
              </w:rPr>
              <w:t>12,144</w:t>
            </w:r>
          </w:p>
        </w:tc>
        <w:tc>
          <w:tcPr>
            <w:tcW w:type="dxa" w:w="2592"/>
          </w:tcPr>
          <w:p>
            <w:r>
              <w:rPr>
                <w:sz w:val="18"/>
              </w:rPr>
              <w:t>10,675</w:t>
            </w:r>
          </w:p>
        </w:tc>
        <w:tc>
          <w:tcPr>
            <w:tcW w:type="dxa" w:w="1440"/>
          </w:tcPr>
          <w:p>
            <w:r>
              <w:rPr>
                <w:sz w:val="18"/>
              </w:rPr>
              <w:t>+1,469</w:t>
            </w:r>
          </w:p>
        </w:tc>
        <w:tc>
          <w:tcPr>
            <w:tcW w:type="dxa" w:w="2160"/>
          </w:tcPr>
          <w:p>
            <w:r>
              <w:rPr>
                <w:sz w:val="18"/>
              </w:rPr>
              <w:t>Net debt again (buybacks exceeded FCF)</w:t>
            </w:r>
          </w:p>
        </w:tc>
      </w:tr>
      <w:tr>
        <w:tc>
          <w:tcPr>
            <w:tcW w:type="dxa" w:w="1440"/>
          </w:tcPr>
          <w:p>
            <w:r>
              <w:rPr>
                <w:sz w:val="18"/>
              </w:rPr>
              <w:t>FY2024</w:t>
            </w:r>
          </w:p>
        </w:tc>
        <w:tc>
          <w:tcPr>
            <w:tcW w:type="dxa" w:w="2592"/>
          </w:tcPr>
          <w:p>
            <w:r>
              <w:rPr>
                <w:sz w:val="18"/>
              </w:rPr>
              <w:t>11,983</w:t>
            </w:r>
          </w:p>
        </w:tc>
        <w:tc>
          <w:tcPr>
            <w:tcW w:type="dxa" w:w="2592"/>
          </w:tcPr>
          <w:p>
            <w:r>
              <w:rPr>
                <w:sz w:val="18"/>
              </w:rPr>
              <w:t>11,582</w:t>
            </w:r>
          </w:p>
        </w:tc>
        <w:tc>
          <w:tcPr>
            <w:tcW w:type="dxa" w:w="1440"/>
          </w:tcPr>
          <w:p>
            <w:r>
              <w:rPr>
                <w:sz w:val="18"/>
              </w:rPr>
              <w:t>+401</w:t>
            </w:r>
          </w:p>
        </w:tc>
        <w:tc>
          <w:tcPr>
            <w:tcW w:type="dxa" w:w="2160"/>
          </w:tcPr>
          <w:p>
            <w:r>
              <w:rPr>
                <w:sz w:val="18"/>
              </w:rPr>
              <w:t>Slight net debt</w:t>
            </w:r>
          </w:p>
        </w:tc>
      </w:tr>
    </w:tbl>
    <w:p/>
    <w:p>
      <w:r>
        <w:rPr>
          <w:b w:val="0"/>
          <w:i w:val="0"/>
          <w:sz w:val="20"/>
        </w:rPr>
        <w:t>NIKE crossed into net debt for only the second time in FY2023 and remained there in FY2024, driven by the $5.5bn FY2023 buyback program outpacing FCF. This is a meaningful shift for a company historically known for its net-cash fortress balance sheet.</w:t>
      </w:r>
    </w:p>
    <w:p>
      <w:r>
        <w:br w:type="page"/>
      </w:r>
    </w:p>
    <w:p>
      <w:pPr>
        <w:pStyle w:val="Heading1"/>
      </w:pPr>
      <w:r>
        <w:t>PART V — Free Cash Flow and Valuation Mechanics</w:t>
      </w:r>
    </w:p>
    <w:p>
      <w:pPr>
        <w:pStyle w:val="Heading2"/>
      </w:pPr>
      <w:r>
        <w:t>5.1  EFCF — Equity Free Cash Flow</w:t>
      </w:r>
    </w:p>
    <w:p>
      <w:r>
        <w:rPr>
          <w:b w:val="0"/>
          <w:i w:val="0"/>
          <w:sz w:val="20"/>
        </w:rPr>
        <w:t>The model computes EFCF (Equity Free Cash Flow) as the FCF attributable to equity holders after debt service. The formula chain:</w:t>
      </w:r>
    </w:p>
    <w:p>
      <w:r>
        <w:rPr>
          <w:b/>
          <w:i w:val="0"/>
          <w:sz w:val="20"/>
        </w:rPr>
        <w:t xml:space="preserve">    EFCF = NI + D&amp;A − CapEx − ΔNOWC − Debt repayments + New debt issuances</w:t>
      </w:r>
    </w:p>
    <w:p>
      <w:r>
        <w:rPr>
          <w:b w:val="0"/>
          <w:i w:val="0"/>
          <w:sz w:val="20"/>
        </w:rPr>
        <w:t>This is the 'direct' approach to equity valuation (valuing equity directly rather than valuing the firm and subtracting debt). It is used alongside the WACC-based DCF as a cross-check.</w:t>
      </w:r>
    </w:p>
    <w:p>
      <w:pPr>
        <w:pStyle w:val="Heading2"/>
      </w:pPr>
      <w:r>
        <w:t>5.2  CFADS — Cash Flow Available for Debt Service</w:t>
      </w:r>
    </w:p>
    <w:p>
      <w:r>
        <w:rPr>
          <w:b w:val="0"/>
          <w:i w:val="0"/>
          <w:sz w:val="20"/>
        </w:rPr>
        <w:t>CFADS (rows 260–261) measures pre-financing cash flow available to pay all debt obligations. Two alternative calculations are provided in the model:</w:t>
      </w:r>
    </w:p>
    <w:p>
      <w:r>
        <w:rPr>
          <w:b/>
          <w:i w:val="0"/>
          <w:sz w:val="20"/>
        </w:rPr>
        <w:t xml:space="preserve">    Row 260: CFADS_A = EBIT(1−t) + D&amp;A − CapEx − ΔNOWC</w:t>
        <w:br/>
        <w:t xml:space="preserve">    Row 261: CFADS_B = Net Income + D&amp;A − CapEx − ΔNOWC + after-tax interest</w:t>
      </w:r>
    </w:p>
    <w:p>
      <w:pPr>
        <w:ind w:left="432"/>
      </w:pPr>
      <w:r>
        <w:rPr>
          <w:b/>
          <w:color w:val="C0390B"/>
          <w:sz w:val="18"/>
        </w:rPr>
        <w:t>[CRITICAL BUG]  [CRITICAL BUG] In row 260, the tax rate reference is NOT anchored. Historical formula: C260: =C217+C229+C227*(1-R25)-C230-C231 (uses absolute $R$25). But D260: =D217+D229+D227*(1-S25)-D230-D231 (uses S25, not $R25). E260 uses T25, F260 uses U25, etc. These cells (S25, T25, U25...) are EMPTY in the spreadsheet, meaning the tax adjustment defaults to (1-0) = 1, i.e. 0% tax. CFADS for FY2016 through FY2023 (columns D through K) are therefore computed with a ZERO tax rate rather than the ~21% statutory rate. The result: historical CFADS figures are OVERSTATED by approximately (EBIT × statutory rate) per year. FY2024 CFADS is correct (column L uses a formula without this bug). This systematic error affects 8 of 10 historical CFADS data points.</w:t>
      </w:r>
    </w:p>
    <w:p>
      <w:pPr>
        <w:pStyle w:val="Heading2"/>
      </w:pPr>
      <w:r>
        <w:t>5.3  Interest Expense (Row 356)</w:t>
      </w:r>
    </w:p>
    <w:p>
      <w:r>
        <w:rPr>
          <w:b w:val="0"/>
          <w:i w:val="0"/>
          <w:sz w:val="20"/>
        </w:rPr>
        <w:t>Interest expense = average IBD balance × average interest rate. The average IBD is computed as (beginning IBD + ending IBD) / 2, where IBD = sum of all rows annotated 'IBD' (rows 522, 523, 524, 528, 529). The average interest rate is drawn from a separate rate assumption cell (row 25 area) that is set to the approximate weighted average cost of NIKE's outstanding debt (~3.5% pre-tax). Cash interest paid (row 471 = $381m FY2024) confirms the accrual-basis interest expense in the model (~$382m FY2024) is accurate — less than $1m difference.</w:t>
      </w:r>
    </w:p>
    <w:p>
      <w:pPr>
        <w:pStyle w:val="Heading2"/>
      </w:pPr>
      <w:r>
        <w:t>5.4  CapEx Derivation from Balance Sheet (Row 248)</w:t>
      </w:r>
    </w:p>
    <w:p>
      <w:r>
        <w:rPr>
          <w:b w:val="0"/>
          <w:i w:val="0"/>
          <w:sz w:val="20"/>
        </w:rPr>
        <w:t>Rather than pulling CapEx directly from the CF statement (row 447), the model DERIVES it from the BS changes in Gross PP&amp;E:</w:t>
      </w:r>
    </w:p>
    <w:p>
      <w:r>
        <w:rPr>
          <w:b/>
          <w:i w:val="0"/>
          <w:sz w:val="20"/>
        </w:rPr>
        <w:t xml:space="preserve">    CapEx = ending Gross PP&amp;E − beginning Gross PP&amp;E + asset disposals</w:t>
      </w:r>
    </w:p>
    <w:p>
      <w:r>
        <w:rPr>
          <w:b w:val="0"/>
          <w:i w:val="0"/>
          <w:sz w:val="20"/>
        </w:rPr>
        <w:t>This approach ensures the BS and CF statement are consistent. It also means that if revenue-scaling causes Gross PP&amp;E to change, CapEx automatically adjusts. Asset disposals (row 448) are nil from FY2017 onwards, so in practice: CapEx = ΔGPPE. The model's forecast CapEx % of revenue (~3.2%) is consistent with NIKE's 10-year average (~3.0–3.5%).</w:t>
      </w:r>
    </w:p>
    <w:p>
      <w:pPr>
        <w:pStyle w:val="Heading2"/>
      </w:pPr>
      <w:r>
        <w:t>5.5  ITS — Interest Tax Shield (Two Methods)</w:t>
      </w:r>
    </w:p>
    <w:p>
      <w:r>
        <w:rPr>
          <w:b w:val="0"/>
          <w:i w:val="0"/>
          <w:sz w:val="20"/>
        </w:rPr>
        <w:t>The model values the interest tax shield using two alternative approaches, each providing a check on the other:</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Method</w:t>
            </w:r>
          </w:p>
        </w:tc>
        <w:tc>
          <w:tcPr>
            <w:tcW w:type="dxa" w:w="6480"/>
          </w:tcPr>
          <w:p>
            <w:r>
              <w:rPr>
                <w:b/>
                <w:sz w:val="18"/>
              </w:rPr>
              <w:t>Description</w:t>
            </w:r>
          </w:p>
        </w:tc>
        <w:tc>
          <w:tcPr>
            <w:tcW w:type="dxa" w:w="2160"/>
          </w:tcPr>
          <w:p>
            <w:r>
              <w:rPr>
                <w:b/>
                <w:sz w:val="18"/>
              </w:rPr>
              <w:t>Formula Row</w:t>
            </w:r>
          </w:p>
        </w:tc>
      </w:tr>
      <w:tr>
        <w:tc>
          <w:tcPr>
            <w:tcW w:type="dxa" w:w="2880"/>
          </w:tcPr>
          <w:p/>
        </w:tc>
        <w:tc>
          <w:tcPr>
            <w:tcW w:type="dxa" w:w="6480"/>
          </w:tcPr>
          <w:p/>
        </w:tc>
        <w:tc>
          <w:tcPr>
            <w:tcW w:type="dxa" w:w="2160"/>
          </w:tcPr>
          <w:p/>
        </w:tc>
      </w:tr>
      <w:tr>
        <w:tc>
          <w:tcPr>
            <w:tcW w:type="dxa" w:w="2880"/>
          </w:tcPr>
          <w:p/>
        </w:tc>
        <w:tc>
          <w:tcPr>
            <w:tcW w:type="dxa" w:w="6480"/>
          </w:tcPr>
          <w:p/>
        </w:tc>
        <w:tc>
          <w:tcPr>
            <w:tcW w:type="dxa" w:w="2160"/>
          </w:tcPr>
          <w:p/>
        </w:tc>
      </w:tr>
      <w:tr>
        <w:tc>
          <w:tcPr>
            <w:tcW w:type="dxa" w:w="2880"/>
          </w:tcPr>
          <w:p>
            <w:r>
              <w:rPr>
                <w:sz w:val="18"/>
              </w:rPr>
              <w:t>Method 1: Modigliani-Miller (perpetuity)</w:t>
            </w:r>
          </w:p>
        </w:tc>
        <w:tc>
          <w:tcPr>
            <w:tcW w:type="dxa" w:w="6480"/>
          </w:tcPr>
          <w:p>
            <w:r>
              <w:rPr>
                <w:sz w:val="18"/>
              </w:rPr>
              <w:t>ITS PV = D × tax rate; assumes shield is permanent and valued at pre-tax cost of debt</w:t>
            </w:r>
          </w:p>
        </w:tc>
        <w:tc>
          <w:tcPr>
            <w:tcW w:type="dxa" w:w="2160"/>
          </w:tcPr>
          <w:p>
            <w:r>
              <w:rPr>
                <w:sz w:val="18"/>
              </w:rPr>
              <w:t>Row ~Q9 section</w:t>
            </w:r>
          </w:p>
        </w:tc>
      </w:tr>
      <w:tr>
        <w:tc>
          <w:tcPr>
            <w:tcW w:type="dxa" w:w="2880"/>
          </w:tcPr>
          <w:p>
            <w:r>
              <w:rPr>
                <w:sz w:val="18"/>
              </w:rPr>
              <w:t>Method 2: Miles-Ezzell (annual shield)</w:t>
            </w:r>
          </w:p>
        </w:tc>
        <w:tc>
          <w:tcPr>
            <w:tcW w:type="dxa" w:w="6480"/>
          </w:tcPr>
          <w:p>
            <w:r>
              <w:rPr>
                <w:sz w:val="18"/>
              </w:rPr>
              <w:t>Each year's shield = interest × tax rate, discounted at cost of unlevered equity; more conservative</w:t>
            </w:r>
          </w:p>
        </w:tc>
        <w:tc>
          <w:tcPr>
            <w:tcW w:type="dxa" w:w="2160"/>
          </w:tcPr>
          <w:p>
            <w:r>
              <w:rPr>
                <w:sz w:val="18"/>
              </w:rPr>
              <w:t>Row ~Q9 section</w:t>
            </w:r>
          </w:p>
        </w:tc>
      </w:tr>
    </w:tbl>
    <w:p/>
    <w:p>
      <w:r>
        <w:rPr>
          <w:b w:val="0"/>
          <w:i w:val="0"/>
          <w:sz w:val="20"/>
        </w:rPr>
        <w:t>The model uses Method 1 as the primary ITS for the APV calculation and Method 2 as a cross-check. Both are used to reconcile the levered and unlevered DCF values.</w:t>
      </w:r>
    </w:p>
    <w:p>
      <w:r>
        <w:br w:type="page"/>
      </w:r>
    </w:p>
    <w:p>
      <w:pPr>
        <w:pStyle w:val="Heading1"/>
      </w:pPr>
      <w:r>
        <w:t>PART VI — DCF Valuation and WACC</w:t>
      </w:r>
    </w:p>
    <w:p>
      <w:pPr>
        <w:pStyle w:val="Heading2"/>
      </w:pPr>
      <w:r>
        <w:t>6.1  WACC Calculation</w:t>
      </w:r>
    </w:p>
    <w:p>
      <w:r>
        <w:rPr>
          <w:b w:val="0"/>
          <w:i w:val="0"/>
          <w:sz w:val="20"/>
        </w:rPr>
        <w:t>The model uses a mixed WACC that blends the after-tax cost of debt and cost of equity using market-value weights. The D/(D+E) weight is derived from row 323 (D/TA ratio) which is converted to D/(D+E) using the identity: D/(D+E) = (D/TA) / (1 + D/TA − 1) = D/TA / (D/E + D/TA).</w:t>
      </w:r>
    </w:p>
    <w:p>
      <w:r>
        <w:rPr>
          <w:b w:val="0"/>
          <w:i w:val="0"/>
          <w:sz w:val="20"/>
        </w:rPr>
        <w:t>WACC components (base case):</w:t>
        <w:br/>
        <w:t xml:space="preserve">  • Risk-free rate: 10-year US Treasury yield (~4.3%)</w:t>
        <w:br/>
        <w:t xml:space="preserve">  • Equity risk premium (ERP): ~5.5%</w:t>
        <w:br/>
        <w:t xml:space="preserve">  • Beta: ~0.8–0.9 (NIKE's 5-year monthly beta)</w:t>
        <w:br/>
        <w:t xml:space="preserve">  • Cost of equity = RFR + β × ERP ≈ 8.7–9.3%</w:t>
        <w:br/>
        <w:t xml:space="preserve">  • Pre-tax cost of debt ≈ 3.5–4.0%</w:t>
        <w:br/>
        <w:t xml:space="preserve">  • After-tax cost of debt ≈ 3.0% (at 21% tax rate)</w:t>
        <w:br/>
        <w:t xml:space="preserve">  • Base WACC ≈ 10.43% (cell O25)</w:t>
      </w:r>
    </w:p>
    <w:p>
      <w:pPr>
        <w:pStyle w:val="Heading2"/>
      </w:pPr>
      <w:r>
        <w:t>6.2  Sensitivity Table — Exact WACC Values (Rows 63–74)</w:t>
      </w:r>
    </w:p>
    <w:p>
      <w:r>
        <w:rPr>
          <w:b w:val="0"/>
          <w:i w:val="0"/>
          <w:sz w:val="20"/>
        </w:rPr>
        <w:t>The sensitivity analysis creates a matrix with WACC on the vertical axis and terminal growth rate (g) on the horizontal axis. The exact WACC values are:</w:t>
      </w:r>
    </w:p>
    <w:tbl>
      <w:tblPr>
        <w:tblStyle w:val="LightList-Accent1"/>
        <w:tblW w:type="auto" w:w="0"/>
        <w:tblLook w:firstColumn="1" w:firstRow="1" w:lastColumn="0" w:lastRow="0" w:noHBand="0" w:noVBand="1" w:val="04A0"/>
      </w:tblPr>
      <w:tblGrid>
        <w:gridCol w:w="2880"/>
        <w:gridCol w:w="2880"/>
        <w:gridCol w:w="2880"/>
      </w:tblGrid>
      <w:tr>
        <w:tc>
          <w:tcPr>
            <w:tcW w:type="dxa" w:w="1152"/>
          </w:tcPr>
          <w:p>
            <w:r>
              <w:rPr>
                <w:b/>
                <w:sz w:val="18"/>
              </w:rPr>
              <w:t>Row</w:t>
            </w:r>
          </w:p>
        </w:tc>
        <w:tc>
          <w:tcPr>
            <w:tcW w:type="dxa" w:w="2160"/>
          </w:tcPr>
          <w:p>
            <w:r>
              <w:rPr>
                <w:b/>
                <w:sz w:val="18"/>
              </w:rPr>
              <w:t>WACC Value</w:t>
            </w:r>
          </w:p>
        </w:tc>
        <w:tc>
          <w:tcPr>
            <w:tcW w:type="dxa" w:w="6480"/>
          </w:tcPr>
          <w:p>
            <w:r>
              <w:rPr>
                <w:b/>
                <w:sz w:val="18"/>
              </w:rPr>
              <w:t>Relationship</w:t>
            </w:r>
          </w:p>
        </w:tc>
      </w:tr>
      <w:tr>
        <w:tc>
          <w:tcPr>
            <w:tcW w:type="dxa" w:w="1152"/>
          </w:tcPr>
          <w:p/>
        </w:tc>
        <w:tc>
          <w:tcPr>
            <w:tcW w:type="dxa" w:w="2160"/>
          </w:tcPr>
          <w:p/>
        </w:tc>
        <w:tc>
          <w:tcPr>
            <w:tcW w:type="dxa" w:w="6480"/>
          </w:tcPr>
          <w:p/>
        </w:tc>
      </w:tr>
      <w:tr>
        <w:tc>
          <w:tcPr>
            <w:tcW w:type="dxa" w:w="1152"/>
          </w:tcPr>
          <w:p/>
        </w:tc>
        <w:tc>
          <w:tcPr>
            <w:tcW w:type="dxa" w:w="2160"/>
          </w:tcPr>
          <w:p/>
        </w:tc>
        <w:tc>
          <w:tcPr>
            <w:tcW w:type="dxa" w:w="6480"/>
          </w:tcPr>
          <w:p/>
        </w:tc>
      </w:tr>
      <w:tr>
        <w:tc>
          <w:tcPr>
            <w:tcW w:type="dxa" w:w="1152"/>
          </w:tcPr>
          <w:p/>
        </w:tc>
        <w:tc>
          <w:tcPr>
            <w:tcW w:type="dxa" w:w="2160"/>
          </w:tcPr>
          <w:p/>
        </w:tc>
        <w:tc>
          <w:tcPr>
            <w:tcW w:type="dxa" w:w="6480"/>
          </w:tcPr>
          <w:p/>
        </w:tc>
      </w:tr>
      <w:tr>
        <w:tc>
          <w:tcPr>
            <w:tcW w:type="dxa" w:w="1152"/>
          </w:tcPr>
          <w:p/>
        </w:tc>
        <w:tc>
          <w:tcPr>
            <w:tcW w:type="dxa" w:w="2160"/>
          </w:tcPr>
          <w:p/>
        </w:tc>
        <w:tc>
          <w:tcPr>
            <w:tcW w:type="dxa" w:w="6480"/>
          </w:tcPr>
          <w:p/>
        </w:tc>
      </w:tr>
      <w:tr>
        <w:tc>
          <w:tcPr>
            <w:tcW w:type="dxa" w:w="1152"/>
          </w:tcPr>
          <w:p/>
        </w:tc>
        <w:tc>
          <w:tcPr>
            <w:tcW w:type="dxa" w:w="2160"/>
          </w:tcPr>
          <w:p/>
        </w:tc>
        <w:tc>
          <w:tcPr>
            <w:tcW w:type="dxa" w:w="6480"/>
          </w:tcPr>
          <w:p/>
        </w:tc>
      </w:tr>
      <w:tr>
        <w:tc>
          <w:tcPr>
            <w:tcW w:type="dxa" w:w="1152"/>
          </w:tcPr>
          <w:p/>
        </w:tc>
        <w:tc>
          <w:tcPr>
            <w:tcW w:type="dxa" w:w="2160"/>
          </w:tcPr>
          <w:p/>
        </w:tc>
        <w:tc>
          <w:tcPr>
            <w:tcW w:type="dxa" w:w="6480"/>
          </w:tcPr>
          <w:p/>
        </w:tc>
      </w:tr>
      <w:tr>
        <w:tc>
          <w:tcPr>
            <w:tcW w:type="dxa" w:w="1152"/>
          </w:tcPr>
          <w:p/>
        </w:tc>
        <w:tc>
          <w:tcPr>
            <w:tcW w:type="dxa" w:w="2160"/>
          </w:tcPr>
          <w:p/>
        </w:tc>
        <w:tc>
          <w:tcPr>
            <w:tcW w:type="dxa" w:w="6480"/>
          </w:tcPr>
          <w:p/>
        </w:tc>
      </w:tr>
      <w:tr>
        <w:tc>
          <w:tcPr>
            <w:tcW w:type="dxa" w:w="1152"/>
          </w:tcPr>
          <w:p/>
        </w:tc>
        <w:tc>
          <w:tcPr>
            <w:tcW w:type="dxa" w:w="2160"/>
          </w:tcPr>
          <w:p/>
        </w:tc>
        <w:tc>
          <w:tcPr>
            <w:tcW w:type="dxa" w:w="6480"/>
          </w:tcPr>
          <w:p/>
        </w:tc>
      </w:tr>
      <w:tr>
        <w:tc>
          <w:tcPr>
            <w:tcW w:type="dxa" w:w="1152"/>
          </w:tcPr>
          <w:p/>
        </w:tc>
        <w:tc>
          <w:tcPr>
            <w:tcW w:type="dxa" w:w="2160"/>
          </w:tcPr>
          <w:p/>
        </w:tc>
        <w:tc>
          <w:tcPr>
            <w:tcW w:type="dxa" w:w="6480"/>
          </w:tcPr>
          <w:p/>
        </w:tc>
      </w:tr>
      <w:tr>
        <w:tc>
          <w:tcPr>
            <w:tcW w:type="dxa" w:w="1152"/>
          </w:tcPr>
          <w:p/>
        </w:tc>
        <w:tc>
          <w:tcPr>
            <w:tcW w:type="dxa" w:w="2160"/>
          </w:tcPr>
          <w:p/>
        </w:tc>
        <w:tc>
          <w:tcPr>
            <w:tcW w:type="dxa" w:w="6480"/>
          </w:tcPr>
          <w:p/>
        </w:tc>
      </w:tr>
      <w:tr>
        <w:tc>
          <w:tcPr>
            <w:tcW w:type="dxa" w:w="1152"/>
          </w:tcPr>
          <w:p/>
        </w:tc>
        <w:tc>
          <w:tcPr>
            <w:tcW w:type="dxa" w:w="2160"/>
          </w:tcPr>
          <w:p/>
        </w:tc>
        <w:tc>
          <w:tcPr>
            <w:tcW w:type="dxa" w:w="6480"/>
          </w:tcPr>
          <w:p/>
        </w:tc>
      </w:tr>
      <w:tr>
        <w:tc>
          <w:tcPr>
            <w:tcW w:type="dxa" w:w="1152"/>
          </w:tcPr>
          <w:p/>
        </w:tc>
        <w:tc>
          <w:tcPr>
            <w:tcW w:type="dxa" w:w="2160"/>
          </w:tcPr>
          <w:p/>
        </w:tc>
        <w:tc>
          <w:tcPr>
            <w:tcW w:type="dxa" w:w="6480"/>
          </w:tcPr>
          <w:p/>
        </w:tc>
      </w:tr>
      <w:tr>
        <w:tc>
          <w:tcPr>
            <w:tcW w:type="dxa" w:w="1152"/>
          </w:tcPr>
          <w:p>
            <w:r>
              <w:rPr>
                <w:sz w:val="18"/>
              </w:rPr>
              <w:t>H63</w:t>
            </w:r>
          </w:p>
        </w:tc>
        <w:tc>
          <w:tcPr>
            <w:tcW w:type="dxa" w:w="2160"/>
          </w:tcPr>
          <w:p>
            <w:r>
              <w:rPr>
                <w:sz w:val="18"/>
              </w:rPr>
              <w:t>≈ 7.5%</w:t>
            </w:r>
          </w:p>
        </w:tc>
        <w:tc>
          <w:tcPr>
            <w:tcW w:type="dxa" w:w="6480"/>
          </w:tcPr>
          <w:p>
            <w:r>
              <w:rPr>
                <w:sz w:val="18"/>
              </w:rPr>
              <w:t>Fixed low end</w:t>
            </w:r>
          </w:p>
        </w:tc>
      </w:tr>
      <w:tr>
        <w:tc>
          <w:tcPr>
            <w:tcW w:type="dxa" w:w="1152"/>
          </w:tcPr>
          <w:p>
            <w:r>
              <w:rPr>
                <w:sz w:val="18"/>
              </w:rPr>
              <w:t>H64</w:t>
            </w:r>
          </w:p>
        </w:tc>
        <w:tc>
          <w:tcPr>
            <w:tcW w:type="dxa" w:w="2160"/>
          </w:tcPr>
          <w:p>
            <w:r>
              <w:rPr>
                <w:sz w:val="18"/>
              </w:rPr>
              <w:t>≈ 8.5%</w:t>
            </w:r>
          </w:p>
        </w:tc>
        <w:tc>
          <w:tcPr>
            <w:tcW w:type="dxa" w:w="6480"/>
          </w:tcPr>
          <w:p>
            <w:r>
              <w:rPr>
                <w:sz w:val="18"/>
              </w:rPr>
              <w:t>Fixed</w:t>
            </w:r>
          </w:p>
        </w:tc>
      </w:tr>
      <w:tr>
        <w:tc>
          <w:tcPr>
            <w:tcW w:type="dxa" w:w="1152"/>
          </w:tcPr>
          <w:p>
            <w:r>
              <w:rPr>
                <w:sz w:val="18"/>
              </w:rPr>
              <w:t>H65</w:t>
            </w:r>
          </w:p>
        </w:tc>
        <w:tc>
          <w:tcPr>
            <w:tcW w:type="dxa" w:w="2160"/>
          </w:tcPr>
          <w:p>
            <w:r>
              <w:rPr>
                <w:sz w:val="18"/>
              </w:rPr>
              <w:t>= H66 − 0.5%</w:t>
            </w:r>
          </w:p>
        </w:tc>
        <w:tc>
          <w:tcPr>
            <w:tcW w:type="dxa" w:w="6480"/>
          </w:tcPr>
          <w:p>
            <w:r>
              <w:rPr>
                <w:sz w:val="18"/>
              </w:rPr>
              <w:t>Derived relative to row below</w:t>
            </w:r>
          </w:p>
        </w:tc>
      </w:tr>
      <w:tr>
        <w:tc>
          <w:tcPr>
            <w:tcW w:type="dxa" w:w="1152"/>
          </w:tcPr>
          <w:p>
            <w:r>
              <w:rPr>
                <w:sz w:val="18"/>
              </w:rPr>
              <w:t>H66</w:t>
            </w:r>
          </w:p>
        </w:tc>
        <w:tc>
          <w:tcPr>
            <w:tcW w:type="dxa" w:w="2160"/>
          </w:tcPr>
          <w:p>
            <w:r>
              <w:rPr>
                <w:sz w:val="18"/>
              </w:rPr>
              <w:t>= H67 − 0.5%</w:t>
            </w:r>
          </w:p>
        </w:tc>
        <w:tc>
          <w:tcPr>
            <w:tcW w:type="dxa" w:w="6480"/>
          </w:tcPr>
          <w:p>
            <w:r>
              <w:rPr>
                <w:sz w:val="18"/>
              </w:rPr>
              <w:t>Derived relative to row below</w:t>
            </w:r>
          </w:p>
        </w:tc>
      </w:tr>
      <w:tr>
        <w:tc>
          <w:tcPr>
            <w:tcW w:type="dxa" w:w="1152"/>
          </w:tcPr>
          <w:p>
            <w:r>
              <w:rPr>
                <w:sz w:val="18"/>
              </w:rPr>
              <w:t>H67</w:t>
            </w:r>
          </w:p>
        </w:tc>
        <w:tc>
          <w:tcPr>
            <w:tcW w:type="dxa" w:w="2160"/>
          </w:tcPr>
          <w:p>
            <w:r>
              <w:rPr>
                <w:sz w:val="18"/>
              </w:rPr>
              <w:t>= 9.5%</w:t>
            </w:r>
          </w:p>
        </w:tc>
        <w:tc>
          <w:tcPr>
            <w:tcW w:type="dxa" w:w="6480"/>
          </w:tcPr>
          <w:p>
            <w:r>
              <w:rPr>
                <w:sz w:val="18"/>
              </w:rPr>
              <w:t>Fixed</w:t>
            </w:r>
          </w:p>
        </w:tc>
      </w:tr>
      <w:tr>
        <w:tc>
          <w:tcPr>
            <w:tcW w:type="dxa" w:w="1152"/>
          </w:tcPr>
          <w:p>
            <w:r>
              <w:rPr>
                <w:sz w:val="18"/>
              </w:rPr>
              <w:t>H68</w:t>
            </w:r>
          </w:p>
        </w:tc>
        <w:tc>
          <w:tcPr>
            <w:tcW w:type="dxa" w:w="2160"/>
          </w:tcPr>
          <w:p>
            <w:r>
              <w:rPr>
                <w:sz w:val="18"/>
              </w:rPr>
              <w:t>= O25 (base WACC)</w:t>
            </w:r>
          </w:p>
        </w:tc>
        <w:tc>
          <w:tcPr>
            <w:tcW w:type="dxa" w:w="6480"/>
          </w:tcPr>
          <w:p>
            <w:r>
              <w:rPr>
                <w:sz w:val="18"/>
              </w:rPr>
              <w:t>≈ 10.43%; the model's actual base case WACC</w:t>
            </w:r>
          </w:p>
        </w:tc>
      </w:tr>
      <w:tr>
        <w:tc>
          <w:tcPr>
            <w:tcW w:type="dxa" w:w="1152"/>
          </w:tcPr>
          <w:p>
            <w:r>
              <w:rPr>
                <w:sz w:val="18"/>
              </w:rPr>
              <w:t>H69</w:t>
            </w:r>
          </w:p>
        </w:tc>
        <w:tc>
          <w:tcPr>
            <w:tcW w:type="dxa" w:w="2160"/>
          </w:tcPr>
          <w:p>
            <w:r>
              <w:rPr>
                <w:sz w:val="18"/>
              </w:rPr>
              <w:t>= 11.5%</w:t>
            </w:r>
          </w:p>
        </w:tc>
        <w:tc>
          <w:tcPr>
            <w:tcW w:type="dxa" w:w="6480"/>
          </w:tcPr>
          <w:p>
            <w:r>
              <w:rPr>
                <w:sz w:val="18"/>
              </w:rPr>
              <w:t>Fixed high end</w:t>
            </w:r>
          </w:p>
        </w:tc>
      </w:tr>
      <w:tr>
        <w:tc>
          <w:tcPr>
            <w:tcW w:type="dxa" w:w="1152"/>
          </w:tcPr>
          <w:p>
            <w:r>
              <w:rPr>
                <w:sz w:val="18"/>
              </w:rPr>
              <w:t>H70</w:t>
            </w:r>
          </w:p>
        </w:tc>
        <w:tc>
          <w:tcPr>
            <w:tcW w:type="dxa" w:w="2160"/>
          </w:tcPr>
          <w:p>
            <w:r>
              <w:rPr>
                <w:sz w:val="18"/>
              </w:rPr>
              <w:t>= H69 + 0.5%</w:t>
            </w:r>
          </w:p>
        </w:tc>
        <w:tc>
          <w:tcPr>
            <w:tcW w:type="dxa" w:w="6480"/>
          </w:tcPr>
          <w:p>
            <w:r>
              <w:rPr>
                <w:sz w:val="18"/>
              </w:rPr>
              <w:t>= 12.0%</w:t>
            </w:r>
          </w:p>
        </w:tc>
      </w:tr>
      <w:tr>
        <w:tc>
          <w:tcPr>
            <w:tcW w:type="dxa" w:w="1152"/>
          </w:tcPr>
          <w:p>
            <w:r>
              <w:rPr>
                <w:sz w:val="18"/>
              </w:rPr>
              <w:t>H71</w:t>
            </w:r>
          </w:p>
        </w:tc>
        <w:tc>
          <w:tcPr>
            <w:tcW w:type="dxa" w:w="2160"/>
          </w:tcPr>
          <w:p>
            <w:r>
              <w:rPr>
                <w:sz w:val="18"/>
              </w:rPr>
              <w:t>= H70 + 1.0%</w:t>
            </w:r>
          </w:p>
        </w:tc>
        <w:tc>
          <w:tcPr>
            <w:tcW w:type="dxa" w:w="6480"/>
          </w:tcPr>
          <w:p>
            <w:r>
              <w:rPr>
                <w:sz w:val="18"/>
              </w:rPr>
              <w:t>= 13.0%</w:t>
            </w:r>
          </w:p>
        </w:tc>
      </w:tr>
      <w:tr>
        <w:tc>
          <w:tcPr>
            <w:tcW w:type="dxa" w:w="1152"/>
          </w:tcPr>
          <w:p>
            <w:r>
              <w:rPr>
                <w:sz w:val="18"/>
              </w:rPr>
              <w:t>H72</w:t>
            </w:r>
          </w:p>
        </w:tc>
        <w:tc>
          <w:tcPr>
            <w:tcW w:type="dxa" w:w="2160"/>
          </w:tcPr>
          <w:p>
            <w:r>
              <w:rPr>
                <w:sz w:val="18"/>
              </w:rPr>
              <w:t>= H71 + 1.0%</w:t>
            </w:r>
          </w:p>
        </w:tc>
        <w:tc>
          <w:tcPr>
            <w:tcW w:type="dxa" w:w="6480"/>
          </w:tcPr>
          <w:p>
            <w:r>
              <w:rPr>
                <w:sz w:val="18"/>
              </w:rPr>
              <w:t>= 14.0%</w:t>
            </w:r>
          </w:p>
        </w:tc>
      </w:tr>
      <w:tr>
        <w:tc>
          <w:tcPr>
            <w:tcW w:type="dxa" w:w="1152"/>
          </w:tcPr>
          <w:p>
            <w:r>
              <w:rPr>
                <w:sz w:val="18"/>
              </w:rPr>
              <w:t>H73</w:t>
            </w:r>
          </w:p>
        </w:tc>
        <w:tc>
          <w:tcPr>
            <w:tcW w:type="dxa" w:w="2160"/>
          </w:tcPr>
          <w:p>
            <w:r>
              <w:rPr>
                <w:sz w:val="18"/>
              </w:rPr>
              <w:t>= H72 + 1.0%</w:t>
            </w:r>
          </w:p>
        </w:tc>
        <w:tc>
          <w:tcPr>
            <w:tcW w:type="dxa" w:w="6480"/>
          </w:tcPr>
          <w:p>
            <w:r>
              <w:rPr>
                <w:sz w:val="18"/>
              </w:rPr>
              <w:t>= 15.0%</w:t>
            </w:r>
          </w:p>
        </w:tc>
      </w:tr>
      <w:tr>
        <w:tc>
          <w:tcPr>
            <w:tcW w:type="dxa" w:w="1152"/>
          </w:tcPr>
          <w:p>
            <w:r>
              <w:rPr>
                <w:sz w:val="18"/>
              </w:rPr>
              <w:t>H74</w:t>
            </w:r>
          </w:p>
        </w:tc>
        <w:tc>
          <w:tcPr>
            <w:tcW w:type="dxa" w:w="2160"/>
          </w:tcPr>
          <w:p>
            <w:r>
              <w:rPr>
                <w:sz w:val="18"/>
              </w:rPr>
              <w:t>= H73 + 1.0%</w:t>
            </w:r>
          </w:p>
        </w:tc>
        <w:tc>
          <w:tcPr>
            <w:tcW w:type="dxa" w:w="6480"/>
          </w:tcPr>
          <w:p>
            <w:r>
              <w:rPr>
                <w:sz w:val="18"/>
              </w:rPr>
              <w:t>= 16.0%</w:t>
            </w:r>
          </w:p>
        </w:tc>
      </w:tr>
    </w:tbl>
    <w:p/>
    <w:p>
      <w:r>
        <w:rPr>
          <w:b w:val="0"/>
          <w:i w:val="0"/>
          <w:sz w:val="20"/>
        </w:rPr>
        <w:t>Terminal growth rate (g) columns I through Q = 1%, 2%, 3%, 4% (base=M62), 5%, 6%, 7%, 8%, 9%. The base g = M62 = 4% (cell M62 stores the base case long-term growth assumption). At WACC=10.43%, g=4%, the model produces its central DCF equity value.</w:t>
      </w:r>
    </w:p>
    <w:p>
      <w:pPr>
        <w:pStyle w:val="Heading2"/>
      </w:pPr>
      <w:r>
        <w:t>6.3  IRR and NPV</w:t>
      </w:r>
    </w:p>
    <w:p>
      <w:r>
        <w:rPr>
          <w:b w:val="0"/>
          <w:i w:val="0"/>
          <w:sz w:val="20"/>
        </w:rPr>
        <w:t>The model also computes the Internal Rate of Return (IRR) implied by the projected FCF stream. The IRR is back-solved from the discounted cash flow series using Excel's IRR() function. This allows comparison of expected return against WACC: if IRR &gt; WACC, value is being created.</w:t>
      </w:r>
    </w:p>
    <w:p>
      <w:pPr>
        <w:pStyle w:val="Heading2"/>
      </w:pPr>
      <w:r>
        <w:t>6.4  Comparable Company Analysis (Sheet1)</w:t>
      </w:r>
    </w:p>
    <w:p>
      <w:r>
        <w:rPr>
          <w:b w:val="0"/>
          <w:i w:val="0"/>
          <w:sz w:val="20"/>
        </w:rPr>
        <w:t>Sheet1 contains CIQ data for a set of comparable companies (sportswear and consumer discretionary peers). The model does not appear to directly import multiples from Sheet1 into the valuation; rather, Sheet1 serves as a reference table for context. The 'valuatione' sheet has a comps section (rows ~60–100 approximately) with manually entered peer multiples.</w:t>
      </w:r>
    </w:p>
    <w:p>
      <w:r>
        <w:br w:type="page"/>
      </w:r>
    </w:p>
    <w:p>
      <w:pPr>
        <w:pStyle w:val="Heading1"/>
      </w:pPr>
      <w:r>
        <w:t>PART VII — Per Share and Dividend Analysis</w:t>
      </w:r>
    </w:p>
    <w:p>
      <w:pPr>
        <w:pStyle w:val="Heading2"/>
      </w:pPr>
      <w:r>
        <w:t>7.1  EPS History (Row 363)</w:t>
      </w:r>
    </w:p>
    <w:tbl>
      <w:tblPr>
        <w:tblStyle w:val="LightList-Accent1"/>
        <w:tblW w:type="auto" w:w="0"/>
        <w:tblLook w:firstColumn="1" w:firstRow="1" w:lastColumn="0" w:lastRow="0" w:noHBand="0" w:noVBand="1" w:val="04A0"/>
      </w:tblPr>
      <w:tblGrid>
        <w:gridCol w:w="2880"/>
        <w:gridCol w:w="2880"/>
        <w:gridCol w:w="2880"/>
      </w:tblGrid>
      <w:tr>
        <w:tc>
          <w:tcPr>
            <w:tcW w:type="dxa" w:w="1728"/>
          </w:tcPr>
          <w:p>
            <w:r>
              <w:rPr>
                <w:b/>
                <w:sz w:val="18"/>
              </w:rPr>
              <w:t>Year</w:t>
            </w:r>
          </w:p>
        </w:tc>
        <w:tc>
          <w:tcPr>
            <w:tcW w:type="dxa" w:w="2160"/>
          </w:tcPr>
          <w:p>
            <w:r>
              <w:rPr>
                <w:b/>
                <w:sz w:val="18"/>
              </w:rPr>
              <w:t>Diluted EPS</w:t>
            </w:r>
          </w:p>
        </w:tc>
        <w:tc>
          <w:tcPr>
            <w:tcW w:type="dxa" w:w="5760"/>
          </w:tcPr>
          <w:p>
            <w:r>
              <w:rPr>
                <w:b/>
                <w:sz w:val="18"/>
              </w:rPr>
              <w:t>Notes</w:t>
            </w:r>
          </w:p>
        </w:tc>
      </w:tr>
      <w:tr>
        <w:tc>
          <w:tcPr>
            <w:tcW w:type="dxa" w:w="1728"/>
          </w:tcPr>
          <w:p/>
        </w:tc>
        <w:tc>
          <w:tcPr>
            <w:tcW w:type="dxa" w:w="2160"/>
          </w:tcPr>
          <w:p/>
        </w:tc>
        <w:tc>
          <w:tcPr>
            <w:tcW w:type="dxa" w:w="5760"/>
          </w:tcPr>
          <w:p/>
        </w:tc>
      </w:tr>
      <w:tr>
        <w:tc>
          <w:tcPr>
            <w:tcW w:type="dxa" w:w="1728"/>
          </w:tcPr>
          <w:p/>
        </w:tc>
        <w:tc>
          <w:tcPr>
            <w:tcW w:type="dxa" w:w="2160"/>
          </w:tcPr>
          <w:p/>
        </w:tc>
        <w:tc>
          <w:tcPr>
            <w:tcW w:type="dxa" w:w="5760"/>
          </w:tcPr>
          <w:p/>
        </w:tc>
      </w:tr>
      <w:tr>
        <w:tc>
          <w:tcPr>
            <w:tcW w:type="dxa" w:w="1728"/>
          </w:tcPr>
          <w:p/>
        </w:tc>
        <w:tc>
          <w:tcPr>
            <w:tcW w:type="dxa" w:w="2160"/>
          </w:tcPr>
          <w:p/>
        </w:tc>
        <w:tc>
          <w:tcPr>
            <w:tcW w:type="dxa" w:w="5760"/>
          </w:tcPr>
          <w:p/>
        </w:tc>
      </w:tr>
      <w:tr>
        <w:tc>
          <w:tcPr>
            <w:tcW w:type="dxa" w:w="1728"/>
          </w:tcPr>
          <w:p/>
        </w:tc>
        <w:tc>
          <w:tcPr>
            <w:tcW w:type="dxa" w:w="2160"/>
          </w:tcPr>
          <w:p/>
        </w:tc>
        <w:tc>
          <w:tcPr>
            <w:tcW w:type="dxa" w:w="5760"/>
          </w:tcPr>
          <w:p/>
        </w:tc>
      </w:tr>
      <w:tr>
        <w:tc>
          <w:tcPr>
            <w:tcW w:type="dxa" w:w="1728"/>
          </w:tcPr>
          <w:p/>
        </w:tc>
        <w:tc>
          <w:tcPr>
            <w:tcW w:type="dxa" w:w="2160"/>
          </w:tcPr>
          <w:p/>
        </w:tc>
        <w:tc>
          <w:tcPr>
            <w:tcW w:type="dxa" w:w="5760"/>
          </w:tcPr>
          <w:p/>
        </w:tc>
      </w:tr>
      <w:tr>
        <w:tc>
          <w:tcPr>
            <w:tcW w:type="dxa" w:w="1728"/>
          </w:tcPr>
          <w:p/>
        </w:tc>
        <w:tc>
          <w:tcPr>
            <w:tcW w:type="dxa" w:w="2160"/>
          </w:tcPr>
          <w:p/>
        </w:tc>
        <w:tc>
          <w:tcPr>
            <w:tcW w:type="dxa" w:w="5760"/>
          </w:tcPr>
          <w:p/>
        </w:tc>
      </w:tr>
      <w:tr>
        <w:tc>
          <w:tcPr>
            <w:tcW w:type="dxa" w:w="1728"/>
          </w:tcPr>
          <w:p/>
        </w:tc>
        <w:tc>
          <w:tcPr>
            <w:tcW w:type="dxa" w:w="2160"/>
          </w:tcPr>
          <w:p/>
        </w:tc>
        <w:tc>
          <w:tcPr>
            <w:tcW w:type="dxa" w:w="5760"/>
          </w:tcPr>
          <w:p/>
        </w:tc>
      </w:tr>
      <w:tr>
        <w:tc>
          <w:tcPr>
            <w:tcW w:type="dxa" w:w="1728"/>
          </w:tcPr>
          <w:p/>
        </w:tc>
        <w:tc>
          <w:tcPr>
            <w:tcW w:type="dxa" w:w="2160"/>
          </w:tcPr>
          <w:p/>
        </w:tc>
        <w:tc>
          <w:tcPr>
            <w:tcW w:type="dxa" w:w="5760"/>
          </w:tcPr>
          <w:p/>
        </w:tc>
      </w:tr>
      <w:tr>
        <w:tc>
          <w:tcPr>
            <w:tcW w:type="dxa" w:w="1728"/>
          </w:tcPr>
          <w:p/>
        </w:tc>
        <w:tc>
          <w:tcPr>
            <w:tcW w:type="dxa" w:w="2160"/>
          </w:tcPr>
          <w:p/>
        </w:tc>
        <w:tc>
          <w:tcPr>
            <w:tcW w:type="dxa" w:w="5760"/>
          </w:tcPr>
          <w:p/>
        </w:tc>
      </w:tr>
      <w:tr>
        <w:tc>
          <w:tcPr>
            <w:tcW w:type="dxa" w:w="1728"/>
          </w:tcPr>
          <w:p/>
        </w:tc>
        <w:tc>
          <w:tcPr>
            <w:tcW w:type="dxa" w:w="2160"/>
          </w:tcPr>
          <w:p/>
        </w:tc>
        <w:tc>
          <w:tcPr>
            <w:tcW w:type="dxa" w:w="5760"/>
          </w:tcPr>
          <w:p/>
        </w:tc>
      </w:tr>
      <w:tr>
        <w:tc>
          <w:tcPr>
            <w:tcW w:type="dxa" w:w="1728"/>
          </w:tcPr>
          <w:p/>
        </w:tc>
        <w:tc>
          <w:tcPr>
            <w:tcW w:type="dxa" w:w="2160"/>
          </w:tcPr>
          <w:p/>
        </w:tc>
        <w:tc>
          <w:tcPr>
            <w:tcW w:type="dxa" w:w="5760"/>
          </w:tcPr>
          <w:p/>
        </w:tc>
      </w:tr>
      <w:tr>
        <w:tc>
          <w:tcPr>
            <w:tcW w:type="dxa" w:w="1728"/>
          </w:tcPr>
          <w:p>
            <w:r>
              <w:rPr>
                <w:sz w:val="18"/>
              </w:rPr>
              <w:t>FY2015</w:t>
            </w:r>
          </w:p>
        </w:tc>
        <w:tc>
          <w:tcPr>
            <w:tcW w:type="dxa" w:w="2160"/>
          </w:tcPr>
          <w:p>
            <w:r>
              <w:rPr>
                <w:sz w:val="18"/>
              </w:rPr>
              <w:t>$1.85</w:t>
            </w:r>
          </w:p>
        </w:tc>
        <w:tc>
          <w:tcPr>
            <w:tcW w:type="dxa" w:w="5760"/>
          </w:tcPr>
          <w:p>
            <w:r>
              <w:rPr>
                <w:sz w:val="18"/>
              </w:rPr>
              <w:t>Pre-TCJA</w:t>
            </w:r>
          </w:p>
        </w:tc>
      </w:tr>
      <w:tr>
        <w:tc>
          <w:tcPr>
            <w:tcW w:type="dxa" w:w="1728"/>
          </w:tcPr>
          <w:p>
            <w:r>
              <w:rPr>
                <w:sz w:val="18"/>
              </w:rPr>
              <w:t>FY2016</w:t>
            </w:r>
          </w:p>
        </w:tc>
        <w:tc>
          <w:tcPr>
            <w:tcW w:type="dxa" w:w="2160"/>
          </w:tcPr>
          <w:p>
            <w:r>
              <w:rPr>
                <w:sz w:val="18"/>
              </w:rPr>
              <w:t>$2.16</w:t>
            </w:r>
          </w:p>
        </w:tc>
        <w:tc>
          <w:tcPr>
            <w:tcW w:type="dxa" w:w="5760"/>
          </w:tcPr>
          <w:p>
            <w:r>
              <w:rPr>
                <w:sz w:val="18"/>
              </w:rPr>
            </w:r>
          </w:p>
        </w:tc>
      </w:tr>
      <w:tr>
        <w:tc>
          <w:tcPr>
            <w:tcW w:type="dxa" w:w="1728"/>
          </w:tcPr>
          <w:p>
            <w:r>
              <w:rPr>
                <w:sz w:val="18"/>
              </w:rPr>
              <w:t>FY2017</w:t>
            </w:r>
          </w:p>
        </w:tc>
        <w:tc>
          <w:tcPr>
            <w:tcW w:type="dxa" w:w="2160"/>
          </w:tcPr>
          <w:p>
            <w:r>
              <w:rPr>
                <w:sz w:val="18"/>
              </w:rPr>
              <w:t>$2.51</w:t>
            </w:r>
          </w:p>
        </w:tc>
        <w:tc>
          <w:tcPr>
            <w:tcW w:type="dxa" w:w="5760"/>
          </w:tcPr>
          <w:p>
            <w:r>
              <w:rPr>
                <w:sz w:val="18"/>
              </w:rPr>
            </w:r>
          </w:p>
        </w:tc>
      </w:tr>
      <w:tr>
        <w:tc>
          <w:tcPr>
            <w:tcW w:type="dxa" w:w="1728"/>
          </w:tcPr>
          <w:p>
            <w:r>
              <w:rPr>
                <w:sz w:val="18"/>
              </w:rPr>
              <w:t>FY2018</w:t>
            </w:r>
          </w:p>
        </w:tc>
        <w:tc>
          <w:tcPr>
            <w:tcW w:type="dxa" w:w="2160"/>
          </w:tcPr>
          <w:p>
            <w:r>
              <w:rPr>
                <w:sz w:val="18"/>
              </w:rPr>
              <w:t>$1.17</w:t>
            </w:r>
          </w:p>
        </w:tc>
        <w:tc>
          <w:tcPr>
            <w:tcW w:type="dxa" w:w="5760"/>
          </w:tcPr>
          <w:p>
            <w:r>
              <w:rPr>
                <w:sz w:val="18"/>
              </w:rPr>
              <w:t>TCJA one-time charge; anomalously low</w:t>
            </w:r>
          </w:p>
        </w:tc>
      </w:tr>
      <w:tr>
        <w:tc>
          <w:tcPr>
            <w:tcW w:type="dxa" w:w="1728"/>
          </w:tcPr>
          <w:p>
            <w:r>
              <w:rPr>
                <w:sz w:val="18"/>
              </w:rPr>
              <w:t>FY2019</w:t>
            </w:r>
          </w:p>
        </w:tc>
        <w:tc>
          <w:tcPr>
            <w:tcW w:type="dxa" w:w="2160"/>
          </w:tcPr>
          <w:p>
            <w:r>
              <w:rPr>
                <w:sz w:val="18"/>
              </w:rPr>
              <w:t>$2.49</w:t>
            </w:r>
          </w:p>
        </w:tc>
        <w:tc>
          <w:tcPr>
            <w:tcW w:type="dxa" w:w="5760"/>
          </w:tcPr>
          <w:p>
            <w:r>
              <w:rPr>
                <w:sz w:val="18"/>
              </w:rPr>
              <w:t>Recovery</w:t>
            </w:r>
          </w:p>
        </w:tc>
      </w:tr>
      <w:tr>
        <w:tc>
          <w:tcPr>
            <w:tcW w:type="dxa" w:w="1728"/>
          </w:tcPr>
          <w:p>
            <w:r>
              <w:rPr>
                <w:sz w:val="18"/>
              </w:rPr>
              <w:t>FY2020</w:t>
            </w:r>
          </w:p>
        </w:tc>
        <w:tc>
          <w:tcPr>
            <w:tcW w:type="dxa" w:w="2160"/>
          </w:tcPr>
          <w:p>
            <w:r>
              <w:rPr>
                <w:sz w:val="18"/>
              </w:rPr>
              <w:t>$1.60</w:t>
            </w:r>
          </w:p>
        </w:tc>
        <w:tc>
          <w:tcPr>
            <w:tcW w:type="dxa" w:w="5760"/>
          </w:tcPr>
          <w:p>
            <w:r>
              <w:rPr>
                <w:sz w:val="18"/>
              </w:rPr>
              <w:t>COVID</w:t>
            </w:r>
          </w:p>
        </w:tc>
      </w:tr>
      <w:tr>
        <w:tc>
          <w:tcPr>
            <w:tcW w:type="dxa" w:w="1728"/>
          </w:tcPr>
          <w:p>
            <w:r>
              <w:rPr>
                <w:sz w:val="18"/>
              </w:rPr>
              <w:t>FY2021</w:t>
            </w:r>
          </w:p>
        </w:tc>
        <w:tc>
          <w:tcPr>
            <w:tcW w:type="dxa" w:w="2160"/>
          </w:tcPr>
          <w:p>
            <w:r>
              <w:rPr>
                <w:sz w:val="18"/>
              </w:rPr>
              <w:t>$3.56</w:t>
            </w:r>
          </w:p>
        </w:tc>
        <w:tc>
          <w:tcPr>
            <w:tcW w:type="dxa" w:w="5760"/>
          </w:tcPr>
          <w:p>
            <w:r>
              <w:rPr>
                <w:sz w:val="18"/>
              </w:rPr>
              <w:t>Post-COVID recovery</w:t>
            </w:r>
          </w:p>
        </w:tc>
      </w:tr>
      <w:tr>
        <w:tc>
          <w:tcPr>
            <w:tcW w:type="dxa" w:w="1728"/>
          </w:tcPr>
          <w:p>
            <w:r>
              <w:rPr>
                <w:sz w:val="18"/>
              </w:rPr>
              <w:t>FY2022</w:t>
            </w:r>
          </w:p>
        </w:tc>
        <w:tc>
          <w:tcPr>
            <w:tcW w:type="dxa" w:w="2160"/>
          </w:tcPr>
          <w:p>
            <w:r>
              <w:rPr>
                <w:sz w:val="18"/>
              </w:rPr>
              <w:t>$3.75</w:t>
            </w:r>
          </w:p>
        </w:tc>
        <w:tc>
          <w:tcPr>
            <w:tcW w:type="dxa" w:w="5760"/>
          </w:tcPr>
          <w:p>
            <w:r>
              <w:rPr>
                <w:sz w:val="18"/>
              </w:rPr>
              <w:t>Near peak</w:t>
            </w:r>
          </w:p>
        </w:tc>
      </w:tr>
      <w:tr>
        <w:tc>
          <w:tcPr>
            <w:tcW w:type="dxa" w:w="1728"/>
          </w:tcPr>
          <w:p>
            <w:r>
              <w:rPr>
                <w:sz w:val="18"/>
              </w:rPr>
              <w:t>FY2023</w:t>
            </w:r>
          </w:p>
        </w:tc>
        <w:tc>
          <w:tcPr>
            <w:tcW w:type="dxa" w:w="2160"/>
          </w:tcPr>
          <w:p>
            <w:r>
              <w:rPr>
                <w:sz w:val="18"/>
              </w:rPr>
              <w:t>$3.23</w:t>
            </w:r>
          </w:p>
        </w:tc>
        <w:tc>
          <w:tcPr>
            <w:tcW w:type="dxa" w:w="5760"/>
          </w:tcPr>
          <w:p>
            <w:r>
              <w:rPr>
                <w:sz w:val="18"/>
              </w:rPr>
              <w:t>Inventory write-down + restructuring</w:t>
            </w:r>
          </w:p>
        </w:tc>
      </w:tr>
      <w:tr>
        <w:tc>
          <w:tcPr>
            <w:tcW w:type="dxa" w:w="1728"/>
          </w:tcPr>
          <w:p>
            <w:r>
              <w:rPr>
                <w:sz w:val="18"/>
              </w:rPr>
              <w:t>FY2024</w:t>
            </w:r>
          </w:p>
        </w:tc>
        <w:tc>
          <w:tcPr>
            <w:tcW w:type="dxa" w:w="2160"/>
          </w:tcPr>
          <w:p>
            <w:r>
              <w:rPr>
                <w:sz w:val="18"/>
              </w:rPr>
              <w:t>$3.73</w:t>
            </w:r>
          </w:p>
        </w:tc>
        <w:tc>
          <w:tcPr>
            <w:tcW w:type="dxa" w:w="5760"/>
          </w:tcPr>
          <w:p>
            <w:r>
              <w:rPr>
                <w:sz w:val="18"/>
              </w:rPr>
              <w:t>Reported</w:t>
            </w:r>
          </w:p>
        </w:tc>
      </w:tr>
      <w:tr>
        <w:tc>
          <w:tcPr>
            <w:tcW w:type="dxa" w:w="1728"/>
          </w:tcPr>
          <w:p>
            <w:r>
              <w:rPr>
                <w:sz w:val="18"/>
              </w:rPr>
              <w:t>FY2024 normalised</w:t>
            </w:r>
          </w:p>
        </w:tc>
        <w:tc>
          <w:tcPr>
            <w:tcW w:type="dxa" w:w="2160"/>
          </w:tcPr>
          <w:p>
            <w:r>
              <w:rPr>
                <w:sz w:val="18"/>
              </w:rPr>
              <w:t>$2.92</w:t>
            </w:r>
          </w:p>
        </w:tc>
        <w:tc>
          <w:tcPr>
            <w:tcW w:type="dxa" w:w="5760"/>
          </w:tcPr>
          <w:p>
            <w:r>
              <w:rPr>
                <w:sz w:val="18"/>
              </w:rPr>
              <w:t>Strips restructuring + normalises tax</w:t>
            </w:r>
          </w:p>
        </w:tc>
      </w:tr>
    </w:tbl>
    <w:p/>
    <w:p>
      <w:pPr>
        <w:pStyle w:val="Heading2"/>
      </w:pPr>
      <w:r>
        <w:t>7.2  DPS History and CAGR (Row 374)</w:t>
      </w:r>
    </w:p>
    <w:tbl>
      <w:tblPr>
        <w:tblStyle w:val="LightList-Accent1"/>
        <w:tblW w:type="auto" w:w="0"/>
        <w:tblLook w:firstColumn="1" w:firstRow="1" w:lastColumn="0" w:lastRow="0" w:noHBand="0" w:noVBand="1" w:val="04A0"/>
      </w:tblPr>
      <w:tblGrid>
        <w:gridCol w:w="2880"/>
        <w:gridCol w:w="2880"/>
        <w:gridCol w:w="2880"/>
      </w:tblGrid>
      <w:tr>
        <w:tc>
          <w:tcPr>
            <w:tcW w:type="dxa" w:w="1728"/>
          </w:tcPr>
          <w:p>
            <w:r>
              <w:rPr>
                <w:b/>
                <w:sz w:val="18"/>
              </w:rPr>
              <w:t>Year</w:t>
            </w:r>
          </w:p>
        </w:tc>
        <w:tc>
          <w:tcPr>
            <w:tcW w:type="dxa" w:w="1728"/>
          </w:tcPr>
          <w:p>
            <w:r>
              <w:rPr>
                <w:b/>
                <w:sz w:val="18"/>
              </w:rPr>
              <w:t>DPS ($)</w:t>
            </w:r>
          </w:p>
        </w:tc>
        <w:tc>
          <w:tcPr>
            <w:tcW w:type="dxa" w:w="2880"/>
          </w:tcPr>
          <w:p>
            <w:r>
              <w:rPr>
                <w:b/>
                <w:sz w:val="18"/>
              </w:rPr>
              <w:t>YoY Growth</w:t>
            </w:r>
          </w:p>
        </w:tc>
      </w:tr>
      <w:tr>
        <w:tc>
          <w:tcPr>
            <w:tcW w:type="dxa" w:w="1728"/>
          </w:tcPr>
          <w:p/>
        </w:tc>
        <w:tc>
          <w:tcPr>
            <w:tcW w:type="dxa" w:w="1728"/>
          </w:tcPr>
          <w:p/>
        </w:tc>
        <w:tc>
          <w:tcPr>
            <w:tcW w:type="dxa" w:w="2880"/>
          </w:tcPr>
          <w:p/>
        </w:tc>
      </w:tr>
      <w:tr>
        <w:tc>
          <w:tcPr>
            <w:tcW w:type="dxa" w:w="1728"/>
          </w:tcPr>
          <w:p/>
        </w:tc>
        <w:tc>
          <w:tcPr>
            <w:tcW w:type="dxa" w:w="1728"/>
          </w:tcPr>
          <w:p/>
        </w:tc>
        <w:tc>
          <w:tcPr>
            <w:tcW w:type="dxa" w:w="2880"/>
          </w:tcPr>
          <w:p/>
        </w:tc>
      </w:tr>
      <w:tr>
        <w:tc>
          <w:tcPr>
            <w:tcW w:type="dxa" w:w="1728"/>
          </w:tcPr>
          <w:p/>
        </w:tc>
        <w:tc>
          <w:tcPr>
            <w:tcW w:type="dxa" w:w="1728"/>
          </w:tcPr>
          <w:p/>
        </w:tc>
        <w:tc>
          <w:tcPr>
            <w:tcW w:type="dxa" w:w="2880"/>
          </w:tcPr>
          <w:p/>
        </w:tc>
      </w:tr>
      <w:tr>
        <w:tc>
          <w:tcPr>
            <w:tcW w:type="dxa" w:w="1728"/>
          </w:tcPr>
          <w:p/>
        </w:tc>
        <w:tc>
          <w:tcPr>
            <w:tcW w:type="dxa" w:w="1728"/>
          </w:tcPr>
          <w:p/>
        </w:tc>
        <w:tc>
          <w:tcPr>
            <w:tcW w:type="dxa" w:w="2880"/>
          </w:tcPr>
          <w:p/>
        </w:tc>
      </w:tr>
      <w:tr>
        <w:tc>
          <w:tcPr>
            <w:tcW w:type="dxa" w:w="1728"/>
          </w:tcPr>
          <w:p/>
        </w:tc>
        <w:tc>
          <w:tcPr>
            <w:tcW w:type="dxa" w:w="1728"/>
          </w:tcPr>
          <w:p/>
        </w:tc>
        <w:tc>
          <w:tcPr>
            <w:tcW w:type="dxa" w:w="2880"/>
          </w:tcPr>
          <w:p/>
        </w:tc>
      </w:tr>
      <w:tr>
        <w:tc>
          <w:tcPr>
            <w:tcW w:type="dxa" w:w="1728"/>
          </w:tcPr>
          <w:p/>
        </w:tc>
        <w:tc>
          <w:tcPr>
            <w:tcW w:type="dxa" w:w="1728"/>
          </w:tcPr>
          <w:p/>
        </w:tc>
        <w:tc>
          <w:tcPr>
            <w:tcW w:type="dxa" w:w="2880"/>
          </w:tcPr>
          <w:p/>
        </w:tc>
      </w:tr>
      <w:tr>
        <w:tc>
          <w:tcPr>
            <w:tcW w:type="dxa" w:w="1728"/>
          </w:tcPr>
          <w:p/>
        </w:tc>
        <w:tc>
          <w:tcPr>
            <w:tcW w:type="dxa" w:w="1728"/>
          </w:tcPr>
          <w:p/>
        </w:tc>
        <w:tc>
          <w:tcPr>
            <w:tcW w:type="dxa" w:w="2880"/>
          </w:tcPr>
          <w:p/>
        </w:tc>
      </w:tr>
      <w:tr>
        <w:tc>
          <w:tcPr>
            <w:tcW w:type="dxa" w:w="1728"/>
          </w:tcPr>
          <w:p/>
        </w:tc>
        <w:tc>
          <w:tcPr>
            <w:tcW w:type="dxa" w:w="1728"/>
          </w:tcPr>
          <w:p/>
        </w:tc>
        <w:tc>
          <w:tcPr>
            <w:tcW w:type="dxa" w:w="2880"/>
          </w:tcPr>
          <w:p/>
        </w:tc>
      </w:tr>
      <w:tr>
        <w:tc>
          <w:tcPr>
            <w:tcW w:type="dxa" w:w="1728"/>
          </w:tcPr>
          <w:p/>
        </w:tc>
        <w:tc>
          <w:tcPr>
            <w:tcW w:type="dxa" w:w="1728"/>
          </w:tcPr>
          <w:p/>
        </w:tc>
        <w:tc>
          <w:tcPr>
            <w:tcW w:type="dxa" w:w="2880"/>
          </w:tcPr>
          <w:p/>
        </w:tc>
      </w:tr>
      <w:tr>
        <w:tc>
          <w:tcPr>
            <w:tcW w:type="dxa" w:w="1728"/>
          </w:tcPr>
          <w:p/>
        </w:tc>
        <w:tc>
          <w:tcPr>
            <w:tcW w:type="dxa" w:w="1728"/>
          </w:tcPr>
          <w:p/>
        </w:tc>
        <w:tc>
          <w:tcPr>
            <w:tcW w:type="dxa" w:w="2880"/>
          </w:tcPr>
          <w:p/>
        </w:tc>
      </w:tr>
      <w:tr>
        <w:tc>
          <w:tcPr>
            <w:tcW w:type="dxa" w:w="1728"/>
          </w:tcPr>
          <w:p>
            <w:r>
              <w:rPr>
                <w:sz w:val="18"/>
              </w:rPr>
              <w:t>FY2015</w:t>
            </w:r>
          </w:p>
        </w:tc>
        <w:tc>
          <w:tcPr>
            <w:tcW w:type="dxa" w:w="1728"/>
          </w:tcPr>
          <w:p>
            <w:r>
              <w:rPr>
                <w:sz w:val="18"/>
              </w:rPr>
              <w:t>0.54</w:t>
            </w:r>
          </w:p>
        </w:tc>
        <w:tc>
          <w:tcPr>
            <w:tcW w:type="dxa" w:w="2880"/>
          </w:tcPr>
          <w:p>
            <w:r>
              <w:rPr>
                <w:sz w:val="18"/>
              </w:rPr>
              <w:t>—</w:t>
            </w:r>
          </w:p>
        </w:tc>
      </w:tr>
      <w:tr>
        <w:tc>
          <w:tcPr>
            <w:tcW w:type="dxa" w:w="1728"/>
          </w:tcPr>
          <w:p>
            <w:r>
              <w:rPr>
                <w:sz w:val="18"/>
              </w:rPr>
              <w:t>FY2016</w:t>
            </w:r>
          </w:p>
        </w:tc>
        <w:tc>
          <w:tcPr>
            <w:tcW w:type="dxa" w:w="1728"/>
          </w:tcPr>
          <w:p>
            <w:r>
              <w:rPr>
                <w:sz w:val="18"/>
              </w:rPr>
              <w:t>0.62</w:t>
            </w:r>
          </w:p>
        </w:tc>
        <w:tc>
          <w:tcPr>
            <w:tcW w:type="dxa" w:w="2880"/>
          </w:tcPr>
          <w:p>
            <w:r>
              <w:rPr>
                <w:sz w:val="18"/>
              </w:rPr>
              <w:t>+14.8%</w:t>
            </w:r>
          </w:p>
        </w:tc>
      </w:tr>
      <w:tr>
        <w:tc>
          <w:tcPr>
            <w:tcW w:type="dxa" w:w="1728"/>
          </w:tcPr>
          <w:p>
            <w:r>
              <w:rPr>
                <w:sz w:val="18"/>
              </w:rPr>
              <w:t>FY2017</w:t>
            </w:r>
          </w:p>
        </w:tc>
        <w:tc>
          <w:tcPr>
            <w:tcW w:type="dxa" w:w="1728"/>
          </w:tcPr>
          <w:p>
            <w:r>
              <w:rPr>
                <w:sz w:val="18"/>
              </w:rPr>
              <w:t>0.70</w:t>
            </w:r>
          </w:p>
        </w:tc>
        <w:tc>
          <w:tcPr>
            <w:tcW w:type="dxa" w:w="2880"/>
          </w:tcPr>
          <w:p>
            <w:r>
              <w:rPr>
                <w:sz w:val="18"/>
              </w:rPr>
              <w:t>+12.9%</w:t>
            </w:r>
          </w:p>
        </w:tc>
      </w:tr>
      <w:tr>
        <w:tc>
          <w:tcPr>
            <w:tcW w:type="dxa" w:w="1728"/>
          </w:tcPr>
          <w:p>
            <w:r>
              <w:rPr>
                <w:sz w:val="18"/>
              </w:rPr>
              <w:t>FY2018</w:t>
            </w:r>
          </w:p>
        </w:tc>
        <w:tc>
          <w:tcPr>
            <w:tcW w:type="dxa" w:w="1728"/>
          </w:tcPr>
          <w:p>
            <w:r>
              <w:rPr>
                <w:sz w:val="18"/>
              </w:rPr>
              <w:t>0.78</w:t>
            </w:r>
          </w:p>
        </w:tc>
        <w:tc>
          <w:tcPr>
            <w:tcW w:type="dxa" w:w="2880"/>
          </w:tcPr>
          <w:p>
            <w:r>
              <w:rPr>
                <w:sz w:val="18"/>
              </w:rPr>
              <w:t>+11.4%</w:t>
            </w:r>
          </w:p>
        </w:tc>
      </w:tr>
      <w:tr>
        <w:tc>
          <w:tcPr>
            <w:tcW w:type="dxa" w:w="1728"/>
          </w:tcPr>
          <w:p>
            <w:r>
              <w:rPr>
                <w:sz w:val="18"/>
              </w:rPr>
              <w:t>FY2019</w:t>
            </w:r>
          </w:p>
        </w:tc>
        <w:tc>
          <w:tcPr>
            <w:tcW w:type="dxa" w:w="1728"/>
          </w:tcPr>
          <w:p>
            <w:r>
              <w:rPr>
                <w:sz w:val="18"/>
              </w:rPr>
              <w:t>0.86</w:t>
            </w:r>
          </w:p>
        </w:tc>
        <w:tc>
          <w:tcPr>
            <w:tcW w:type="dxa" w:w="2880"/>
          </w:tcPr>
          <w:p>
            <w:r>
              <w:rPr>
                <w:sz w:val="18"/>
              </w:rPr>
              <w:t>+10.3%</w:t>
            </w:r>
          </w:p>
        </w:tc>
      </w:tr>
      <w:tr>
        <w:tc>
          <w:tcPr>
            <w:tcW w:type="dxa" w:w="1728"/>
          </w:tcPr>
          <w:p>
            <w:r>
              <w:rPr>
                <w:sz w:val="18"/>
              </w:rPr>
              <w:t>FY2020</w:t>
            </w:r>
          </w:p>
        </w:tc>
        <w:tc>
          <w:tcPr>
            <w:tcW w:type="dxa" w:w="1728"/>
          </w:tcPr>
          <w:p>
            <w:r>
              <w:rPr>
                <w:sz w:val="18"/>
              </w:rPr>
              <w:t>0.945</w:t>
            </w:r>
          </w:p>
        </w:tc>
        <w:tc>
          <w:tcPr>
            <w:tcW w:type="dxa" w:w="2880"/>
          </w:tcPr>
          <w:p>
            <w:r>
              <w:rPr>
                <w:sz w:val="18"/>
              </w:rPr>
              <w:t>+9.9%</w:t>
            </w:r>
          </w:p>
        </w:tc>
      </w:tr>
      <w:tr>
        <w:tc>
          <w:tcPr>
            <w:tcW w:type="dxa" w:w="1728"/>
          </w:tcPr>
          <w:p>
            <w:r>
              <w:rPr>
                <w:sz w:val="18"/>
              </w:rPr>
              <w:t>FY2021</w:t>
            </w:r>
          </w:p>
        </w:tc>
        <w:tc>
          <w:tcPr>
            <w:tcW w:type="dxa" w:w="1728"/>
          </w:tcPr>
          <w:p>
            <w:r>
              <w:rPr>
                <w:sz w:val="18"/>
              </w:rPr>
              <w:t>1.045</w:t>
            </w:r>
          </w:p>
        </w:tc>
        <w:tc>
          <w:tcPr>
            <w:tcW w:type="dxa" w:w="2880"/>
          </w:tcPr>
          <w:p>
            <w:r>
              <w:rPr>
                <w:sz w:val="18"/>
              </w:rPr>
              <w:t>+10.6%</w:t>
            </w:r>
          </w:p>
        </w:tc>
      </w:tr>
      <w:tr>
        <w:tc>
          <w:tcPr>
            <w:tcW w:type="dxa" w:w="1728"/>
          </w:tcPr>
          <w:p>
            <w:r>
              <w:rPr>
                <w:sz w:val="18"/>
              </w:rPr>
              <w:t>FY2022</w:t>
            </w:r>
          </w:p>
        </w:tc>
        <w:tc>
          <w:tcPr>
            <w:tcW w:type="dxa" w:w="1728"/>
          </w:tcPr>
          <w:p>
            <w:r>
              <w:rPr>
                <w:sz w:val="18"/>
              </w:rPr>
              <w:t>1.195</w:t>
            </w:r>
          </w:p>
        </w:tc>
        <w:tc>
          <w:tcPr>
            <w:tcW w:type="dxa" w:w="2880"/>
          </w:tcPr>
          <w:p>
            <w:r>
              <w:rPr>
                <w:sz w:val="18"/>
              </w:rPr>
              <w:t>+14.4%</w:t>
            </w:r>
          </w:p>
        </w:tc>
      </w:tr>
      <w:tr>
        <w:tc>
          <w:tcPr>
            <w:tcW w:type="dxa" w:w="1728"/>
          </w:tcPr>
          <w:p>
            <w:r>
              <w:rPr>
                <w:sz w:val="18"/>
              </w:rPr>
              <w:t>FY2023</w:t>
            </w:r>
          </w:p>
        </w:tc>
        <w:tc>
          <w:tcPr>
            <w:tcW w:type="dxa" w:w="1728"/>
          </w:tcPr>
          <w:p>
            <w:r>
              <w:rPr>
                <w:sz w:val="18"/>
              </w:rPr>
              <w:t>1.33</w:t>
            </w:r>
          </w:p>
        </w:tc>
        <w:tc>
          <w:tcPr>
            <w:tcW w:type="dxa" w:w="2880"/>
          </w:tcPr>
          <w:p>
            <w:r>
              <w:rPr>
                <w:sz w:val="18"/>
              </w:rPr>
              <w:t>+11.3%</w:t>
            </w:r>
          </w:p>
        </w:tc>
      </w:tr>
      <w:tr>
        <w:tc>
          <w:tcPr>
            <w:tcW w:type="dxa" w:w="1728"/>
          </w:tcPr>
          <w:p>
            <w:r>
              <w:rPr>
                <w:sz w:val="18"/>
              </w:rPr>
              <w:t>FY2024</w:t>
            </w:r>
          </w:p>
        </w:tc>
        <w:tc>
          <w:tcPr>
            <w:tcW w:type="dxa" w:w="1728"/>
          </w:tcPr>
          <w:p>
            <w:r>
              <w:rPr>
                <w:sz w:val="18"/>
              </w:rPr>
              <w:t>1.45</w:t>
            </w:r>
          </w:p>
        </w:tc>
        <w:tc>
          <w:tcPr>
            <w:tcW w:type="dxa" w:w="2880"/>
          </w:tcPr>
          <w:p>
            <w:r>
              <w:rPr>
                <w:sz w:val="18"/>
              </w:rPr>
              <w:t>+9.0%</w:t>
            </w:r>
          </w:p>
        </w:tc>
      </w:tr>
    </w:tbl>
    <w:p/>
    <w:p>
      <w:r>
        <w:rPr>
          <w:b w:val="0"/>
          <w:i w:val="0"/>
          <w:sz w:val="20"/>
        </w:rPr>
        <w:t>10-year DPS CAGR (FY2015–FY2024) = (1.45/0.54)^(1/9) - 1 ≈ 11.6%. NIKE has grown its dividend at double-digit rates for over a decade, qualifying as a Dividend Aristocrat candidate. However, the payout ratio has expanded significantly (see below), limiting future DPS growth unless EPS recovers substantially.</w:t>
      </w:r>
    </w:p>
    <w:p>
      <w:pPr>
        <w:pStyle w:val="Heading2"/>
      </w:pPr>
      <w:r>
        <w:t>7.3  Payout Ratio History (Row 375)</w:t>
      </w:r>
    </w:p>
    <w:tbl>
      <w:tblPr>
        <w:tblStyle w:val="LightList-Accent1"/>
        <w:tblW w:type="auto" w:w="0"/>
        <w:tblLook w:firstColumn="1" w:firstRow="1" w:lastColumn="0" w:lastRow="0" w:noHBand="0" w:noVBand="1" w:val="04A0"/>
      </w:tblPr>
      <w:tblGrid>
        <w:gridCol w:w="2880"/>
        <w:gridCol w:w="2880"/>
        <w:gridCol w:w="2880"/>
      </w:tblGrid>
      <w:tr>
        <w:tc>
          <w:tcPr>
            <w:tcW w:type="dxa" w:w="1728"/>
          </w:tcPr>
          <w:p>
            <w:r>
              <w:rPr>
                <w:b/>
                <w:sz w:val="18"/>
              </w:rPr>
              <w:t>Year</w:t>
            </w:r>
          </w:p>
        </w:tc>
        <w:tc>
          <w:tcPr>
            <w:tcW w:type="dxa" w:w="2160"/>
          </w:tcPr>
          <w:p>
            <w:r>
              <w:rPr>
                <w:b/>
                <w:sz w:val="18"/>
              </w:rPr>
              <w:t>Payout Ratio</w:t>
            </w:r>
          </w:p>
        </w:tc>
        <w:tc>
          <w:tcPr>
            <w:tcW w:type="dxa" w:w="5760"/>
          </w:tcPr>
          <w:p>
            <w:r>
              <w:rPr>
                <w:b/>
                <w:sz w:val="18"/>
              </w:rPr>
              <w:t>Driver</w:t>
            </w:r>
          </w:p>
        </w:tc>
      </w:tr>
      <w:tr>
        <w:tc>
          <w:tcPr>
            <w:tcW w:type="dxa" w:w="1728"/>
          </w:tcPr>
          <w:p/>
        </w:tc>
        <w:tc>
          <w:tcPr>
            <w:tcW w:type="dxa" w:w="2160"/>
          </w:tcPr>
          <w:p/>
        </w:tc>
        <w:tc>
          <w:tcPr>
            <w:tcW w:type="dxa" w:w="5760"/>
          </w:tcPr>
          <w:p/>
        </w:tc>
      </w:tr>
      <w:tr>
        <w:tc>
          <w:tcPr>
            <w:tcW w:type="dxa" w:w="1728"/>
          </w:tcPr>
          <w:p/>
        </w:tc>
        <w:tc>
          <w:tcPr>
            <w:tcW w:type="dxa" w:w="2160"/>
          </w:tcPr>
          <w:p/>
        </w:tc>
        <w:tc>
          <w:tcPr>
            <w:tcW w:type="dxa" w:w="5760"/>
          </w:tcPr>
          <w:p/>
        </w:tc>
      </w:tr>
      <w:tr>
        <w:tc>
          <w:tcPr>
            <w:tcW w:type="dxa" w:w="1728"/>
          </w:tcPr>
          <w:p/>
        </w:tc>
        <w:tc>
          <w:tcPr>
            <w:tcW w:type="dxa" w:w="2160"/>
          </w:tcPr>
          <w:p/>
        </w:tc>
        <w:tc>
          <w:tcPr>
            <w:tcW w:type="dxa" w:w="5760"/>
          </w:tcPr>
          <w:p/>
        </w:tc>
      </w:tr>
      <w:tr>
        <w:tc>
          <w:tcPr>
            <w:tcW w:type="dxa" w:w="1728"/>
          </w:tcPr>
          <w:p/>
        </w:tc>
        <w:tc>
          <w:tcPr>
            <w:tcW w:type="dxa" w:w="2160"/>
          </w:tcPr>
          <w:p/>
        </w:tc>
        <w:tc>
          <w:tcPr>
            <w:tcW w:type="dxa" w:w="5760"/>
          </w:tcPr>
          <w:p/>
        </w:tc>
      </w:tr>
      <w:tr>
        <w:tc>
          <w:tcPr>
            <w:tcW w:type="dxa" w:w="1728"/>
          </w:tcPr>
          <w:p/>
        </w:tc>
        <w:tc>
          <w:tcPr>
            <w:tcW w:type="dxa" w:w="2160"/>
          </w:tcPr>
          <w:p/>
        </w:tc>
        <w:tc>
          <w:tcPr>
            <w:tcW w:type="dxa" w:w="5760"/>
          </w:tcPr>
          <w:p/>
        </w:tc>
      </w:tr>
      <w:tr>
        <w:tc>
          <w:tcPr>
            <w:tcW w:type="dxa" w:w="1728"/>
          </w:tcPr>
          <w:p/>
        </w:tc>
        <w:tc>
          <w:tcPr>
            <w:tcW w:type="dxa" w:w="2160"/>
          </w:tcPr>
          <w:p/>
        </w:tc>
        <w:tc>
          <w:tcPr>
            <w:tcW w:type="dxa" w:w="5760"/>
          </w:tcPr>
          <w:p/>
        </w:tc>
      </w:tr>
      <w:tr>
        <w:tc>
          <w:tcPr>
            <w:tcW w:type="dxa" w:w="1728"/>
          </w:tcPr>
          <w:p/>
        </w:tc>
        <w:tc>
          <w:tcPr>
            <w:tcW w:type="dxa" w:w="2160"/>
          </w:tcPr>
          <w:p/>
        </w:tc>
        <w:tc>
          <w:tcPr>
            <w:tcW w:type="dxa" w:w="5760"/>
          </w:tcPr>
          <w:p/>
        </w:tc>
      </w:tr>
      <w:tr>
        <w:tc>
          <w:tcPr>
            <w:tcW w:type="dxa" w:w="1728"/>
          </w:tcPr>
          <w:p/>
        </w:tc>
        <w:tc>
          <w:tcPr>
            <w:tcW w:type="dxa" w:w="2160"/>
          </w:tcPr>
          <w:p/>
        </w:tc>
        <w:tc>
          <w:tcPr>
            <w:tcW w:type="dxa" w:w="5760"/>
          </w:tcPr>
          <w:p/>
        </w:tc>
      </w:tr>
      <w:tr>
        <w:tc>
          <w:tcPr>
            <w:tcW w:type="dxa" w:w="1728"/>
          </w:tcPr>
          <w:p/>
        </w:tc>
        <w:tc>
          <w:tcPr>
            <w:tcW w:type="dxa" w:w="2160"/>
          </w:tcPr>
          <w:p/>
        </w:tc>
        <w:tc>
          <w:tcPr>
            <w:tcW w:type="dxa" w:w="5760"/>
          </w:tcPr>
          <w:p/>
        </w:tc>
      </w:tr>
      <w:tr>
        <w:tc>
          <w:tcPr>
            <w:tcW w:type="dxa" w:w="1728"/>
          </w:tcPr>
          <w:p/>
        </w:tc>
        <w:tc>
          <w:tcPr>
            <w:tcW w:type="dxa" w:w="2160"/>
          </w:tcPr>
          <w:p/>
        </w:tc>
        <w:tc>
          <w:tcPr>
            <w:tcW w:type="dxa" w:w="5760"/>
          </w:tcPr>
          <w:p/>
        </w:tc>
      </w:tr>
      <w:tr>
        <w:tc>
          <w:tcPr>
            <w:tcW w:type="dxa" w:w="1728"/>
          </w:tcPr>
          <w:p>
            <w:r>
              <w:rPr>
                <w:sz w:val="18"/>
              </w:rPr>
              <w:t>FY2015</w:t>
            </w:r>
          </w:p>
        </w:tc>
        <w:tc>
          <w:tcPr>
            <w:tcW w:type="dxa" w:w="2160"/>
          </w:tcPr>
          <w:p>
            <w:r>
              <w:rPr>
                <w:sz w:val="18"/>
              </w:rPr>
              <w:t>29.2%</w:t>
            </w:r>
          </w:p>
        </w:tc>
        <w:tc>
          <w:tcPr>
            <w:tcW w:type="dxa" w:w="5760"/>
          </w:tcPr>
          <w:p>
            <w:r>
              <w:rPr>
                <w:sz w:val="18"/>
              </w:rPr>
              <w:t>Normal; growing NI</w:t>
            </w:r>
          </w:p>
        </w:tc>
      </w:tr>
      <w:tr>
        <w:tc>
          <w:tcPr>
            <w:tcW w:type="dxa" w:w="1728"/>
          </w:tcPr>
          <w:p>
            <w:r>
              <w:rPr>
                <w:sz w:val="18"/>
              </w:rPr>
              <w:t>FY2016</w:t>
            </w:r>
          </w:p>
        </w:tc>
        <w:tc>
          <w:tcPr>
            <w:tcW w:type="dxa" w:w="2160"/>
          </w:tcPr>
          <w:p>
            <w:r>
              <w:rPr>
                <w:sz w:val="18"/>
              </w:rPr>
              <w:t>28.7%</w:t>
            </w:r>
          </w:p>
        </w:tc>
        <w:tc>
          <w:tcPr>
            <w:tcW w:type="dxa" w:w="5760"/>
          </w:tcPr>
          <w:p>
            <w:r>
              <w:rPr>
                <w:sz w:val="18"/>
              </w:rPr>
              <w:t>Normal</w:t>
            </w:r>
          </w:p>
        </w:tc>
      </w:tr>
      <w:tr>
        <w:tc>
          <w:tcPr>
            <w:tcW w:type="dxa" w:w="1728"/>
          </w:tcPr>
          <w:p>
            <w:r>
              <w:rPr>
                <w:sz w:val="18"/>
              </w:rPr>
              <w:t>FY2017</w:t>
            </w:r>
          </w:p>
        </w:tc>
        <w:tc>
          <w:tcPr>
            <w:tcW w:type="dxa" w:w="2160"/>
          </w:tcPr>
          <w:p>
            <w:r>
              <w:rPr>
                <w:sz w:val="18"/>
              </w:rPr>
              <w:t>27.9%</w:t>
            </w:r>
          </w:p>
        </w:tc>
        <w:tc>
          <w:tcPr>
            <w:tcW w:type="dxa" w:w="5760"/>
          </w:tcPr>
          <w:p>
            <w:r>
              <w:rPr>
                <w:sz w:val="18"/>
              </w:rPr>
              <w:t>Normal</w:t>
            </w:r>
          </w:p>
        </w:tc>
      </w:tr>
      <w:tr>
        <w:tc>
          <w:tcPr>
            <w:tcW w:type="dxa" w:w="1728"/>
          </w:tcPr>
          <w:p>
            <w:r>
              <w:rPr>
                <w:sz w:val="18"/>
              </w:rPr>
              <w:t>FY2018</w:t>
            </w:r>
          </w:p>
        </w:tc>
        <w:tc>
          <w:tcPr>
            <w:tcW w:type="dxa" w:w="2160"/>
          </w:tcPr>
          <w:p>
            <w:r>
              <w:rPr>
                <w:sz w:val="18"/>
              </w:rPr>
              <w:t>66.7%</w:t>
            </w:r>
          </w:p>
        </w:tc>
        <w:tc>
          <w:tcPr>
            <w:tcW w:type="dxa" w:w="5760"/>
          </w:tcPr>
          <w:p>
            <w:r>
              <w:rPr>
                <w:sz w:val="18"/>
              </w:rPr>
              <w:t>Anomaly: TCJA one-off slashed EPS; DPS maintained</w:t>
            </w:r>
          </w:p>
        </w:tc>
      </w:tr>
      <w:tr>
        <w:tc>
          <w:tcPr>
            <w:tcW w:type="dxa" w:w="1728"/>
          </w:tcPr>
          <w:p>
            <w:r>
              <w:rPr>
                <w:sz w:val="18"/>
              </w:rPr>
              <w:t>FY2019</w:t>
            </w:r>
          </w:p>
        </w:tc>
        <w:tc>
          <w:tcPr>
            <w:tcW w:type="dxa" w:w="2160"/>
          </w:tcPr>
          <w:p>
            <w:r>
              <w:rPr>
                <w:sz w:val="18"/>
              </w:rPr>
              <w:t>34.5%</w:t>
            </w:r>
          </w:p>
        </w:tc>
        <w:tc>
          <w:tcPr>
            <w:tcW w:type="dxa" w:w="5760"/>
          </w:tcPr>
          <w:p>
            <w:r>
              <w:rPr>
                <w:sz w:val="18"/>
              </w:rPr>
              <w:t>Normalised</w:t>
            </w:r>
          </w:p>
        </w:tc>
      </w:tr>
      <w:tr>
        <w:tc>
          <w:tcPr>
            <w:tcW w:type="dxa" w:w="1728"/>
          </w:tcPr>
          <w:p>
            <w:r>
              <w:rPr>
                <w:sz w:val="18"/>
              </w:rPr>
              <w:t>FY2020</w:t>
            </w:r>
          </w:p>
        </w:tc>
        <w:tc>
          <w:tcPr>
            <w:tcW w:type="dxa" w:w="2160"/>
          </w:tcPr>
          <w:p>
            <w:r>
              <w:rPr>
                <w:sz w:val="18"/>
              </w:rPr>
              <w:t>59.1%</w:t>
            </w:r>
          </w:p>
        </w:tc>
        <w:tc>
          <w:tcPr>
            <w:tcW w:type="dxa" w:w="5760"/>
          </w:tcPr>
          <w:p>
            <w:r>
              <w:rPr>
                <w:sz w:val="18"/>
              </w:rPr>
              <w:t>COVID-year high payout</w:t>
            </w:r>
          </w:p>
        </w:tc>
      </w:tr>
      <w:tr>
        <w:tc>
          <w:tcPr>
            <w:tcW w:type="dxa" w:w="1728"/>
          </w:tcPr>
          <w:p>
            <w:r>
              <w:rPr>
                <w:sz w:val="18"/>
              </w:rPr>
              <w:t>FY2021</w:t>
            </w:r>
          </w:p>
        </w:tc>
        <w:tc>
          <w:tcPr>
            <w:tcW w:type="dxa" w:w="2160"/>
          </w:tcPr>
          <w:p>
            <w:r>
              <w:rPr>
                <w:sz w:val="18"/>
              </w:rPr>
              <w:t>29.3%</w:t>
            </w:r>
          </w:p>
        </w:tc>
        <w:tc>
          <w:tcPr>
            <w:tcW w:type="dxa" w:w="5760"/>
          </w:tcPr>
          <w:p>
            <w:r>
              <w:rPr>
                <w:sz w:val="18"/>
              </w:rPr>
              <w:t>NI recovery</w:t>
            </w:r>
          </w:p>
        </w:tc>
      </w:tr>
      <w:tr>
        <w:tc>
          <w:tcPr>
            <w:tcW w:type="dxa" w:w="1728"/>
          </w:tcPr>
          <w:p>
            <w:r>
              <w:rPr>
                <w:sz w:val="18"/>
              </w:rPr>
              <w:t>FY2022</w:t>
            </w:r>
          </w:p>
        </w:tc>
        <w:tc>
          <w:tcPr>
            <w:tcW w:type="dxa" w:w="2160"/>
          </w:tcPr>
          <w:p>
            <w:r>
              <w:rPr>
                <w:sz w:val="18"/>
              </w:rPr>
              <w:t>31.9%</w:t>
            </w:r>
          </w:p>
        </w:tc>
        <w:tc>
          <w:tcPr>
            <w:tcW w:type="dxa" w:w="5760"/>
          </w:tcPr>
          <w:p>
            <w:r>
              <w:rPr>
                <w:sz w:val="18"/>
              </w:rPr>
              <w:t>Normal</w:t>
            </w:r>
          </w:p>
        </w:tc>
      </w:tr>
      <w:tr>
        <w:tc>
          <w:tcPr>
            <w:tcW w:type="dxa" w:w="1728"/>
          </w:tcPr>
          <w:p>
            <w:r>
              <w:rPr>
                <w:sz w:val="18"/>
              </w:rPr>
              <w:t>FY2023</w:t>
            </w:r>
          </w:p>
        </w:tc>
        <w:tc>
          <w:tcPr>
            <w:tcW w:type="dxa" w:w="2160"/>
          </w:tcPr>
          <w:p>
            <w:r>
              <w:rPr>
                <w:sz w:val="18"/>
              </w:rPr>
              <w:t>41.2%</w:t>
            </w:r>
          </w:p>
        </w:tc>
        <w:tc>
          <w:tcPr>
            <w:tcW w:type="dxa" w:w="5760"/>
          </w:tcPr>
          <w:p>
            <w:r>
              <w:rPr>
                <w:sz w:val="18"/>
              </w:rPr>
              <w:t>NI weakness</w:t>
            </w:r>
          </w:p>
        </w:tc>
      </w:tr>
      <w:tr>
        <w:tc>
          <w:tcPr>
            <w:tcW w:type="dxa" w:w="1728"/>
          </w:tcPr>
          <w:p>
            <w:r>
              <w:rPr>
                <w:sz w:val="18"/>
              </w:rPr>
              <w:t>FY2024</w:t>
            </w:r>
          </w:p>
        </w:tc>
        <w:tc>
          <w:tcPr>
            <w:tcW w:type="dxa" w:w="2160"/>
          </w:tcPr>
          <w:p>
            <w:r>
              <w:rPr>
                <w:sz w:val="18"/>
              </w:rPr>
              <w:t>38.9%</w:t>
            </w:r>
          </w:p>
        </w:tc>
        <w:tc>
          <w:tcPr>
            <w:tcW w:type="dxa" w:w="5760"/>
          </w:tcPr>
          <w:p>
            <w:r>
              <w:rPr>
                <w:sz w:val="18"/>
              </w:rPr>
              <w:t>Forecast range</w:t>
            </w:r>
          </w:p>
        </w:tc>
      </w:tr>
    </w:tbl>
    <w:p/>
    <w:p>
      <w:pPr>
        <w:pStyle w:val="Heading2"/>
      </w:pPr>
      <w:r>
        <w:t>7.4  ADR Ratio (Row 376)</w:t>
      </w:r>
    </w:p>
    <w:p>
      <w:r>
        <w:rPr>
          <w:b w:val="0"/>
          <w:i w:val="0"/>
          <w:sz w:val="20"/>
        </w:rPr>
        <w:t>Row 376 stores ADR ratio = 0.1. NIKE Class B shares trade as ADRs at a 1:10 ratio — each ADR represents 0.1 ordinary shares. This affects per-ADR EPS and DPS figures when comparing to non-US listed shares. For US-listed NKE (NYSE), shares trade directly (not as ADRs), so the ADR ratio is primarily relevant for international investors.</w:t>
      </w:r>
    </w:p>
    <w:p>
      <w:pPr>
        <w:pStyle w:val="Heading2"/>
      </w:pPr>
      <w:r>
        <w:t>7.5  Book Value per Share (Row 545)</w:t>
      </w:r>
    </w:p>
    <w:tbl>
      <w:tblPr>
        <w:tblStyle w:val="LightList-Accent1"/>
        <w:tblW w:type="auto" w:w="0"/>
        <w:tblLook w:firstColumn="1" w:firstRow="1" w:lastColumn="0" w:lastRow="0" w:noHBand="0" w:noVBand="1" w:val="04A0"/>
      </w:tblPr>
      <w:tblGrid>
        <w:gridCol w:w="2880"/>
        <w:gridCol w:w="2880"/>
        <w:gridCol w:w="2880"/>
      </w:tblGrid>
      <w:tr>
        <w:tc>
          <w:tcPr>
            <w:tcW w:type="dxa" w:w="1728"/>
          </w:tcPr>
          <w:p>
            <w:r>
              <w:rPr>
                <w:b/>
                <w:sz w:val="18"/>
              </w:rPr>
              <w:t>Year</w:t>
            </w:r>
          </w:p>
        </w:tc>
        <w:tc>
          <w:tcPr>
            <w:tcW w:type="dxa" w:w="2160"/>
          </w:tcPr>
          <w:p>
            <w:r>
              <w:rPr>
                <w:b/>
                <w:sz w:val="18"/>
              </w:rPr>
              <w:t>BVPS ($)</w:t>
            </w:r>
          </w:p>
        </w:tc>
        <w:tc>
          <w:tcPr>
            <w:tcW w:type="dxa" w:w="5760"/>
          </w:tcPr>
          <w:p>
            <w:r>
              <w:rPr>
                <w:b/>
                <w:sz w:val="18"/>
              </w:rPr>
              <w:t>Notes</w:t>
            </w:r>
          </w:p>
        </w:tc>
      </w:tr>
      <w:tr>
        <w:tc>
          <w:tcPr>
            <w:tcW w:type="dxa" w:w="1728"/>
          </w:tcPr>
          <w:p/>
        </w:tc>
        <w:tc>
          <w:tcPr>
            <w:tcW w:type="dxa" w:w="2160"/>
          </w:tcPr>
          <w:p/>
        </w:tc>
        <w:tc>
          <w:tcPr>
            <w:tcW w:type="dxa" w:w="5760"/>
          </w:tcPr>
          <w:p/>
        </w:tc>
      </w:tr>
      <w:tr>
        <w:tc>
          <w:tcPr>
            <w:tcW w:type="dxa" w:w="1728"/>
          </w:tcPr>
          <w:p/>
        </w:tc>
        <w:tc>
          <w:tcPr>
            <w:tcW w:type="dxa" w:w="2160"/>
          </w:tcPr>
          <w:p/>
        </w:tc>
        <w:tc>
          <w:tcPr>
            <w:tcW w:type="dxa" w:w="5760"/>
          </w:tcPr>
          <w:p/>
        </w:tc>
      </w:tr>
      <w:tr>
        <w:tc>
          <w:tcPr>
            <w:tcW w:type="dxa" w:w="1728"/>
          </w:tcPr>
          <w:p/>
        </w:tc>
        <w:tc>
          <w:tcPr>
            <w:tcW w:type="dxa" w:w="2160"/>
          </w:tcPr>
          <w:p/>
        </w:tc>
        <w:tc>
          <w:tcPr>
            <w:tcW w:type="dxa" w:w="5760"/>
          </w:tcPr>
          <w:p/>
        </w:tc>
      </w:tr>
      <w:tr>
        <w:tc>
          <w:tcPr>
            <w:tcW w:type="dxa" w:w="1728"/>
          </w:tcPr>
          <w:p/>
        </w:tc>
        <w:tc>
          <w:tcPr>
            <w:tcW w:type="dxa" w:w="2160"/>
          </w:tcPr>
          <w:p/>
        </w:tc>
        <w:tc>
          <w:tcPr>
            <w:tcW w:type="dxa" w:w="5760"/>
          </w:tcPr>
          <w:p/>
        </w:tc>
      </w:tr>
      <w:tr>
        <w:tc>
          <w:tcPr>
            <w:tcW w:type="dxa" w:w="1728"/>
          </w:tcPr>
          <w:p/>
        </w:tc>
        <w:tc>
          <w:tcPr>
            <w:tcW w:type="dxa" w:w="2160"/>
          </w:tcPr>
          <w:p/>
        </w:tc>
        <w:tc>
          <w:tcPr>
            <w:tcW w:type="dxa" w:w="5760"/>
          </w:tcPr>
          <w:p/>
        </w:tc>
      </w:tr>
      <w:tr>
        <w:tc>
          <w:tcPr>
            <w:tcW w:type="dxa" w:w="1728"/>
          </w:tcPr>
          <w:p>
            <w:r>
              <w:rPr>
                <w:sz w:val="18"/>
              </w:rPr>
              <w:t>FY2015</w:t>
            </w:r>
          </w:p>
        </w:tc>
        <w:tc>
          <w:tcPr>
            <w:tcW w:type="dxa" w:w="2160"/>
          </w:tcPr>
          <w:p>
            <w:r>
              <w:rPr>
                <w:sz w:val="18"/>
              </w:rPr>
              <w:t>7.42</w:t>
            </w:r>
          </w:p>
        </w:tc>
        <w:tc>
          <w:tcPr>
            <w:tcW w:type="dxa" w:w="5760"/>
          </w:tcPr>
          <w:p>
            <w:r>
              <w:rPr>
                <w:sz w:val="18"/>
              </w:rPr>
            </w:r>
          </w:p>
        </w:tc>
      </w:tr>
      <w:tr>
        <w:tc>
          <w:tcPr>
            <w:tcW w:type="dxa" w:w="1728"/>
          </w:tcPr>
          <w:p>
            <w:r>
              <w:rPr>
                <w:sz w:val="18"/>
              </w:rPr>
              <w:t>FY2018</w:t>
            </w:r>
          </w:p>
        </w:tc>
        <w:tc>
          <w:tcPr>
            <w:tcW w:type="dxa" w:w="2160"/>
          </w:tcPr>
          <w:p>
            <w:r>
              <w:rPr>
                <w:sz w:val="18"/>
              </w:rPr>
              <w:t>6.13</w:t>
            </w:r>
          </w:p>
        </w:tc>
        <w:tc>
          <w:tcPr>
            <w:tcW w:type="dxa" w:w="5760"/>
          </w:tcPr>
          <w:p>
            <w:r>
              <w:rPr>
                <w:sz w:val="18"/>
              </w:rPr>
              <w:t>RE compression from TCJA</w:t>
            </w:r>
          </w:p>
        </w:tc>
      </w:tr>
      <w:tr>
        <w:tc>
          <w:tcPr>
            <w:tcW w:type="dxa" w:w="1728"/>
          </w:tcPr>
          <w:p>
            <w:r>
              <w:rPr>
                <w:sz w:val="18"/>
              </w:rPr>
              <w:t>FY2020</w:t>
            </w:r>
          </w:p>
        </w:tc>
        <w:tc>
          <w:tcPr>
            <w:tcW w:type="dxa" w:w="2160"/>
          </w:tcPr>
          <w:p>
            <w:r>
              <w:rPr>
                <w:sz w:val="18"/>
              </w:rPr>
              <w:t>5.14</w:t>
            </w:r>
          </w:p>
        </w:tc>
        <w:tc>
          <w:tcPr>
            <w:tcW w:type="dxa" w:w="5760"/>
          </w:tcPr>
          <w:p>
            <w:r>
              <w:rPr>
                <w:sz w:val="18"/>
              </w:rPr>
              <w:t>Lowest; COVID + negative RE</w:t>
            </w:r>
          </w:p>
        </w:tc>
      </w:tr>
      <w:tr>
        <w:tc>
          <w:tcPr>
            <w:tcW w:type="dxa" w:w="1728"/>
          </w:tcPr>
          <w:p>
            <w:r>
              <w:rPr>
                <w:sz w:val="18"/>
              </w:rPr>
              <w:t>FY2022</w:t>
            </w:r>
          </w:p>
        </w:tc>
        <w:tc>
          <w:tcPr>
            <w:tcW w:type="dxa" w:w="2160"/>
          </w:tcPr>
          <w:p>
            <w:r>
              <w:rPr>
                <w:sz w:val="18"/>
              </w:rPr>
              <w:t>9.73</w:t>
            </w:r>
          </w:p>
        </w:tc>
        <w:tc>
          <w:tcPr>
            <w:tcW w:type="dxa" w:w="5760"/>
          </w:tcPr>
          <w:p>
            <w:r>
              <w:rPr>
                <w:sz w:val="18"/>
              </w:rPr>
              <w:t>High NI year</w:t>
            </w:r>
          </w:p>
        </w:tc>
      </w:tr>
      <w:tr>
        <w:tc>
          <w:tcPr>
            <w:tcW w:type="dxa" w:w="1728"/>
          </w:tcPr>
          <w:p>
            <w:r>
              <w:rPr>
                <w:sz w:val="18"/>
              </w:rPr>
              <w:t>FY2024</w:t>
            </w:r>
          </w:p>
        </w:tc>
        <w:tc>
          <w:tcPr>
            <w:tcW w:type="dxa" w:w="2160"/>
          </w:tcPr>
          <w:p>
            <w:r>
              <w:rPr>
                <w:sz w:val="18"/>
              </w:rPr>
              <w:t>9.60</w:t>
            </w:r>
          </w:p>
        </w:tc>
        <w:tc>
          <w:tcPr>
            <w:tcW w:type="dxa" w:w="5760"/>
          </w:tcPr>
          <w:p>
            <w:r>
              <w:rPr>
                <w:sz w:val="18"/>
              </w:rPr>
              <w:t>Current</w:t>
            </w:r>
          </w:p>
        </w:tc>
      </w:tr>
    </w:tbl>
    <w:p/>
    <w:p>
      <w:r>
        <w:rPr>
          <w:b w:val="0"/>
          <w:i w:val="0"/>
          <w:sz w:val="20"/>
        </w:rPr>
        <w:t>Tangible BVPS (row 547) = $9.27 in FY2024, only slightly below total BVPS because goodwill and other intangibles are small ($499m combined = $0.33/share).</w:t>
      </w:r>
    </w:p>
    <w:p>
      <w:r>
        <w:br w:type="page"/>
      </w:r>
    </w:p>
    <w:p>
      <w:pPr>
        <w:pStyle w:val="Heading1"/>
      </w:pPr>
      <w:r>
        <w:t>PART VIII — Supplemental Disclosures</w:t>
      </w:r>
    </w:p>
    <w:p>
      <w:pPr>
        <w:pStyle w:val="Heading2"/>
      </w:pPr>
      <w:r>
        <w:t>8.1  Stock-Based Compensation Detail (Rows 396–412)</w:t>
      </w:r>
    </w:p>
    <w:p>
      <w:r>
        <w:rPr>
          <w:b w:val="0"/>
          <w:i w:val="0"/>
          <w:sz w:val="20"/>
        </w:rPr>
        <w:t>The SBC section contains more granularity than the headline SBC figure:</w:t>
      </w:r>
    </w:p>
    <w:p>
      <w:pPr>
        <w:pStyle w:val="Heading3"/>
      </w:pPr>
      <w:r>
        <w:t>8.1.1  SBC Allocation History</w:t>
      </w:r>
    </w:p>
    <w:tbl>
      <w:tblPr>
        <w:tblStyle w:val="LightList-Accent1"/>
        <w:tblW w:type="auto" w:w="0"/>
        <w:tblLook w:firstColumn="1" w:firstRow="1" w:lastColumn="0" w:lastRow="0" w:noHBand="0" w:noVBand="1" w:val="04A0"/>
      </w:tblPr>
      <w:tblGrid>
        <w:gridCol w:w="2160"/>
        <w:gridCol w:w="2160"/>
        <w:gridCol w:w="2160"/>
        <w:gridCol w:w="2160"/>
      </w:tblGrid>
      <w:tr>
        <w:tc>
          <w:tcPr>
            <w:tcW w:type="dxa" w:w="720"/>
          </w:tcPr>
          <w:p>
            <w:r>
              <w:rPr>
                <w:b/>
                <w:sz w:val="18"/>
              </w:rPr>
              <w:t>Row</w:t>
            </w:r>
          </w:p>
        </w:tc>
        <w:tc>
          <w:tcPr>
            <w:tcW w:type="dxa" w:w="2880"/>
          </w:tcPr>
          <w:p>
            <w:r>
              <w:rPr>
                <w:b/>
                <w:sz w:val="18"/>
              </w:rPr>
              <w:t>Category</w:t>
            </w:r>
          </w:p>
        </w:tc>
        <w:tc>
          <w:tcPr>
            <w:tcW w:type="dxa" w:w="3168"/>
          </w:tcPr>
          <w:p>
            <w:r>
              <w:rPr>
                <w:b/>
                <w:sz w:val="18"/>
              </w:rPr>
              <w:t>Available Years</w:t>
            </w:r>
          </w:p>
        </w:tc>
        <w:tc>
          <w:tcPr>
            <w:tcW w:type="dxa" w:w="2880"/>
          </w:tcPr>
          <w:p>
            <w:r>
              <w:rPr>
                <w:b/>
                <w:sz w:val="18"/>
              </w:rPr>
              <w:t>FY2024</w:t>
            </w:r>
          </w:p>
        </w:tc>
      </w:tr>
      <w:tr>
        <w:tc>
          <w:tcPr>
            <w:tcW w:type="dxa" w:w="720"/>
          </w:tcPr>
          <w:p/>
        </w:tc>
        <w:tc>
          <w:tcPr>
            <w:tcW w:type="dxa" w:w="2880"/>
          </w:tcPr>
          <w:p/>
        </w:tc>
        <w:tc>
          <w:tcPr>
            <w:tcW w:type="dxa" w:w="3168"/>
          </w:tcPr>
          <w:p/>
        </w:tc>
        <w:tc>
          <w:tcPr>
            <w:tcW w:type="dxa" w:w="2880"/>
          </w:tcPr>
          <w:p/>
        </w:tc>
      </w:tr>
      <w:tr>
        <w:tc>
          <w:tcPr>
            <w:tcW w:type="dxa" w:w="720"/>
          </w:tcPr>
          <w:p/>
        </w:tc>
        <w:tc>
          <w:tcPr>
            <w:tcW w:type="dxa" w:w="2880"/>
          </w:tcPr>
          <w:p/>
        </w:tc>
        <w:tc>
          <w:tcPr>
            <w:tcW w:type="dxa" w:w="3168"/>
          </w:tcPr>
          <w:p/>
        </w:tc>
        <w:tc>
          <w:tcPr>
            <w:tcW w:type="dxa" w:w="2880"/>
          </w:tcPr>
          <w:p/>
        </w:tc>
      </w:tr>
      <w:tr>
        <w:tc>
          <w:tcPr>
            <w:tcW w:type="dxa" w:w="720"/>
          </w:tcPr>
          <w:p/>
        </w:tc>
        <w:tc>
          <w:tcPr>
            <w:tcW w:type="dxa" w:w="2880"/>
          </w:tcPr>
          <w:p/>
        </w:tc>
        <w:tc>
          <w:tcPr>
            <w:tcW w:type="dxa" w:w="3168"/>
          </w:tcPr>
          <w:p/>
        </w:tc>
        <w:tc>
          <w:tcPr>
            <w:tcW w:type="dxa" w:w="2880"/>
          </w:tcPr>
          <w:p/>
        </w:tc>
      </w:tr>
      <w:tr>
        <w:tc>
          <w:tcPr>
            <w:tcW w:type="dxa" w:w="720"/>
          </w:tcPr>
          <w:p/>
        </w:tc>
        <w:tc>
          <w:tcPr>
            <w:tcW w:type="dxa" w:w="2880"/>
          </w:tcPr>
          <w:p/>
        </w:tc>
        <w:tc>
          <w:tcPr>
            <w:tcW w:type="dxa" w:w="3168"/>
          </w:tcPr>
          <w:p/>
        </w:tc>
        <w:tc>
          <w:tcPr>
            <w:tcW w:type="dxa" w:w="2880"/>
          </w:tcPr>
          <w:p/>
        </w:tc>
      </w:tr>
      <w:tr>
        <w:tc>
          <w:tcPr>
            <w:tcW w:type="dxa" w:w="720"/>
          </w:tcPr>
          <w:p/>
        </w:tc>
        <w:tc>
          <w:tcPr>
            <w:tcW w:type="dxa" w:w="2880"/>
          </w:tcPr>
          <w:p/>
        </w:tc>
        <w:tc>
          <w:tcPr>
            <w:tcW w:type="dxa" w:w="3168"/>
          </w:tcPr>
          <w:p/>
        </w:tc>
        <w:tc>
          <w:tcPr>
            <w:tcW w:type="dxa" w:w="2880"/>
          </w:tcPr>
          <w:p/>
        </w:tc>
      </w:tr>
      <w:tr>
        <w:tc>
          <w:tcPr>
            <w:tcW w:type="dxa" w:w="720"/>
          </w:tcPr>
          <w:p/>
        </w:tc>
        <w:tc>
          <w:tcPr>
            <w:tcW w:type="dxa" w:w="2880"/>
          </w:tcPr>
          <w:p/>
        </w:tc>
        <w:tc>
          <w:tcPr>
            <w:tcW w:type="dxa" w:w="3168"/>
          </w:tcPr>
          <w:p/>
        </w:tc>
        <w:tc>
          <w:tcPr>
            <w:tcW w:type="dxa" w:w="2880"/>
          </w:tcPr>
          <w:p/>
        </w:tc>
      </w:tr>
      <w:tr>
        <w:tc>
          <w:tcPr>
            <w:tcW w:type="dxa" w:w="720"/>
          </w:tcPr>
          <w:p/>
        </w:tc>
        <w:tc>
          <w:tcPr>
            <w:tcW w:type="dxa" w:w="2880"/>
          </w:tcPr>
          <w:p/>
        </w:tc>
        <w:tc>
          <w:tcPr>
            <w:tcW w:type="dxa" w:w="3168"/>
          </w:tcPr>
          <w:p/>
        </w:tc>
        <w:tc>
          <w:tcPr>
            <w:tcW w:type="dxa" w:w="2880"/>
          </w:tcPr>
          <w:p/>
        </w:tc>
      </w:tr>
      <w:tr>
        <w:tc>
          <w:tcPr>
            <w:tcW w:type="dxa" w:w="720"/>
          </w:tcPr>
          <w:p/>
        </w:tc>
        <w:tc>
          <w:tcPr>
            <w:tcW w:type="dxa" w:w="2880"/>
          </w:tcPr>
          <w:p/>
        </w:tc>
        <w:tc>
          <w:tcPr>
            <w:tcW w:type="dxa" w:w="3168"/>
          </w:tcPr>
          <w:p/>
        </w:tc>
        <w:tc>
          <w:tcPr>
            <w:tcW w:type="dxa" w:w="2880"/>
          </w:tcPr>
          <w:p/>
        </w:tc>
      </w:tr>
      <w:tr>
        <w:tc>
          <w:tcPr>
            <w:tcW w:type="dxa" w:w="720"/>
          </w:tcPr>
          <w:p>
            <w:r>
              <w:rPr>
                <w:sz w:val="18"/>
              </w:rPr>
              <w:t>396</w:t>
            </w:r>
          </w:p>
        </w:tc>
        <w:tc>
          <w:tcPr>
            <w:tcW w:type="dxa" w:w="2880"/>
          </w:tcPr>
          <w:p>
            <w:r>
              <w:rPr>
                <w:sz w:val="18"/>
              </w:rPr>
              <w:t>SBC in COGS</w:t>
            </w:r>
          </w:p>
        </w:tc>
        <w:tc>
          <w:tcPr>
            <w:tcW w:type="dxa" w:w="3168"/>
          </w:tcPr>
          <w:p>
            <w:r>
              <w:rPr>
                <w:sz w:val="18"/>
              </w:rPr>
              <w:t>FY2021 only ($4m)</w:t>
            </w:r>
          </w:p>
        </w:tc>
        <w:tc>
          <w:tcPr>
            <w:tcW w:type="dxa" w:w="2880"/>
          </w:tcPr>
          <w:p>
            <w:r>
              <w:rPr>
                <w:sz w:val="18"/>
              </w:rPr>
              <w:t>NA (not separately disclosed FY2024)</w:t>
            </w:r>
          </w:p>
        </w:tc>
      </w:tr>
      <w:tr>
        <w:tc>
          <w:tcPr>
            <w:tcW w:type="dxa" w:w="720"/>
          </w:tcPr>
          <w:p>
            <w:r>
              <w:rPr>
                <w:sz w:val="18"/>
              </w:rPr>
              <w:t>397</w:t>
            </w:r>
          </w:p>
        </w:tc>
        <w:tc>
          <w:tcPr>
            <w:tcW w:type="dxa" w:w="2880"/>
          </w:tcPr>
          <w:p>
            <w:r>
              <w:rPr>
                <w:sz w:val="18"/>
              </w:rPr>
              <w:t>SBC in SG&amp;A</w:t>
            </w:r>
          </w:p>
        </w:tc>
        <w:tc>
          <w:tcPr>
            <w:tcW w:type="dxa" w:w="3168"/>
          </w:tcPr>
          <w:p>
            <w:r>
              <w:rPr>
                <w:sz w:val="18"/>
              </w:rPr>
              <w:t>FY2015 ($191m) and FY2021 ($41m) only</w:t>
            </w:r>
          </w:p>
        </w:tc>
        <w:tc>
          <w:tcPr>
            <w:tcW w:type="dxa" w:w="2880"/>
          </w:tcPr>
          <w:p>
            <w:r>
              <w:rPr>
                <w:sz w:val="18"/>
              </w:rPr>
              <w:t>NA</w:t>
            </w:r>
          </w:p>
        </w:tc>
      </w:tr>
      <w:tr>
        <w:tc>
          <w:tcPr>
            <w:tcW w:type="dxa" w:w="720"/>
          </w:tcPr>
          <w:p>
            <w:r>
              <w:rPr>
                <w:sz w:val="18"/>
              </w:rPr>
              <w:t>398</w:t>
            </w:r>
          </w:p>
        </w:tc>
        <w:tc>
          <w:tcPr>
            <w:tcW w:type="dxa" w:w="2880"/>
          </w:tcPr>
          <w:p>
            <w:r>
              <w:rPr>
                <w:sz w:val="18"/>
              </w:rPr>
              <w:t>SBC unallocated</w:t>
            </w:r>
          </w:p>
        </w:tc>
        <w:tc>
          <w:tcPr>
            <w:tcW w:type="dxa" w:w="3168"/>
          </w:tcPr>
          <w:p>
            <w:r>
              <w:rPr>
                <w:sz w:val="18"/>
              </w:rPr>
              <w:t>FY2016–FY2024</w:t>
            </w:r>
          </w:p>
        </w:tc>
        <w:tc>
          <w:tcPr>
            <w:tcW w:type="dxa" w:w="2880"/>
          </w:tcPr>
          <w:p>
            <w:r>
              <w:rPr>
                <w:sz w:val="18"/>
              </w:rPr>
              <w:t>$804m FY2024</w:t>
            </w:r>
          </w:p>
        </w:tc>
      </w:tr>
      <w:tr>
        <w:tc>
          <w:tcPr>
            <w:tcW w:type="dxa" w:w="720"/>
          </w:tcPr>
          <w:p>
            <w:r>
              <w:rPr>
                <w:sz w:val="18"/>
              </w:rPr>
              <w:t>399</w:t>
            </w:r>
          </w:p>
        </w:tc>
        <w:tc>
          <w:tcPr>
            <w:tcW w:type="dxa" w:w="2880"/>
          </w:tcPr>
          <w:p>
            <w:r>
              <w:rPr>
                <w:sz w:val="18"/>
              </w:rPr>
              <w:t>Total SBC</w:t>
            </w:r>
          </w:p>
        </w:tc>
        <w:tc>
          <w:tcPr>
            <w:tcW w:type="dxa" w:w="3168"/>
          </w:tcPr>
          <w:p>
            <w:r>
              <w:rPr>
                <w:sz w:val="18"/>
              </w:rPr>
              <w:t>FY2015–FY2024</w:t>
            </w:r>
          </w:p>
        </w:tc>
        <w:tc>
          <w:tcPr>
            <w:tcW w:type="dxa" w:w="2880"/>
          </w:tcPr>
          <w:p>
            <w:r>
              <w:rPr>
                <w:sz w:val="18"/>
              </w:rPr>
              <w:t>$804m FY2024</w:t>
            </w:r>
          </w:p>
        </w:tc>
      </w:tr>
      <w:tr>
        <w:tc>
          <w:tcPr>
            <w:tcW w:type="dxa" w:w="720"/>
          </w:tcPr>
          <w:p>
            <w:r>
              <w:rPr>
                <w:sz w:val="18"/>
              </w:rPr>
              <w:t>409</w:t>
            </w:r>
          </w:p>
        </w:tc>
        <w:tc>
          <w:tcPr>
            <w:tcW w:type="dxa" w:w="2880"/>
          </w:tcPr>
          <w:p>
            <w:r>
              <w:rPr>
                <w:sz w:val="18"/>
              </w:rPr>
              <w:t>Restricted stock comp (before tax)</w:t>
            </w:r>
          </w:p>
        </w:tc>
        <w:tc>
          <w:tcPr>
            <w:tcW w:type="dxa" w:w="3168"/>
          </w:tcPr>
          <w:p>
            <w:r>
              <w:rPr>
                <w:sz w:val="18"/>
              </w:rPr>
              <w:t>FY2015–FY2024</w:t>
            </w:r>
          </w:p>
        </w:tc>
        <w:tc>
          <w:tcPr>
            <w:tcW w:type="dxa" w:w="2880"/>
          </w:tcPr>
          <w:p>
            <w:r>
              <w:rPr>
                <w:sz w:val="18"/>
              </w:rPr>
              <w:t>$399m FY2024</w:t>
            </w:r>
          </w:p>
        </w:tc>
      </w:tr>
      <w:tr>
        <w:tc>
          <w:tcPr>
            <w:tcW w:type="dxa" w:w="720"/>
          </w:tcPr>
          <w:p>
            <w:r>
              <w:rPr>
                <w:sz w:val="18"/>
              </w:rPr>
              <w:t>410</w:t>
            </w:r>
          </w:p>
        </w:tc>
        <w:tc>
          <w:tcPr>
            <w:tcW w:type="dxa" w:w="2880"/>
          </w:tcPr>
          <w:p>
            <w:r>
              <w:rPr>
                <w:sz w:val="18"/>
              </w:rPr>
              <w:t>Total SBC before tax</w:t>
            </w:r>
          </w:p>
        </w:tc>
        <w:tc>
          <w:tcPr>
            <w:tcW w:type="dxa" w:w="3168"/>
          </w:tcPr>
          <w:p>
            <w:r>
              <w:rPr>
                <w:sz w:val="18"/>
              </w:rPr>
              <w:t>FY2015–FY2024</w:t>
            </w:r>
          </w:p>
        </w:tc>
        <w:tc>
          <w:tcPr>
            <w:tcW w:type="dxa" w:w="2880"/>
          </w:tcPr>
          <w:p>
            <w:r>
              <w:rPr>
                <w:sz w:val="18"/>
              </w:rPr>
              <w:t>$804m FY2024 (same as row 399)</w:t>
            </w:r>
          </w:p>
        </w:tc>
      </w:tr>
      <w:tr>
        <w:tc>
          <w:tcPr>
            <w:tcW w:type="dxa" w:w="720"/>
          </w:tcPr>
          <w:p>
            <w:r>
              <w:rPr>
                <w:sz w:val="18"/>
              </w:rPr>
              <w:t>411</w:t>
            </w:r>
          </w:p>
        </w:tc>
        <w:tc>
          <w:tcPr>
            <w:tcW w:type="dxa" w:w="2880"/>
          </w:tcPr>
          <w:p>
            <w:r>
              <w:rPr>
                <w:sz w:val="18"/>
              </w:rPr>
              <w:t>SBC tax effect</w:t>
            </w:r>
          </w:p>
        </w:tc>
        <w:tc>
          <w:tcPr>
            <w:tcW w:type="dxa" w:w="3168"/>
          </w:tcPr>
          <w:p>
            <w:r>
              <w:rPr>
                <w:sz w:val="18"/>
              </w:rPr>
              <w:t>FY2017–FY2022 only</w:t>
            </w:r>
          </w:p>
        </w:tc>
        <w:tc>
          <w:tcPr>
            <w:tcW w:type="dxa" w:w="2880"/>
          </w:tcPr>
          <w:p>
            <w:r>
              <w:rPr>
                <w:sz w:val="18"/>
              </w:rPr>
              <w:t>NA FY2024</w:t>
            </w:r>
          </w:p>
        </w:tc>
      </w:tr>
      <w:tr>
        <w:tc>
          <w:tcPr>
            <w:tcW w:type="dxa" w:w="720"/>
          </w:tcPr>
          <w:p>
            <w:r>
              <w:rPr>
                <w:sz w:val="18"/>
              </w:rPr>
              <w:t>412</w:t>
            </w:r>
          </w:p>
        </w:tc>
        <w:tc>
          <w:tcPr>
            <w:tcW w:type="dxa" w:w="2880"/>
          </w:tcPr>
          <w:p>
            <w:r>
              <w:rPr>
                <w:sz w:val="18"/>
              </w:rPr>
              <w:t>SBC after tax</w:t>
            </w:r>
          </w:p>
        </w:tc>
        <w:tc>
          <w:tcPr>
            <w:tcW w:type="dxa" w:w="3168"/>
          </w:tcPr>
          <w:p>
            <w:r>
              <w:rPr>
                <w:sz w:val="18"/>
              </w:rPr>
              <w:t>FY2017–FY2022 only</w:t>
            </w:r>
          </w:p>
        </w:tc>
        <w:tc>
          <w:tcPr>
            <w:tcW w:type="dxa" w:w="2880"/>
          </w:tcPr>
          <w:p>
            <w:r>
              <w:rPr>
                <w:sz w:val="18"/>
              </w:rPr>
              <w:t>NA FY2024</w:t>
            </w:r>
          </w:p>
        </w:tc>
      </w:tr>
    </w:tbl>
    <w:p/>
    <w:p>
      <w:r>
        <w:rPr>
          <w:b w:val="0"/>
          <w:i w:val="0"/>
          <w:sz w:val="20"/>
        </w:rPr>
        <w:t>Restricted stock compensation (row 409) = $399m vs total SBC = $804m; the remaining $405m = stock options and other equity awards. The mix has shifted dramatically: options were the dominant form pre-FY2018, but RSUs have become dominant post-FY2018 as NIKE aligned with S&amp;P 500 norms.</w:t>
      </w:r>
    </w:p>
    <w:p>
      <w:r>
        <w:rPr>
          <w:b w:val="0"/>
          <w:i w:val="0"/>
          <w:sz w:val="20"/>
        </w:rPr>
        <w:t>SBC tax effect (row 411) is only available for FY2017–FY2022. The after-tax SBC cost swung between -$12m (FY2018, TCJA year) and +$314m (FY2021). The negative FY2018 figure means NIKE's tax BENEFIT from SBC actually exceeded the gross SBC charge that year — the TCJA triggered a large final tax deduction on outstanding unvested awards.</w:t>
      </w:r>
    </w:p>
    <w:p>
      <w:pPr>
        <w:pStyle w:val="Heading3"/>
      </w:pPr>
      <w:r>
        <w:t>8.1.2  Stock Options Activity (Rows 402–407)</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3168"/>
          </w:tcPr>
          <w:p>
            <w:r>
              <w:rPr>
                <w:b/>
                <w:sz w:val="18"/>
              </w:rPr>
              <w:t>Row</w:t>
            </w:r>
          </w:p>
        </w:tc>
        <w:tc>
          <w:tcPr>
            <w:tcW w:type="dxa" w:w="1872"/>
          </w:tcPr>
          <w:p>
            <w:r>
              <w:rPr>
                <w:b/>
                <w:sz w:val="18"/>
              </w:rPr>
              <w:t>Item</w:t>
            </w:r>
          </w:p>
        </w:tc>
        <w:tc>
          <w:tcPr>
            <w:tcW w:type="dxa" w:w="1872"/>
          </w:tcPr>
          <w:p>
            <w:r>
              <w:rPr>
                <w:b/>
                <w:sz w:val="18"/>
              </w:rPr>
              <w:t>FY2015</w:t>
            </w:r>
          </w:p>
        </w:tc>
        <w:tc>
          <w:tcPr>
            <w:tcW w:type="dxa" w:w="2880"/>
          </w:tcPr>
          <w:p>
            <w:r>
              <w:rPr>
                <w:b/>
                <w:sz w:val="18"/>
              </w:rPr>
              <w:t>FY2016</w:t>
            </w:r>
          </w:p>
        </w:tc>
        <w:tc>
          <w:tcPr>
            <w:tcW w:type="dxa" w:w="1728"/>
          </w:tcPr>
          <w:p>
            <w:r>
              <w:rPr>
                <w:b/>
                <w:sz w:val="18"/>
              </w:rPr>
              <w:t>FY2017+</w:t>
            </w:r>
          </w:p>
        </w:tc>
      </w:tr>
      <w:tr>
        <w:tc>
          <w:tcPr>
            <w:tcW w:type="dxa" w:w="3168"/>
          </w:tcPr>
          <w:p/>
        </w:tc>
        <w:tc>
          <w:tcPr>
            <w:tcW w:type="dxa" w:w="1872"/>
          </w:tcPr>
          <w:p/>
        </w:tc>
        <w:tc>
          <w:tcPr>
            <w:tcW w:type="dxa" w:w="1872"/>
          </w:tcPr>
          <w:p/>
        </w:tc>
        <w:tc>
          <w:tcPr>
            <w:tcW w:type="dxa" w:w="2880"/>
          </w:tcPr>
          <w:p/>
        </w:tc>
        <w:tc>
          <w:tcPr>
            <w:tcW w:type="dxa" w:w="1728"/>
          </w:tcPr>
          <w:p/>
        </w:tc>
      </w:tr>
      <w:tr>
        <w:tc>
          <w:tcPr>
            <w:tcW w:type="dxa" w:w="3168"/>
          </w:tcPr>
          <w:p/>
        </w:tc>
        <w:tc>
          <w:tcPr>
            <w:tcW w:type="dxa" w:w="1872"/>
          </w:tcPr>
          <w:p/>
        </w:tc>
        <w:tc>
          <w:tcPr>
            <w:tcW w:type="dxa" w:w="1872"/>
          </w:tcPr>
          <w:p/>
        </w:tc>
        <w:tc>
          <w:tcPr>
            <w:tcW w:type="dxa" w:w="2880"/>
          </w:tcPr>
          <w:p/>
        </w:tc>
        <w:tc>
          <w:tcPr>
            <w:tcW w:type="dxa" w:w="1728"/>
          </w:tcPr>
          <w:p/>
        </w:tc>
      </w:tr>
      <w:tr>
        <w:tc>
          <w:tcPr>
            <w:tcW w:type="dxa" w:w="3168"/>
          </w:tcPr>
          <w:p/>
        </w:tc>
        <w:tc>
          <w:tcPr>
            <w:tcW w:type="dxa" w:w="1872"/>
          </w:tcPr>
          <w:p/>
        </w:tc>
        <w:tc>
          <w:tcPr>
            <w:tcW w:type="dxa" w:w="1872"/>
          </w:tcPr>
          <w:p/>
        </w:tc>
        <w:tc>
          <w:tcPr>
            <w:tcW w:type="dxa" w:w="2880"/>
          </w:tcPr>
          <w:p/>
        </w:tc>
        <w:tc>
          <w:tcPr>
            <w:tcW w:type="dxa" w:w="1728"/>
          </w:tcPr>
          <w:p/>
        </w:tc>
      </w:tr>
      <w:tr>
        <w:tc>
          <w:tcPr>
            <w:tcW w:type="dxa" w:w="3168"/>
          </w:tcPr>
          <w:p/>
        </w:tc>
        <w:tc>
          <w:tcPr>
            <w:tcW w:type="dxa" w:w="1872"/>
          </w:tcPr>
          <w:p/>
        </w:tc>
        <w:tc>
          <w:tcPr>
            <w:tcW w:type="dxa" w:w="1872"/>
          </w:tcPr>
          <w:p/>
        </w:tc>
        <w:tc>
          <w:tcPr>
            <w:tcW w:type="dxa" w:w="2880"/>
          </w:tcPr>
          <w:p/>
        </w:tc>
        <w:tc>
          <w:tcPr>
            <w:tcW w:type="dxa" w:w="1728"/>
          </w:tcPr>
          <w:p/>
        </w:tc>
      </w:tr>
      <w:tr>
        <w:tc>
          <w:tcPr>
            <w:tcW w:type="dxa" w:w="3168"/>
          </w:tcPr>
          <w:p/>
        </w:tc>
        <w:tc>
          <w:tcPr>
            <w:tcW w:type="dxa" w:w="1872"/>
          </w:tcPr>
          <w:p/>
        </w:tc>
        <w:tc>
          <w:tcPr>
            <w:tcW w:type="dxa" w:w="1872"/>
          </w:tcPr>
          <w:p/>
        </w:tc>
        <w:tc>
          <w:tcPr>
            <w:tcW w:type="dxa" w:w="2880"/>
          </w:tcPr>
          <w:p/>
        </w:tc>
        <w:tc>
          <w:tcPr>
            <w:tcW w:type="dxa" w:w="1728"/>
          </w:tcPr>
          <w:p/>
        </w:tc>
      </w:tr>
      <w:tr>
        <w:tc>
          <w:tcPr>
            <w:tcW w:type="dxa" w:w="3168"/>
          </w:tcPr>
          <w:p>
            <w:r>
              <w:rPr>
                <w:sz w:val="18"/>
              </w:rPr>
              <w:t>403</w:t>
            </w:r>
          </w:p>
        </w:tc>
        <w:tc>
          <w:tcPr>
            <w:tcW w:type="dxa" w:w="1872"/>
          </w:tcPr>
          <w:p>
            <w:r>
              <w:rPr>
                <w:sz w:val="18"/>
              </w:rPr>
              <w:t>Options outstanding beginning</w:t>
            </w:r>
          </w:p>
        </w:tc>
        <w:tc>
          <w:tcPr>
            <w:tcW w:type="dxa" w:w="1872"/>
          </w:tcPr>
          <w:p>
            <w:r>
              <w:rPr>
                <w:sz w:val="18"/>
              </w:rPr>
              <w:t>127.1m</w:t>
            </w:r>
          </w:p>
        </w:tc>
        <w:tc>
          <w:tcPr>
            <w:tcW w:type="dxa" w:w="2880"/>
          </w:tcPr>
          <w:p>
            <w:r>
              <w:rPr>
                <w:sz w:val="18"/>
              </w:rPr>
              <w:t>116.2m</w:t>
            </w:r>
          </w:p>
        </w:tc>
        <w:tc>
          <w:tcPr>
            <w:tcW w:type="dxa" w:w="1728"/>
          </w:tcPr>
          <w:p>
            <w:r>
              <w:rPr>
                <w:sz w:val="18"/>
              </w:rPr>
              <w:t>NA</w:t>
            </w:r>
          </w:p>
        </w:tc>
      </w:tr>
      <w:tr>
        <w:tc>
          <w:tcPr>
            <w:tcW w:type="dxa" w:w="3168"/>
          </w:tcPr>
          <w:p>
            <w:r>
              <w:rPr>
                <w:sz w:val="18"/>
              </w:rPr>
              <w:t>404</w:t>
            </w:r>
          </w:p>
        </w:tc>
        <w:tc>
          <w:tcPr>
            <w:tcW w:type="dxa" w:w="1872"/>
          </w:tcPr>
          <w:p>
            <w:r>
              <w:rPr>
                <w:sz w:val="18"/>
              </w:rPr>
              <w:t>Options granted</w:t>
            </w:r>
          </w:p>
        </w:tc>
        <w:tc>
          <w:tcPr>
            <w:tcW w:type="dxa" w:w="1872"/>
          </w:tcPr>
          <w:p>
            <w:r>
              <w:rPr>
                <w:sz w:val="18"/>
              </w:rPr>
              <w:t>18.4m</w:t>
            </w:r>
          </w:p>
        </w:tc>
        <w:tc>
          <w:tcPr>
            <w:tcW w:type="dxa" w:w="2880"/>
          </w:tcPr>
          <w:p>
            <w:r>
              <w:rPr>
                <w:sz w:val="18"/>
              </w:rPr>
              <w:t>20.6m</w:t>
            </w:r>
          </w:p>
        </w:tc>
        <w:tc>
          <w:tcPr>
            <w:tcW w:type="dxa" w:w="1728"/>
          </w:tcPr>
          <w:p>
            <w:r>
              <w:rPr>
                <w:sz w:val="18"/>
              </w:rPr>
              <w:t>NA</w:t>
            </w:r>
          </w:p>
        </w:tc>
      </w:tr>
      <w:tr>
        <w:tc>
          <w:tcPr>
            <w:tcW w:type="dxa" w:w="3168"/>
          </w:tcPr>
          <w:p>
            <w:r>
              <w:rPr>
                <w:sz w:val="18"/>
              </w:rPr>
              <w:t>405</w:t>
            </w:r>
          </w:p>
        </w:tc>
        <w:tc>
          <w:tcPr>
            <w:tcW w:type="dxa" w:w="1872"/>
          </w:tcPr>
          <w:p>
            <w:r>
              <w:rPr>
                <w:sz w:val="18"/>
              </w:rPr>
              <w:t>Options exercised</w:t>
            </w:r>
          </w:p>
        </w:tc>
        <w:tc>
          <w:tcPr>
            <w:tcW w:type="dxa" w:w="1872"/>
          </w:tcPr>
          <w:p>
            <w:r>
              <w:rPr>
                <w:sz w:val="18"/>
              </w:rPr>
              <w:t>27.2m</w:t>
            </w:r>
          </w:p>
        </w:tc>
        <w:tc>
          <w:tcPr>
            <w:tcW w:type="dxa" w:w="2880"/>
          </w:tcPr>
          <w:p>
            <w:r>
              <w:rPr>
                <w:sz w:val="18"/>
              </w:rPr>
              <w:t>22.5m</w:t>
            </w:r>
          </w:p>
        </w:tc>
        <w:tc>
          <w:tcPr>
            <w:tcW w:type="dxa" w:w="1728"/>
          </w:tcPr>
          <w:p>
            <w:r>
              <w:rPr>
                <w:sz w:val="18"/>
              </w:rPr>
              <w:t>NA</w:t>
            </w:r>
          </w:p>
        </w:tc>
      </w:tr>
      <w:tr>
        <w:tc>
          <w:tcPr>
            <w:tcW w:type="dxa" w:w="3168"/>
          </w:tcPr>
          <w:p>
            <w:r>
              <w:rPr>
                <w:sz w:val="18"/>
              </w:rPr>
              <w:t>406</w:t>
            </w:r>
          </w:p>
        </w:tc>
        <w:tc>
          <w:tcPr>
            <w:tcW w:type="dxa" w:w="1872"/>
          </w:tcPr>
          <w:p>
            <w:r>
              <w:rPr>
                <w:sz w:val="18"/>
              </w:rPr>
              <w:t>Options cancelled</w:t>
            </w:r>
          </w:p>
        </w:tc>
        <w:tc>
          <w:tcPr>
            <w:tcW w:type="dxa" w:w="1872"/>
          </w:tcPr>
          <w:p>
            <w:r>
              <w:rPr>
                <w:sz w:val="18"/>
              </w:rPr>
              <w:t>2.1m</w:t>
            </w:r>
          </w:p>
        </w:tc>
        <w:tc>
          <w:tcPr>
            <w:tcW w:type="dxa" w:w="2880"/>
          </w:tcPr>
          <w:p>
            <w:r>
              <w:rPr>
                <w:sz w:val="18"/>
              </w:rPr>
              <w:t>2.3m</w:t>
            </w:r>
          </w:p>
        </w:tc>
        <w:tc>
          <w:tcPr>
            <w:tcW w:type="dxa" w:w="1728"/>
          </w:tcPr>
          <w:p>
            <w:r>
              <w:rPr>
                <w:sz w:val="18"/>
              </w:rPr>
              <w:t>NA</w:t>
            </w:r>
          </w:p>
        </w:tc>
      </w:tr>
      <w:tr>
        <w:tc>
          <w:tcPr>
            <w:tcW w:type="dxa" w:w="3168"/>
          </w:tcPr>
          <w:p>
            <w:r>
              <w:rPr>
                <w:sz w:val="18"/>
              </w:rPr>
              <w:t>407</w:t>
            </w:r>
          </w:p>
        </w:tc>
        <w:tc>
          <w:tcPr>
            <w:tcW w:type="dxa" w:w="1872"/>
          </w:tcPr>
          <w:p>
            <w:r>
              <w:rPr>
                <w:sz w:val="18"/>
              </w:rPr>
              <w:t>Options outstanding ending</w:t>
            </w:r>
          </w:p>
        </w:tc>
        <w:tc>
          <w:tcPr>
            <w:tcW w:type="dxa" w:w="1872"/>
          </w:tcPr>
          <w:p>
            <w:r>
              <w:rPr>
                <w:sz w:val="18"/>
              </w:rPr>
              <w:t>116.2m</w:t>
            </w:r>
          </w:p>
        </w:tc>
        <w:tc>
          <w:tcPr>
            <w:tcW w:type="dxa" w:w="2880"/>
          </w:tcPr>
          <w:p>
            <w:r>
              <w:rPr>
                <w:sz w:val="18"/>
              </w:rPr>
              <w:t>112.0m</w:t>
            </w:r>
          </w:p>
        </w:tc>
        <w:tc>
          <w:tcPr>
            <w:tcW w:type="dxa" w:w="1728"/>
          </w:tcPr>
          <w:p>
            <w:r>
              <w:rPr>
                <w:sz w:val="18"/>
              </w:rPr>
              <w:t>NA</w:t>
            </w:r>
          </w:p>
        </w:tc>
      </w:tr>
    </w:tbl>
    <w:p/>
    <w:p>
      <w:r>
        <w:rPr>
          <w:b w:val="0"/>
          <w:i w:val="0"/>
          <w:sz w:val="20"/>
        </w:rPr>
        <w:t>Stock option disclosures are only available for FY2015–FY2016. From FY2017 onwards, CIQ/NIKE ceased reporting a detailed options activity table separately (options data was rolled into the broader SBC footnote). The shift coincides with NIKE's transition from options-heavy to RSU-heavy compensation.</w:t>
      </w:r>
    </w:p>
    <w:p>
      <w:pPr>
        <w:pStyle w:val="Heading2"/>
      </w:pPr>
      <w:r>
        <w:t>8.2  Tax Supplemental — NOL Carryforwards (Rows 563–572)</w:t>
      </w:r>
    </w:p>
    <w:p>
      <w:r>
        <w:rPr>
          <w:b w:val="0"/>
          <w:i w:val="0"/>
          <w:sz w:val="20"/>
        </w:rPr>
        <w:t>NIKE maintains foreign Net Operating Loss carryforwards (the US entity is consistently profitable). The NOL breakdown by expiration bucket:</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2592"/>
          </w:tcPr>
          <w:p>
            <w:r>
              <w:rPr>
                <w:b/>
                <w:sz w:val="18"/>
              </w:rPr>
              <w:t>Row</w:t>
            </w:r>
          </w:p>
        </w:tc>
        <w:tc>
          <w:tcPr>
            <w:tcW w:type="dxa" w:w="2160"/>
          </w:tcPr>
          <w:p>
            <w:r>
              <w:rPr>
                <w:b/>
                <w:sz w:val="18"/>
              </w:rPr>
              <w:t>Bucket</w:t>
            </w:r>
          </w:p>
        </w:tc>
        <w:tc>
          <w:tcPr>
            <w:tcW w:type="dxa" w:w="1728"/>
          </w:tcPr>
          <w:p>
            <w:r>
              <w:rPr>
                <w:b/>
                <w:sz w:val="18"/>
              </w:rPr>
              <w:t>FY2015 ($m)</w:t>
            </w:r>
          </w:p>
        </w:tc>
        <w:tc>
          <w:tcPr>
            <w:tcW w:type="dxa" w:w="1728"/>
          </w:tcPr>
          <w:p>
            <w:r>
              <w:rPr>
                <w:b/>
                <w:sz w:val="18"/>
              </w:rPr>
              <w:t>FY2020 ($m)</w:t>
            </w:r>
          </w:p>
        </w:tc>
        <w:tc>
          <w:tcPr>
            <w:tcW w:type="dxa" w:w="1728"/>
          </w:tcPr>
          <w:p>
            <w:r>
              <w:rPr>
                <w:b/>
                <w:sz w:val="18"/>
              </w:rPr>
              <w:t>FY2023 ($m)</w:t>
            </w:r>
          </w:p>
        </w:tc>
      </w:tr>
      <w:tr>
        <w:tc>
          <w:tcPr>
            <w:tcW w:type="dxa" w:w="2592"/>
          </w:tcPr>
          <w:p/>
        </w:tc>
        <w:tc>
          <w:tcPr>
            <w:tcW w:type="dxa" w:w="2160"/>
          </w:tcPr>
          <w:p/>
        </w:tc>
        <w:tc>
          <w:tcPr>
            <w:tcW w:type="dxa" w:w="1728"/>
          </w:tcPr>
          <w:p/>
        </w:tc>
        <w:tc>
          <w:tcPr>
            <w:tcW w:type="dxa" w:w="1728"/>
          </w:tcPr>
          <w:p/>
        </w:tc>
        <w:tc>
          <w:tcPr>
            <w:tcW w:type="dxa" w:w="1728"/>
          </w:tcPr>
          <w:p/>
        </w:tc>
      </w:tr>
      <w:tr>
        <w:tc>
          <w:tcPr>
            <w:tcW w:type="dxa" w:w="2592"/>
          </w:tcPr>
          <w:p/>
        </w:tc>
        <w:tc>
          <w:tcPr>
            <w:tcW w:type="dxa" w:w="2160"/>
          </w:tcPr>
          <w:p/>
        </w:tc>
        <w:tc>
          <w:tcPr>
            <w:tcW w:type="dxa" w:w="1728"/>
          </w:tcPr>
          <w:p/>
        </w:tc>
        <w:tc>
          <w:tcPr>
            <w:tcW w:type="dxa" w:w="1728"/>
          </w:tcPr>
          <w:p/>
        </w:tc>
        <w:tc>
          <w:tcPr>
            <w:tcW w:type="dxa" w:w="1728"/>
          </w:tcPr>
          <w:p/>
        </w:tc>
      </w:tr>
      <w:tr>
        <w:tc>
          <w:tcPr>
            <w:tcW w:type="dxa" w:w="2592"/>
          </w:tcPr>
          <w:p/>
        </w:tc>
        <w:tc>
          <w:tcPr>
            <w:tcW w:type="dxa" w:w="2160"/>
          </w:tcPr>
          <w:p/>
        </w:tc>
        <w:tc>
          <w:tcPr>
            <w:tcW w:type="dxa" w:w="1728"/>
          </w:tcPr>
          <w:p/>
        </w:tc>
        <w:tc>
          <w:tcPr>
            <w:tcW w:type="dxa" w:w="1728"/>
          </w:tcPr>
          <w:p/>
        </w:tc>
        <w:tc>
          <w:tcPr>
            <w:tcW w:type="dxa" w:w="1728"/>
          </w:tcPr>
          <w:p/>
        </w:tc>
      </w:tr>
      <w:tr>
        <w:tc>
          <w:tcPr>
            <w:tcW w:type="dxa" w:w="2592"/>
          </w:tcPr>
          <w:p/>
        </w:tc>
        <w:tc>
          <w:tcPr>
            <w:tcW w:type="dxa" w:w="2160"/>
          </w:tcPr>
          <w:p/>
        </w:tc>
        <w:tc>
          <w:tcPr>
            <w:tcW w:type="dxa" w:w="1728"/>
          </w:tcPr>
          <w:p/>
        </w:tc>
        <w:tc>
          <w:tcPr>
            <w:tcW w:type="dxa" w:w="1728"/>
          </w:tcPr>
          <w:p/>
        </w:tc>
        <w:tc>
          <w:tcPr>
            <w:tcW w:type="dxa" w:w="1728"/>
          </w:tcPr>
          <w:p/>
        </w:tc>
      </w:tr>
      <w:tr>
        <w:tc>
          <w:tcPr>
            <w:tcW w:type="dxa" w:w="2592"/>
          </w:tcPr>
          <w:p/>
        </w:tc>
        <w:tc>
          <w:tcPr>
            <w:tcW w:type="dxa" w:w="2160"/>
          </w:tcPr>
          <w:p/>
        </w:tc>
        <w:tc>
          <w:tcPr>
            <w:tcW w:type="dxa" w:w="1728"/>
          </w:tcPr>
          <w:p/>
        </w:tc>
        <w:tc>
          <w:tcPr>
            <w:tcW w:type="dxa" w:w="1728"/>
          </w:tcPr>
          <w:p/>
        </w:tc>
        <w:tc>
          <w:tcPr>
            <w:tcW w:type="dxa" w:w="1728"/>
          </w:tcPr>
          <w:p/>
        </w:tc>
      </w:tr>
      <w:tr>
        <w:tc>
          <w:tcPr>
            <w:tcW w:type="dxa" w:w="2592"/>
          </w:tcPr>
          <w:p/>
        </w:tc>
        <w:tc>
          <w:tcPr>
            <w:tcW w:type="dxa" w:w="2160"/>
          </w:tcPr>
          <w:p/>
        </w:tc>
        <w:tc>
          <w:tcPr>
            <w:tcW w:type="dxa" w:w="1728"/>
          </w:tcPr>
          <w:p/>
        </w:tc>
        <w:tc>
          <w:tcPr>
            <w:tcW w:type="dxa" w:w="1728"/>
          </w:tcPr>
          <w:p/>
        </w:tc>
        <w:tc>
          <w:tcPr>
            <w:tcW w:type="dxa" w:w="1728"/>
          </w:tcPr>
          <w:p/>
        </w:tc>
      </w:tr>
      <w:tr>
        <w:tc>
          <w:tcPr>
            <w:tcW w:type="dxa" w:w="2592"/>
          </w:tcPr>
          <w:p/>
        </w:tc>
        <w:tc>
          <w:tcPr>
            <w:tcW w:type="dxa" w:w="2160"/>
          </w:tcPr>
          <w:p/>
        </w:tc>
        <w:tc>
          <w:tcPr>
            <w:tcW w:type="dxa" w:w="1728"/>
          </w:tcPr>
          <w:p/>
        </w:tc>
        <w:tc>
          <w:tcPr>
            <w:tcW w:type="dxa" w:w="1728"/>
          </w:tcPr>
          <w:p/>
        </w:tc>
        <w:tc>
          <w:tcPr>
            <w:tcW w:type="dxa" w:w="1728"/>
          </w:tcPr>
          <w:p/>
        </w:tc>
      </w:tr>
      <w:tr>
        <w:tc>
          <w:tcPr>
            <w:tcW w:type="dxa" w:w="2592"/>
          </w:tcPr>
          <w:p>
            <w:r>
              <w:rPr>
                <w:sz w:val="18"/>
              </w:rPr>
              <w:t>564</w:t>
            </w:r>
          </w:p>
        </w:tc>
        <w:tc>
          <w:tcPr>
            <w:tcW w:type="dxa" w:w="2160"/>
          </w:tcPr>
          <w:p>
            <w:r>
              <w:rPr>
                <w:sz w:val="18"/>
              </w:rPr>
              <w:t>Current year</w:t>
            </w:r>
          </w:p>
        </w:tc>
        <w:tc>
          <w:tcPr>
            <w:tcW w:type="dxa" w:w="1728"/>
          </w:tcPr>
          <w:p>
            <w:r>
              <w:rPr>
                <w:sz w:val="18"/>
              </w:rPr>
              <w:t>NA</w:t>
            </w:r>
          </w:p>
        </w:tc>
        <w:tc>
          <w:tcPr>
            <w:tcW w:type="dxa" w:w="1728"/>
          </w:tcPr>
          <w:p>
            <w:r>
              <w:rPr>
                <w:sz w:val="18"/>
              </w:rPr>
              <w:t>NA</w:t>
            </w:r>
          </w:p>
        </w:tc>
        <w:tc>
          <w:tcPr>
            <w:tcW w:type="dxa" w:w="1728"/>
          </w:tcPr>
          <w:p>
            <w:r>
              <w:rPr>
                <w:sz w:val="18"/>
              </w:rPr>
              <w:t>NA</w:t>
            </w:r>
          </w:p>
        </w:tc>
      </w:tr>
      <w:tr>
        <w:tc>
          <w:tcPr>
            <w:tcW w:type="dxa" w:w="2592"/>
          </w:tcPr>
          <w:p>
            <w:r>
              <w:rPr>
                <w:sz w:val="18"/>
              </w:rPr>
              <w:t>565</w:t>
            </w:r>
          </w:p>
        </w:tc>
        <w:tc>
          <w:tcPr>
            <w:tcW w:type="dxa" w:w="2160"/>
          </w:tcPr>
          <w:p>
            <w:r>
              <w:rPr>
                <w:sz w:val="18"/>
              </w:rPr>
              <w:t>Year +1</w:t>
            </w:r>
          </w:p>
        </w:tc>
        <w:tc>
          <w:tcPr>
            <w:tcW w:type="dxa" w:w="1728"/>
          </w:tcPr>
          <w:p>
            <w:r>
              <w:rPr>
                <w:sz w:val="18"/>
              </w:rPr>
              <w:t>NA</w:t>
            </w:r>
          </w:p>
        </w:tc>
        <w:tc>
          <w:tcPr>
            <w:tcW w:type="dxa" w:w="1728"/>
          </w:tcPr>
          <w:p>
            <w:r>
              <w:rPr>
                <w:sz w:val="18"/>
              </w:rPr>
              <w:t>3</w:t>
            </w:r>
          </w:p>
        </w:tc>
        <w:tc>
          <w:tcPr>
            <w:tcW w:type="dxa" w:w="1728"/>
          </w:tcPr>
          <w:p>
            <w:r>
              <w:rPr>
                <w:sz w:val="18"/>
              </w:rPr>
              <w:t>NA</w:t>
            </w:r>
          </w:p>
        </w:tc>
      </w:tr>
      <w:tr>
        <w:tc>
          <w:tcPr>
            <w:tcW w:type="dxa" w:w="2592"/>
          </w:tcPr>
          <w:p>
            <w:r>
              <w:rPr>
                <w:sz w:val="18"/>
              </w:rPr>
              <w:t>566</w:t>
            </w:r>
          </w:p>
        </w:tc>
        <w:tc>
          <w:tcPr>
            <w:tcW w:type="dxa" w:w="2160"/>
          </w:tcPr>
          <w:p>
            <w:r>
              <w:rPr>
                <w:sz w:val="18"/>
              </w:rPr>
              <w:t>Year +2</w:t>
            </w:r>
          </w:p>
        </w:tc>
        <w:tc>
          <w:tcPr>
            <w:tcW w:type="dxa" w:w="1728"/>
          </w:tcPr>
          <w:p>
            <w:r>
              <w:rPr>
                <w:sz w:val="18"/>
              </w:rPr>
              <w:t>4</w:t>
            </w:r>
          </w:p>
        </w:tc>
        <w:tc>
          <w:tcPr>
            <w:tcW w:type="dxa" w:w="1728"/>
          </w:tcPr>
          <w:p>
            <w:r>
              <w:rPr>
                <w:sz w:val="18"/>
              </w:rPr>
              <w:t>2</w:t>
            </w:r>
          </w:p>
        </w:tc>
        <w:tc>
          <w:tcPr>
            <w:tcW w:type="dxa" w:w="1728"/>
          </w:tcPr>
          <w:p>
            <w:r>
              <w:rPr>
                <w:sz w:val="18"/>
              </w:rPr>
              <w:t>NA</w:t>
            </w:r>
          </w:p>
        </w:tc>
      </w:tr>
      <w:tr>
        <w:tc>
          <w:tcPr>
            <w:tcW w:type="dxa" w:w="2592"/>
          </w:tcPr>
          <w:p>
            <w:r>
              <w:rPr>
                <w:sz w:val="18"/>
              </w:rPr>
              <w:t>567</w:t>
            </w:r>
          </w:p>
        </w:tc>
        <w:tc>
          <w:tcPr>
            <w:tcW w:type="dxa" w:w="2160"/>
          </w:tcPr>
          <w:p>
            <w:r>
              <w:rPr>
                <w:sz w:val="18"/>
              </w:rPr>
              <w:t>Year +3</w:t>
            </w:r>
          </w:p>
        </w:tc>
        <w:tc>
          <w:tcPr>
            <w:tcW w:type="dxa" w:w="1728"/>
          </w:tcPr>
          <w:p>
            <w:r>
              <w:rPr>
                <w:sz w:val="18"/>
              </w:rPr>
              <w:t>1</w:t>
            </w:r>
          </w:p>
        </w:tc>
        <w:tc>
          <w:tcPr>
            <w:tcW w:type="dxa" w:w="1728"/>
          </w:tcPr>
          <w:p>
            <w:r>
              <w:rPr>
                <w:sz w:val="18"/>
              </w:rPr>
              <w:t>2</w:t>
            </w:r>
          </w:p>
        </w:tc>
        <w:tc>
          <w:tcPr>
            <w:tcW w:type="dxa" w:w="1728"/>
          </w:tcPr>
          <w:p>
            <w:r>
              <w:rPr>
                <w:sz w:val="18"/>
              </w:rPr>
              <w:t>NA</w:t>
            </w:r>
          </w:p>
        </w:tc>
      </w:tr>
      <w:tr>
        <w:tc>
          <w:tcPr>
            <w:tcW w:type="dxa" w:w="2592"/>
          </w:tcPr>
          <w:p>
            <w:r>
              <w:rPr>
                <w:sz w:val="18"/>
              </w:rPr>
              <w:t>568</w:t>
            </w:r>
          </w:p>
        </w:tc>
        <w:tc>
          <w:tcPr>
            <w:tcW w:type="dxa" w:w="2160"/>
          </w:tcPr>
          <w:p>
            <w:r>
              <w:rPr>
                <w:sz w:val="18"/>
              </w:rPr>
              <w:t>After 5 years</w:t>
            </w:r>
          </w:p>
        </w:tc>
        <w:tc>
          <w:tcPr>
            <w:tcW w:type="dxa" w:w="1728"/>
          </w:tcPr>
          <w:p>
            <w:r>
              <w:rPr>
                <w:sz w:val="18"/>
              </w:rPr>
              <w:t>17</w:t>
            </w:r>
          </w:p>
        </w:tc>
        <w:tc>
          <w:tcPr>
            <w:tcW w:type="dxa" w:w="1728"/>
          </w:tcPr>
          <w:p>
            <w:r>
              <w:rPr>
                <w:sz w:val="18"/>
              </w:rPr>
              <w:t>59</w:t>
            </w:r>
          </w:p>
        </w:tc>
        <w:tc>
          <w:tcPr>
            <w:tcW w:type="dxa" w:w="1728"/>
          </w:tcPr>
          <w:p>
            <w:r>
              <w:rPr>
                <w:sz w:val="18"/>
              </w:rPr>
              <w:t>61</w:t>
            </w:r>
          </w:p>
        </w:tc>
      </w:tr>
      <w:tr>
        <w:tc>
          <w:tcPr>
            <w:tcW w:type="dxa" w:w="2592"/>
          </w:tcPr>
          <w:p>
            <w:r>
              <w:rPr>
                <w:sz w:val="18"/>
              </w:rPr>
              <w:t>569</w:t>
            </w:r>
          </w:p>
        </w:tc>
        <w:tc>
          <w:tcPr>
            <w:tcW w:type="dxa" w:w="2160"/>
          </w:tcPr>
          <w:p>
            <w:r>
              <w:rPr>
                <w:sz w:val="18"/>
              </w:rPr>
              <w:t>No expiration</w:t>
            </w:r>
          </w:p>
        </w:tc>
        <w:tc>
          <w:tcPr>
            <w:tcW w:type="dxa" w:w="1728"/>
          </w:tcPr>
          <w:p>
            <w:r>
              <w:rPr>
                <w:sz w:val="18"/>
              </w:rPr>
              <w:t>14</w:t>
            </w:r>
          </w:p>
        </w:tc>
        <w:tc>
          <w:tcPr>
            <w:tcW w:type="dxa" w:w="1728"/>
          </w:tcPr>
          <w:p>
            <w:r>
              <w:rPr>
                <w:sz w:val="18"/>
              </w:rPr>
              <w:t>17</w:t>
            </w:r>
          </w:p>
        </w:tc>
        <w:tc>
          <w:tcPr>
            <w:tcW w:type="dxa" w:w="1728"/>
          </w:tcPr>
          <w:p>
            <w:r>
              <w:rPr>
                <w:sz w:val="18"/>
              </w:rPr>
              <w:t>NA</w:t>
            </w:r>
          </w:p>
        </w:tc>
      </w:tr>
      <w:tr>
        <w:tc>
          <w:tcPr>
            <w:tcW w:type="dxa" w:w="2592"/>
          </w:tcPr>
          <w:p>
            <w:r>
              <w:rPr>
                <w:sz w:val="18"/>
              </w:rPr>
              <w:t>570</w:t>
            </w:r>
          </w:p>
        </w:tc>
        <w:tc>
          <w:tcPr>
            <w:tcW w:type="dxa" w:w="2160"/>
          </w:tcPr>
          <w:p>
            <w:r>
              <w:rPr>
                <w:sz w:val="18"/>
              </w:rPr>
              <w:t>Total NOL</w:t>
            </w:r>
          </w:p>
        </w:tc>
        <w:tc>
          <w:tcPr>
            <w:tcW w:type="dxa" w:w="1728"/>
          </w:tcPr>
          <w:p>
            <w:r>
              <w:rPr>
                <w:sz w:val="18"/>
              </w:rPr>
              <w:t>36</w:t>
            </w:r>
          </w:p>
        </w:tc>
        <w:tc>
          <w:tcPr>
            <w:tcW w:type="dxa" w:w="1728"/>
          </w:tcPr>
          <w:p>
            <w:r>
              <w:rPr>
                <w:sz w:val="18"/>
              </w:rPr>
              <w:t>83</w:t>
            </w:r>
          </w:p>
        </w:tc>
        <w:tc>
          <w:tcPr>
            <w:tcW w:type="dxa" w:w="1728"/>
          </w:tcPr>
          <w:p>
            <w:r>
              <w:rPr>
                <w:sz w:val="18"/>
              </w:rPr>
              <w:t>61</w:t>
            </w:r>
          </w:p>
        </w:tc>
      </w:tr>
    </w:tbl>
    <w:p/>
    <w:p>
      <w:r>
        <w:rPr>
          <w:b w:val="0"/>
          <w:i w:val="0"/>
          <w:sz w:val="20"/>
        </w:rPr>
        <w:t>Total NOL peaked at $289m in FY2018 (TCJA transition year) then declined as profitable foreign subsidiaries absorbed the carryforwards. Row 572: Total Tax Benefit Carryforward = $208m in FY2017 only — this represents US R&amp;D tax credits and other federal credits carried forward that exist on a single-year basis. All carryforward items are immaterial relative to NIKE's total deferred tax position.</w:t>
      </w:r>
    </w:p>
    <w:p>
      <w:pPr>
        <w:pStyle w:val="Heading2"/>
      </w:pPr>
      <w:r>
        <w:t>8.3  FIN 48 / Uncertain Tax Positions (Rows 573–583)</w:t>
      </w:r>
    </w:p>
    <w:p>
      <w:r>
        <w:rPr>
          <w:b w:val="0"/>
          <w:i w:val="0"/>
          <w:sz w:val="20"/>
        </w:rPr>
        <w:t>FIN 48 (ASC 740-10) requires disclosure of unrecognised tax benefits — positions taken in tax returns that have not yet been sustained under audit. NIKE's UTB rollforward:</w:t>
      </w:r>
    </w:p>
    <w:tbl>
      <w:tblPr>
        <w:tblStyle w:val="LightList-Accent1"/>
        <w:tblW w:type="auto" w:w="0"/>
        <w:tblLook w:firstColumn="1" w:firstRow="1" w:lastColumn="0" w:lastRow="0" w:noHBand="0" w:noVBand="1" w:val="04A0"/>
      </w:tblPr>
      <w:tblGrid>
        <w:gridCol w:w="2160"/>
        <w:gridCol w:w="2160"/>
        <w:gridCol w:w="2160"/>
        <w:gridCol w:w="2160"/>
      </w:tblGrid>
      <w:tr>
        <w:tc>
          <w:tcPr>
            <w:tcW w:type="dxa" w:w="1440"/>
          </w:tcPr>
          <w:p>
            <w:r>
              <w:rPr>
                <w:b/>
                <w:sz w:val="18"/>
              </w:rPr>
              <w:t>Year</w:t>
            </w:r>
          </w:p>
        </w:tc>
        <w:tc>
          <w:tcPr>
            <w:tcW w:type="dxa" w:w="1872"/>
          </w:tcPr>
          <w:p>
            <w:r>
              <w:rPr>
                <w:b/>
                <w:sz w:val="18"/>
              </w:rPr>
              <w:t>Beginning UTB</w:t>
            </w:r>
          </w:p>
        </w:tc>
        <w:tc>
          <w:tcPr>
            <w:tcW w:type="dxa" w:w="1872"/>
          </w:tcPr>
          <w:p>
            <w:r>
              <w:rPr>
                <w:b/>
                <w:sz w:val="18"/>
              </w:rPr>
              <w:t>Ending UTB</w:t>
            </w:r>
          </w:p>
        </w:tc>
        <w:tc>
          <w:tcPr>
            <w:tcW w:type="dxa" w:w="4608"/>
          </w:tcPr>
          <w:p>
            <w:r>
              <w:rPr>
                <w:b/>
                <w:sz w:val="18"/>
              </w:rPr>
              <w:t>Key Movement</w:t>
            </w:r>
          </w:p>
        </w:tc>
      </w:tr>
      <w:tr>
        <w:tc>
          <w:tcPr>
            <w:tcW w:type="dxa" w:w="1440"/>
          </w:tcPr>
          <w:p/>
        </w:tc>
        <w:tc>
          <w:tcPr>
            <w:tcW w:type="dxa" w:w="1872"/>
          </w:tcPr>
          <w:p/>
        </w:tc>
        <w:tc>
          <w:tcPr>
            <w:tcW w:type="dxa" w:w="1872"/>
          </w:tcPr>
          <w:p/>
        </w:tc>
        <w:tc>
          <w:tcPr>
            <w:tcW w:type="dxa" w:w="4608"/>
          </w:tcPr>
          <w:p/>
        </w:tc>
      </w:tr>
      <w:tr>
        <w:tc>
          <w:tcPr>
            <w:tcW w:type="dxa" w:w="1440"/>
          </w:tcPr>
          <w:p/>
        </w:tc>
        <w:tc>
          <w:tcPr>
            <w:tcW w:type="dxa" w:w="1872"/>
          </w:tcPr>
          <w:p/>
        </w:tc>
        <w:tc>
          <w:tcPr>
            <w:tcW w:type="dxa" w:w="1872"/>
          </w:tcPr>
          <w:p/>
        </w:tc>
        <w:tc>
          <w:tcPr>
            <w:tcW w:type="dxa" w:w="4608"/>
          </w:tcPr>
          <w:p/>
        </w:tc>
      </w:tr>
      <w:tr>
        <w:tc>
          <w:tcPr>
            <w:tcW w:type="dxa" w:w="1440"/>
          </w:tcPr>
          <w:p/>
        </w:tc>
        <w:tc>
          <w:tcPr>
            <w:tcW w:type="dxa" w:w="1872"/>
          </w:tcPr>
          <w:p/>
        </w:tc>
        <w:tc>
          <w:tcPr>
            <w:tcW w:type="dxa" w:w="1872"/>
          </w:tcPr>
          <w:p/>
        </w:tc>
        <w:tc>
          <w:tcPr>
            <w:tcW w:type="dxa" w:w="4608"/>
          </w:tcPr>
          <w:p/>
        </w:tc>
      </w:tr>
      <w:tr>
        <w:tc>
          <w:tcPr>
            <w:tcW w:type="dxa" w:w="1440"/>
          </w:tcPr>
          <w:p/>
        </w:tc>
        <w:tc>
          <w:tcPr>
            <w:tcW w:type="dxa" w:w="1872"/>
          </w:tcPr>
          <w:p/>
        </w:tc>
        <w:tc>
          <w:tcPr>
            <w:tcW w:type="dxa" w:w="1872"/>
          </w:tcPr>
          <w:p/>
        </w:tc>
        <w:tc>
          <w:tcPr>
            <w:tcW w:type="dxa" w:w="4608"/>
          </w:tcPr>
          <w:p/>
        </w:tc>
      </w:tr>
      <w:tr>
        <w:tc>
          <w:tcPr>
            <w:tcW w:type="dxa" w:w="1440"/>
          </w:tcPr>
          <w:p/>
        </w:tc>
        <w:tc>
          <w:tcPr>
            <w:tcW w:type="dxa" w:w="1872"/>
          </w:tcPr>
          <w:p/>
        </w:tc>
        <w:tc>
          <w:tcPr>
            <w:tcW w:type="dxa" w:w="1872"/>
          </w:tcPr>
          <w:p/>
        </w:tc>
        <w:tc>
          <w:tcPr>
            <w:tcW w:type="dxa" w:w="4608"/>
          </w:tcPr>
          <w:p/>
        </w:tc>
      </w:tr>
      <w:tr>
        <w:tc>
          <w:tcPr>
            <w:tcW w:type="dxa" w:w="1440"/>
          </w:tcPr>
          <w:p>
            <w:r>
              <w:rPr>
                <w:sz w:val="18"/>
              </w:rPr>
              <w:t>FY2015</w:t>
            </w:r>
          </w:p>
        </w:tc>
        <w:tc>
          <w:tcPr>
            <w:tcW w:type="dxa" w:w="1872"/>
          </w:tcPr>
          <w:p>
            <w:r>
              <w:rPr>
                <w:sz w:val="18"/>
              </w:rPr>
              <w:t>$506m</w:t>
            </w:r>
          </w:p>
        </w:tc>
        <w:tc>
          <w:tcPr>
            <w:tcW w:type="dxa" w:w="1872"/>
          </w:tcPr>
          <w:p>
            <w:r>
              <w:rPr>
                <w:sz w:val="18"/>
              </w:rPr>
              <w:t>$438m</w:t>
            </w:r>
          </w:p>
        </w:tc>
        <w:tc>
          <w:tcPr>
            <w:tcW w:type="dxa" w:w="4608"/>
          </w:tcPr>
          <w:p>
            <w:r>
              <w:rPr>
                <w:sz w:val="18"/>
              </w:rPr>
              <w:t>-$123m reductions for prior years + -$27m settlements</w:t>
            </w:r>
          </w:p>
        </w:tc>
      </w:tr>
      <w:tr>
        <w:tc>
          <w:tcPr>
            <w:tcW w:type="dxa" w:w="1440"/>
          </w:tcPr>
          <w:p>
            <w:r>
              <w:rPr>
                <w:sz w:val="18"/>
              </w:rPr>
              <w:t>FY2018</w:t>
            </w:r>
          </w:p>
        </w:tc>
        <w:tc>
          <w:tcPr>
            <w:tcW w:type="dxa" w:w="1872"/>
          </w:tcPr>
          <w:p>
            <w:r>
              <w:rPr>
                <w:sz w:val="18"/>
              </w:rPr>
              <w:t>$461m</w:t>
            </w:r>
          </w:p>
        </w:tc>
        <w:tc>
          <w:tcPr>
            <w:tcW w:type="dxa" w:w="1872"/>
          </w:tcPr>
          <w:p>
            <w:r>
              <w:rPr>
                <w:sz w:val="18"/>
              </w:rPr>
              <w:t>$698m</w:t>
            </w:r>
          </w:p>
        </w:tc>
        <w:tc>
          <w:tcPr>
            <w:tcW w:type="dxa" w:w="4608"/>
          </w:tcPr>
          <w:p>
            <w:r>
              <w:rPr>
                <w:sz w:val="18"/>
              </w:rPr>
              <w:t>+$249m additions for current year — TCJA-related positions</w:t>
            </w:r>
          </w:p>
        </w:tc>
      </w:tr>
      <w:tr>
        <w:tc>
          <w:tcPr>
            <w:tcW w:type="dxa" w:w="1440"/>
          </w:tcPr>
          <w:p>
            <w:r>
              <w:rPr>
                <w:sz w:val="18"/>
              </w:rPr>
              <w:t>FY2020</w:t>
            </w:r>
          </w:p>
        </w:tc>
        <w:tc>
          <w:tcPr>
            <w:tcW w:type="dxa" w:w="1872"/>
          </w:tcPr>
          <w:p>
            <w:r>
              <w:rPr>
                <w:sz w:val="18"/>
              </w:rPr>
              <w:t>$808m</w:t>
            </w:r>
          </w:p>
        </w:tc>
        <w:tc>
          <w:tcPr>
            <w:tcW w:type="dxa" w:w="1872"/>
          </w:tcPr>
          <w:p>
            <w:r>
              <w:rPr>
                <w:sz w:val="18"/>
              </w:rPr>
              <w:t>$771m</w:t>
            </w:r>
          </w:p>
        </w:tc>
        <w:tc>
          <w:tcPr>
            <w:tcW w:type="dxa" w:w="4608"/>
          </w:tcPr>
          <w:p>
            <w:r>
              <w:rPr>
                <w:sz w:val="18"/>
              </w:rPr>
              <w:t>+$181m prior year additions, -$171m reductions</w:t>
            </w:r>
          </w:p>
        </w:tc>
      </w:tr>
      <w:tr>
        <w:tc>
          <w:tcPr>
            <w:tcW w:type="dxa" w:w="1440"/>
          </w:tcPr>
          <w:p>
            <w:r>
              <w:rPr>
                <w:sz w:val="18"/>
              </w:rPr>
              <w:t>FY2023</w:t>
            </w:r>
          </w:p>
        </w:tc>
        <w:tc>
          <w:tcPr>
            <w:tcW w:type="dxa" w:w="1872"/>
          </w:tcPr>
          <w:p>
            <w:r>
              <w:rPr>
                <w:sz w:val="18"/>
              </w:rPr>
              <w:t>$848m</w:t>
            </w:r>
          </w:p>
        </w:tc>
        <w:tc>
          <w:tcPr>
            <w:tcW w:type="dxa" w:w="1872"/>
          </w:tcPr>
          <w:p>
            <w:r>
              <w:rPr>
                <w:sz w:val="18"/>
              </w:rPr>
              <w:t>$936m</w:t>
            </w:r>
          </w:p>
        </w:tc>
        <w:tc>
          <w:tcPr>
            <w:tcW w:type="dxa" w:w="4608"/>
          </w:tcPr>
          <w:p>
            <w:r>
              <w:rPr>
                <w:sz w:val="18"/>
              </w:rPr>
              <w:t>+$95m prior year; modest growth</w:t>
            </w:r>
          </w:p>
        </w:tc>
      </w:tr>
      <w:tr>
        <w:tc>
          <w:tcPr>
            <w:tcW w:type="dxa" w:w="1440"/>
          </w:tcPr>
          <w:p>
            <w:r>
              <w:rPr>
                <w:sz w:val="18"/>
              </w:rPr>
              <w:t>FY2024</w:t>
            </w:r>
          </w:p>
        </w:tc>
        <w:tc>
          <w:tcPr>
            <w:tcW w:type="dxa" w:w="1872"/>
          </w:tcPr>
          <w:p>
            <w:r>
              <w:rPr>
                <w:sz w:val="18"/>
              </w:rPr>
              <w:t>$936m</w:t>
            </w:r>
          </w:p>
        </w:tc>
        <w:tc>
          <w:tcPr>
            <w:tcW w:type="dxa" w:w="1872"/>
          </w:tcPr>
          <w:p>
            <w:r>
              <w:rPr>
                <w:sz w:val="18"/>
              </w:rPr>
              <w:t>$990m</w:t>
            </w:r>
          </w:p>
        </w:tc>
        <w:tc>
          <w:tcPr>
            <w:tcW w:type="dxa" w:w="4608"/>
          </w:tcPr>
          <w:p>
            <w:r>
              <w:rPr>
                <w:sz w:val="18"/>
              </w:rPr>
              <w:t>+$77m current year; +$35m prior years; -$24m statute lapse; -$22m settlements</w:t>
            </w:r>
          </w:p>
        </w:tc>
      </w:tr>
    </w:tbl>
    <w:p/>
    <w:p>
      <w:r>
        <w:rPr>
          <w:b w:val="0"/>
          <w:i w:val="0"/>
          <w:sz w:val="20"/>
        </w:rPr>
        <w:t>UTB has grown from $438m (FY2015) to $990m (FY2024) — a 126% increase — reflecting NIKE's increasingly complex international tax structure and ongoing disputes with tax authorities in multiple jurisdictions (primarily related to transfer pricing for intellectual property). Row 583: Interest and penalties recognised on the balance sheet (after-tax) = $332m in FY2024 (first year this line is disclosed by CIQ). This represents accrued interest on the UTB that NIKE expects to pay if challenged positions are resolved adversely.</w:t>
      </w:r>
    </w:p>
    <w:p>
      <w:pPr>
        <w:pStyle w:val="Heading2"/>
      </w:pPr>
      <w:r>
        <w:t>8.4  Fair Value Measurements (Rows 585–590)</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440"/>
          </w:tcPr>
          <w:p>
            <w:r>
              <w:rPr>
                <w:b/>
                <w:sz w:val="18"/>
              </w:rPr>
              <w:t>Year</w:t>
            </w:r>
          </w:p>
        </w:tc>
        <w:tc>
          <w:tcPr>
            <w:tcW w:type="dxa" w:w="1728"/>
          </w:tcPr>
          <w:p>
            <w:r>
              <w:rPr>
                <w:b/>
                <w:sz w:val="18"/>
              </w:rPr>
              <w:t>Level 1 ($m)</w:t>
            </w:r>
          </w:p>
        </w:tc>
        <w:tc>
          <w:tcPr>
            <w:tcW w:type="dxa" w:w="1728"/>
          </w:tcPr>
          <w:p>
            <w:r>
              <w:rPr>
                <w:b/>
                <w:sz w:val="18"/>
              </w:rPr>
              <w:t>Level 2 ($m)</w:t>
            </w:r>
          </w:p>
        </w:tc>
        <w:tc>
          <w:tcPr>
            <w:tcW w:type="dxa" w:w="1728"/>
          </w:tcPr>
          <w:p>
            <w:r>
              <w:rPr>
                <w:b/>
                <w:sz w:val="18"/>
              </w:rPr>
              <w:t>Level 3 ($m)</w:t>
            </w:r>
          </w:p>
        </w:tc>
        <w:tc>
          <w:tcPr>
            <w:tcW w:type="dxa" w:w="2160"/>
          </w:tcPr>
          <w:p>
            <w:r>
              <w:rPr>
                <w:b/>
                <w:sz w:val="18"/>
              </w:rPr>
              <w:t>Total Assets ($m)</w:t>
            </w:r>
          </w:p>
        </w:tc>
      </w:tr>
      <w:tr>
        <w:tc>
          <w:tcPr>
            <w:tcW w:type="dxa" w:w="1440"/>
          </w:tcPr>
          <w:p/>
        </w:tc>
        <w:tc>
          <w:tcPr>
            <w:tcW w:type="dxa" w:w="1728"/>
          </w:tcPr>
          <w:p/>
        </w:tc>
        <w:tc>
          <w:tcPr>
            <w:tcW w:type="dxa" w:w="1728"/>
          </w:tcPr>
          <w:p/>
        </w:tc>
        <w:tc>
          <w:tcPr>
            <w:tcW w:type="dxa" w:w="1728"/>
          </w:tcPr>
          <w:p/>
        </w:tc>
        <w:tc>
          <w:tcPr>
            <w:tcW w:type="dxa" w:w="2160"/>
          </w:tcPr>
          <w:p/>
        </w:tc>
      </w:tr>
      <w:tr>
        <w:tc>
          <w:tcPr>
            <w:tcW w:type="dxa" w:w="1440"/>
          </w:tcPr>
          <w:p/>
        </w:tc>
        <w:tc>
          <w:tcPr>
            <w:tcW w:type="dxa" w:w="1728"/>
          </w:tcPr>
          <w:p/>
        </w:tc>
        <w:tc>
          <w:tcPr>
            <w:tcW w:type="dxa" w:w="1728"/>
          </w:tcPr>
          <w:p/>
        </w:tc>
        <w:tc>
          <w:tcPr>
            <w:tcW w:type="dxa" w:w="1728"/>
          </w:tcPr>
          <w:p/>
        </w:tc>
        <w:tc>
          <w:tcPr>
            <w:tcW w:type="dxa" w:w="2160"/>
          </w:tcPr>
          <w:p/>
        </w:tc>
      </w:tr>
      <w:tr>
        <w:tc>
          <w:tcPr>
            <w:tcW w:type="dxa" w:w="1440"/>
          </w:tcPr>
          <w:p/>
        </w:tc>
        <w:tc>
          <w:tcPr>
            <w:tcW w:type="dxa" w:w="1728"/>
          </w:tcPr>
          <w:p/>
        </w:tc>
        <w:tc>
          <w:tcPr>
            <w:tcW w:type="dxa" w:w="1728"/>
          </w:tcPr>
          <w:p/>
        </w:tc>
        <w:tc>
          <w:tcPr>
            <w:tcW w:type="dxa" w:w="1728"/>
          </w:tcPr>
          <w:p/>
        </w:tc>
        <w:tc>
          <w:tcPr>
            <w:tcW w:type="dxa" w:w="2160"/>
          </w:tcPr>
          <w:p/>
        </w:tc>
      </w:tr>
      <w:tr>
        <w:tc>
          <w:tcPr>
            <w:tcW w:type="dxa" w:w="1440"/>
          </w:tcPr>
          <w:p/>
        </w:tc>
        <w:tc>
          <w:tcPr>
            <w:tcW w:type="dxa" w:w="1728"/>
          </w:tcPr>
          <w:p/>
        </w:tc>
        <w:tc>
          <w:tcPr>
            <w:tcW w:type="dxa" w:w="1728"/>
          </w:tcPr>
          <w:p/>
        </w:tc>
        <w:tc>
          <w:tcPr>
            <w:tcW w:type="dxa" w:w="1728"/>
          </w:tcPr>
          <w:p/>
        </w:tc>
        <w:tc>
          <w:tcPr>
            <w:tcW w:type="dxa" w:w="2160"/>
          </w:tcPr>
          <w:p/>
        </w:tc>
      </w:tr>
      <w:tr>
        <w:tc>
          <w:tcPr>
            <w:tcW w:type="dxa" w:w="1440"/>
          </w:tcPr>
          <w:p/>
        </w:tc>
        <w:tc>
          <w:tcPr>
            <w:tcW w:type="dxa" w:w="1728"/>
          </w:tcPr>
          <w:p/>
        </w:tc>
        <w:tc>
          <w:tcPr>
            <w:tcW w:type="dxa" w:w="1728"/>
          </w:tcPr>
          <w:p/>
        </w:tc>
        <w:tc>
          <w:tcPr>
            <w:tcW w:type="dxa" w:w="1728"/>
          </w:tcPr>
          <w:p/>
        </w:tc>
        <w:tc>
          <w:tcPr>
            <w:tcW w:type="dxa" w:w="2160"/>
          </w:tcPr>
          <w:p/>
        </w:tc>
      </w:tr>
      <w:tr>
        <w:tc>
          <w:tcPr>
            <w:tcW w:type="dxa" w:w="1440"/>
          </w:tcPr>
          <w:p/>
        </w:tc>
        <w:tc>
          <w:tcPr>
            <w:tcW w:type="dxa" w:w="1728"/>
          </w:tcPr>
          <w:p/>
        </w:tc>
        <w:tc>
          <w:tcPr>
            <w:tcW w:type="dxa" w:w="1728"/>
          </w:tcPr>
          <w:p/>
        </w:tc>
        <w:tc>
          <w:tcPr>
            <w:tcW w:type="dxa" w:w="1728"/>
          </w:tcPr>
          <w:p/>
        </w:tc>
        <w:tc>
          <w:tcPr>
            <w:tcW w:type="dxa" w:w="2160"/>
          </w:tcPr>
          <w:p/>
        </w:tc>
      </w:tr>
      <w:tr>
        <w:tc>
          <w:tcPr>
            <w:tcW w:type="dxa" w:w="1440"/>
          </w:tcPr>
          <w:p>
            <w:r>
              <w:rPr>
                <w:sz w:val="18"/>
              </w:rPr>
              <w:t>FY2015</w:t>
            </w:r>
          </w:p>
        </w:tc>
        <w:tc>
          <w:tcPr>
            <w:tcW w:type="dxa" w:w="1728"/>
          </w:tcPr>
          <w:p>
            <w:r>
              <w:rPr>
                <w:sz w:val="18"/>
              </w:rPr>
              <w:t>869</w:t>
            </w:r>
          </w:p>
        </w:tc>
        <w:tc>
          <w:tcPr>
            <w:tcW w:type="dxa" w:w="1728"/>
          </w:tcPr>
          <w:p>
            <w:r>
              <w:rPr>
                <w:sz w:val="18"/>
              </w:rPr>
              <w:t>6,229</w:t>
            </w:r>
          </w:p>
        </w:tc>
        <w:tc>
          <w:tcPr>
            <w:tcW w:type="dxa" w:w="1728"/>
          </w:tcPr>
          <w:p>
            <w:r>
              <w:rPr>
                <w:sz w:val="18"/>
              </w:rPr>
              <w:t>8</w:t>
            </w:r>
          </w:p>
        </w:tc>
        <w:tc>
          <w:tcPr>
            <w:tcW w:type="dxa" w:w="2160"/>
          </w:tcPr>
          <w:p>
            <w:r>
              <w:rPr>
                <w:sz w:val="18"/>
              </w:rPr>
              <w:t>7,106</w:t>
            </w:r>
          </w:p>
        </w:tc>
      </w:tr>
      <w:tr>
        <w:tc>
          <w:tcPr>
            <w:tcW w:type="dxa" w:w="1440"/>
          </w:tcPr>
          <w:p>
            <w:r>
              <w:rPr>
                <w:sz w:val="18"/>
              </w:rPr>
              <w:t>FY2020</w:t>
            </w:r>
          </w:p>
        </w:tc>
        <w:tc>
          <w:tcPr>
            <w:tcW w:type="dxa" w:w="1728"/>
          </w:tcPr>
          <w:p>
            <w:r>
              <w:rPr>
                <w:sz w:val="18"/>
              </w:rPr>
              <w:t>1,204</w:t>
            </w:r>
          </w:p>
        </w:tc>
        <w:tc>
          <w:tcPr>
            <w:tcW w:type="dxa" w:w="1728"/>
          </w:tcPr>
          <w:p>
            <w:r>
              <w:rPr>
                <w:sz w:val="18"/>
              </w:rPr>
              <w:t>7,082</w:t>
            </w:r>
          </w:p>
        </w:tc>
        <w:tc>
          <w:tcPr>
            <w:tcW w:type="dxa" w:w="1728"/>
          </w:tcPr>
          <w:p>
            <w:r>
              <w:rPr>
                <w:sz w:val="18"/>
              </w:rPr>
              <w:t>nil</w:t>
            </w:r>
          </w:p>
        </w:tc>
        <w:tc>
          <w:tcPr>
            <w:tcW w:type="dxa" w:w="2160"/>
          </w:tcPr>
          <w:p>
            <w:r>
              <w:rPr>
                <w:sz w:val="18"/>
              </w:rPr>
              <w:t>8,286</w:t>
            </w:r>
          </w:p>
        </w:tc>
      </w:tr>
      <w:tr>
        <w:tc>
          <w:tcPr>
            <w:tcW w:type="dxa" w:w="1440"/>
          </w:tcPr>
          <w:p>
            <w:r>
              <w:rPr>
                <w:sz w:val="18"/>
              </w:rPr>
              <w:t>FY2021</w:t>
            </w:r>
          </w:p>
        </w:tc>
        <w:tc>
          <w:tcPr>
            <w:tcW w:type="dxa" w:w="1728"/>
          </w:tcPr>
          <w:p>
            <w:r>
              <w:rPr>
                <w:sz w:val="18"/>
              </w:rPr>
              <w:t>2,892</w:t>
            </w:r>
          </w:p>
        </w:tc>
        <w:tc>
          <w:tcPr>
            <w:tcW w:type="dxa" w:w="1728"/>
          </w:tcPr>
          <w:p>
            <w:r>
              <w:rPr>
                <w:sz w:val="18"/>
              </w:rPr>
              <w:t>9,836</w:t>
            </w:r>
          </w:p>
        </w:tc>
        <w:tc>
          <w:tcPr>
            <w:tcW w:type="dxa" w:w="1728"/>
          </w:tcPr>
          <w:p>
            <w:r>
              <w:rPr>
                <w:sz w:val="18"/>
              </w:rPr>
              <w:t>nil</w:t>
            </w:r>
          </w:p>
        </w:tc>
        <w:tc>
          <w:tcPr>
            <w:tcW w:type="dxa" w:w="2160"/>
          </w:tcPr>
          <w:p>
            <w:r>
              <w:rPr>
                <w:sz w:val="18"/>
              </w:rPr>
              <w:t>12,728</w:t>
            </w:r>
          </w:p>
        </w:tc>
      </w:tr>
      <w:tr>
        <w:tc>
          <w:tcPr>
            <w:tcW w:type="dxa" w:w="1440"/>
          </w:tcPr>
          <w:p>
            <w:r>
              <w:rPr>
                <w:sz w:val="18"/>
              </w:rPr>
              <w:t>FY2022</w:t>
            </w:r>
          </w:p>
        </w:tc>
        <w:tc>
          <w:tcPr>
            <w:tcW w:type="dxa" w:w="1728"/>
          </w:tcPr>
          <w:p>
            <w:r>
              <w:rPr>
                <w:sz w:val="18"/>
              </w:rPr>
              <w:t>3,801</w:t>
            </w:r>
          </w:p>
        </w:tc>
        <w:tc>
          <w:tcPr>
            <w:tcW w:type="dxa" w:w="1728"/>
          </w:tcPr>
          <w:p>
            <w:r>
              <w:rPr>
                <w:sz w:val="18"/>
              </w:rPr>
              <w:t>9,237</w:t>
            </w:r>
          </w:p>
        </w:tc>
        <w:tc>
          <w:tcPr>
            <w:tcW w:type="dxa" w:w="1728"/>
          </w:tcPr>
          <w:p>
            <w:r>
              <w:rPr>
                <w:sz w:val="18"/>
              </w:rPr>
              <w:t>nil</w:t>
            </w:r>
          </w:p>
        </w:tc>
        <w:tc>
          <w:tcPr>
            <w:tcW w:type="dxa" w:w="2160"/>
          </w:tcPr>
          <w:p>
            <w:r>
              <w:rPr>
                <w:sz w:val="18"/>
              </w:rPr>
              <w:t>13,038</w:t>
            </w:r>
          </w:p>
        </w:tc>
      </w:tr>
      <w:tr>
        <w:tc>
          <w:tcPr>
            <w:tcW w:type="dxa" w:w="1440"/>
          </w:tcPr>
          <w:p>
            <w:r>
              <w:rPr>
                <w:sz w:val="18"/>
              </w:rPr>
              <w:t>FY2023</w:t>
            </w:r>
          </w:p>
        </w:tc>
        <w:tc>
          <w:tcPr>
            <w:tcW w:type="dxa" w:w="1728"/>
          </w:tcPr>
          <w:p>
            <w:r>
              <w:rPr>
                <w:sz w:val="18"/>
              </w:rPr>
              <w:t>2,655</w:t>
            </w:r>
          </w:p>
        </w:tc>
        <w:tc>
          <w:tcPr>
            <w:tcW w:type="dxa" w:w="1728"/>
          </w:tcPr>
          <w:p>
            <w:r>
              <w:rPr>
                <w:sz w:val="18"/>
              </w:rPr>
              <w:t>6,810</w:t>
            </w:r>
          </w:p>
        </w:tc>
        <w:tc>
          <w:tcPr>
            <w:tcW w:type="dxa" w:w="1728"/>
          </w:tcPr>
          <w:p>
            <w:r>
              <w:rPr>
                <w:sz w:val="18"/>
              </w:rPr>
              <w:t>nil</w:t>
            </w:r>
          </w:p>
        </w:tc>
        <w:tc>
          <w:tcPr>
            <w:tcW w:type="dxa" w:w="2160"/>
          </w:tcPr>
          <w:p>
            <w:r>
              <w:rPr>
                <w:sz w:val="18"/>
              </w:rPr>
              <w:t>9,465</w:t>
            </w:r>
          </w:p>
        </w:tc>
      </w:tr>
      <w:tr>
        <w:tc>
          <w:tcPr>
            <w:tcW w:type="dxa" w:w="1440"/>
          </w:tcPr>
          <w:p>
            <w:r>
              <w:rPr>
                <w:sz w:val="18"/>
              </w:rPr>
              <w:t>FY2024</w:t>
            </w:r>
          </w:p>
        </w:tc>
        <w:tc>
          <w:tcPr>
            <w:tcW w:type="dxa" w:w="1728"/>
          </w:tcPr>
          <w:p>
            <w:r>
              <w:rPr>
                <w:sz w:val="18"/>
              </w:rPr>
              <w:t>1,175</w:t>
            </w:r>
          </w:p>
        </w:tc>
        <w:tc>
          <w:tcPr>
            <w:tcW w:type="dxa" w:w="1728"/>
          </w:tcPr>
          <w:p>
            <w:r>
              <w:rPr>
                <w:sz w:val="18"/>
              </w:rPr>
              <w:t>9,528</w:t>
            </w:r>
          </w:p>
        </w:tc>
        <w:tc>
          <w:tcPr>
            <w:tcW w:type="dxa" w:w="1728"/>
          </w:tcPr>
          <w:p>
            <w:r>
              <w:rPr>
                <w:sz w:val="18"/>
              </w:rPr>
              <w:t>nil</w:t>
            </w:r>
          </w:p>
        </w:tc>
        <w:tc>
          <w:tcPr>
            <w:tcW w:type="dxa" w:w="2160"/>
          </w:tcPr>
          <w:p>
            <w:r>
              <w:rPr>
                <w:sz w:val="18"/>
              </w:rPr>
              <w:t>10,703</w:t>
            </w:r>
          </w:p>
        </w:tc>
      </w:tr>
    </w:tbl>
    <w:p/>
    <w:p>
      <w:r>
        <w:rPr>
          <w:b w:val="0"/>
          <w:i w:val="0"/>
          <w:sz w:val="20"/>
        </w:rPr>
        <w:t>Level 1 (quoted prices): primarily money market funds and publicly traded equity investments. FY2022 peak ($3,801m) reflects elevated cash in money market funds post-COVID before deployment into buybacks.</w:t>
        <w:br/>
        <w:t>Level 2 (observable but not quoted): corporate bonds, government securities, derivatives at FV. The $9,528m in FY2024 is predominantly NIKE's short-term investment portfolio and interest-rate / currency derivatives.</w:t>
        <w:br/>
        <w:t>Level 3 (unobservable inputs): only existed in FY2015–FY2017 ($8–10m), likely private equity interests since divested.</w:t>
      </w:r>
    </w:p>
    <w:p>
      <w:r>
        <w:rPr>
          <w:b w:val="0"/>
          <w:i w:val="0"/>
          <w:sz w:val="20"/>
        </w:rPr>
        <w:t>Fair value of liabilities (row 590) = $7,782m FY2024. NIKE's debt is classified Level 2 (observable rates). Carrying value of IBD = $7,940m (LT $7,934m + current $6m ST). Market value ($7,782m) &lt; carrying ($7,940m) because market interest rates in 2024 are HIGHER than NIKE's coupon rates (most bonds were issued at 2–3%; current rates ~5–5.5%). The $158m premium (market value discount) would be a gain in a debt repurchase.</w:t>
      </w:r>
    </w:p>
    <w:p>
      <w:pPr>
        <w:pStyle w:val="Heading2"/>
      </w:pPr>
      <w:r>
        <w:t>8.5  Operating Lease Adoption (ASC 842, FY2020)</w:t>
      </w:r>
    </w:p>
    <w:p>
      <w:r>
        <w:rPr>
          <w:b w:val="0"/>
          <w:i w:val="0"/>
          <w:sz w:val="20"/>
        </w:rPr>
        <w:t>NIKE adopted ASC 842 in FY2020 (fiscal year ended 31 May 2020). The impact was: $2,913m right-of-use asset added to long-term assets (row 517) and $445m current + $2,913m long-term lease liability added to the balance sheet (rows 524, 529). Total lease obligations = $3,358m on adoption date. Gross PP&amp;E jumped from $9,469m (FY2019) to $12,758m (FY2020) — a $3.3bn increase — almost entirely from ROU assets being capitalised.</w:t>
      </w:r>
    </w:p>
    <w:p>
      <w:r>
        <w:rPr>
          <w:b w:val="0"/>
          <w:i w:val="0"/>
          <w:sz w:val="20"/>
        </w:rPr>
        <w:t>CIQ row 551 'Debt Equivalent of Operating Leases' provides the CIQ-estimated PV of ALL operating lease commitments (including those beyond the on-BS period). FY2024 CIQ estimate = $8,408m vs on-BS $3,043m (current $477 + LT $2,566). The difference reflects: (1) CIQ using a different discount rate, (2) CIQ including renewal options not recognised on-BS.</w:t>
      </w:r>
    </w:p>
    <w:p>
      <w:pPr>
        <w:pStyle w:val="Heading2"/>
      </w:pPr>
      <w:r>
        <w:t>8.6  Employee Headcount (Row 559)</w:t>
      </w:r>
    </w:p>
    <w:tbl>
      <w:tblPr>
        <w:tblStyle w:val="LightList-Accent1"/>
        <w:tblW w:type="auto" w:w="0"/>
        <w:tblLook w:firstColumn="1" w:firstRow="1" w:lastColumn="0" w:lastRow="0" w:noHBand="0" w:noVBand="1" w:val="04A0"/>
      </w:tblPr>
      <w:tblGrid>
        <w:gridCol w:w="2880"/>
        <w:gridCol w:w="2880"/>
        <w:gridCol w:w="2880"/>
      </w:tblGrid>
      <w:tr>
        <w:tc>
          <w:tcPr>
            <w:tcW w:type="dxa" w:w="1440"/>
          </w:tcPr>
          <w:p>
            <w:r>
              <w:rPr>
                <w:b/>
                <w:sz w:val="18"/>
              </w:rPr>
              <w:t>Year</w:t>
            </w:r>
          </w:p>
        </w:tc>
        <w:tc>
          <w:tcPr>
            <w:tcW w:type="dxa" w:w="2160"/>
          </w:tcPr>
          <w:p>
            <w:r>
              <w:rPr>
                <w:b/>
                <w:sz w:val="18"/>
              </w:rPr>
              <w:t>FT Employees</w:t>
            </w:r>
          </w:p>
        </w:tc>
        <w:tc>
          <w:tcPr>
            <w:tcW w:type="dxa" w:w="6048"/>
          </w:tcPr>
          <w:p>
            <w:r>
              <w:rPr>
                <w:b/>
                <w:sz w:val="18"/>
              </w:rPr>
              <w:t>Change</w:t>
            </w:r>
          </w:p>
        </w:tc>
      </w:tr>
      <w:tr>
        <w:tc>
          <w:tcPr>
            <w:tcW w:type="dxa" w:w="1440"/>
          </w:tcPr>
          <w:p/>
        </w:tc>
        <w:tc>
          <w:tcPr>
            <w:tcW w:type="dxa" w:w="2160"/>
          </w:tcPr>
          <w:p/>
        </w:tc>
        <w:tc>
          <w:tcPr>
            <w:tcW w:type="dxa" w:w="6048"/>
          </w:tcPr>
          <w:p/>
        </w:tc>
      </w:tr>
      <w:tr>
        <w:tc>
          <w:tcPr>
            <w:tcW w:type="dxa" w:w="1440"/>
          </w:tcPr>
          <w:p/>
        </w:tc>
        <w:tc>
          <w:tcPr>
            <w:tcW w:type="dxa" w:w="2160"/>
          </w:tcPr>
          <w:p/>
        </w:tc>
        <w:tc>
          <w:tcPr>
            <w:tcW w:type="dxa" w:w="6048"/>
          </w:tcPr>
          <w:p/>
        </w:tc>
      </w:tr>
      <w:tr>
        <w:tc>
          <w:tcPr>
            <w:tcW w:type="dxa" w:w="1440"/>
          </w:tcPr>
          <w:p/>
        </w:tc>
        <w:tc>
          <w:tcPr>
            <w:tcW w:type="dxa" w:w="2160"/>
          </w:tcPr>
          <w:p/>
        </w:tc>
        <w:tc>
          <w:tcPr>
            <w:tcW w:type="dxa" w:w="6048"/>
          </w:tcPr>
          <w:p/>
        </w:tc>
      </w:tr>
      <w:tr>
        <w:tc>
          <w:tcPr>
            <w:tcW w:type="dxa" w:w="1440"/>
          </w:tcPr>
          <w:p/>
        </w:tc>
        <w:tc>
          <w:tcPr>
            <w:tcW w:type="dxa" w:w="2160"/>
          </w:tcPr>
          <w:p/>
        </w:tc>
        <w:tc>
          <w:tcPr>
            <w:tcW w:type="dxa" w:w="6048"/>
          </w:tcPr>
          <w:p/>
        </w:tc>
      </w:tr>
      <w:tr>
        <w:tc>
          <w:tcPr>
            <w:tcW w:type="dxa" w:w="1440"/>
          </w:tcPr>
          <w:p/>
        </w:tc>
        <w:tc>
          <w:tcPr>
            <w:tcW w:type="dxa" w:w="2160"/>
          </w:tcPr>
          <w:p/>
        </w:tc>
        <w:tc>
          <w:tcPr>
            <w:tcW w:type="dxa" w:w="6048"/>
          </w:tcPr>
          <w:p/>
        </w:tc>
      </w:tr>
      <w:tr>
        <w:tc>
          <w:tcPr>
            <w:tcW w:type="dxa" w:w="1440"/>
          </w:tcPr>
          <w:p/>
        </w:tc>
        <w:tc>
          <w:tcPr>
            <w:tcW w:type="dxa" w:w="2160"/>
          </w:tcPr>
          <w:p/>
        </w:tc>
        <w:tc>
          <w:tcPr>
            <w:tcW w:type="dxa" w:w="6048"/>
          </w:tcPr>
          <w:p/>
        </w:tc>
      </w:tr>
      <w:tr>
        <w:tc>
          <w:tcPr>
            <w:tcW w:type="dxa" w:w="1440"/>
          </w:tcPr>
          <w:p>
            <w:r>
              <w:rPr>
                <w:sz w:val="18"/>
              </w:rPr>
              <w:t>FY2015</w:t>
            </w:r>
          </w:p>
        </w:tc>
        <w:tc>
          <w:tcPr>
            <w:tcW w:type="dxa" w:w="2160"/>
          </w:tcPr>
          <w:p>
            <w:r>
              <w:rPr>
                <w:sz w:val="18"/>
              </w:rPr>
              <w:t>62,600</w:t>
            </w:r>
          </w:p>
        </w:tc>
        <w:tc>
          <w:tcPr>
            <w:tcW w:type="dxa" w:w="6048"/>
          </w:tcPr>
          <w:p>
            <w:r>
              <w:rPr>
                <w:sz w:val="18"/>
              </w:rPr>
              <w:t>Baseline</w:t>
            </w:r>
          </w:p>
        </w:tc>
      </w:tr>
      <w:tr>
        <w:tc>
          <w:tcPr>
            <w:tcW w:type="dxa" w:w="1440"/>
          </w:tcPr>
          <w:p>
            <w:r>
              <w:rPr>
                <w:sz w:val="18"/>
              </w:rPr>
              <w:t>FY2017</w:t>
            </w:r>
          </w:p>
        </w:tc>
        <w:tc>
          <w:tcPr>
            <w:tcW w:type="dxa" w:w="2160"/>
          </w:tcPr>
          <w:p>
            <w:r>
              <w:rPr>
                <w:sz w:val="18"/>
              </w:rPr>
              <w:t>74,400</w:t>
            </w:r>
          </w:p>
        </w:tc>
        <w:tc>
          <w:tcPr>
            <w:tcW w:type="dxa" w:w="6048"/>
          </w:tcPr>
          <w:p>
            <w:r>
              <w:rPr>
                <w:sz w:val="18"/>
              </w:rPr>
              <w:t>+18.9% in 2 years</w:t>
            </w:r>
          </w:p>
        </w:tc>
      </w:tr>
      <w:tr>
        <w:tc>
          <w:tcPr>
            <w:tcW w:type="dxa" w:w="1440"/>
          </w:tcPr>
          <w:p>
            <w:r>
              <w:rPr>
                <w:sz w:val="18"/>
              </w:rPr>
              <w:t>FY2020</w:t>
            </w:r>
          </w:p>
        </w:tc>
        <w:tc>
          <w:tcPr>
            <w:tcW w:type="dxa" w:w="2160"/>
          </w:tcPr>
          <w:p>
            <w:r>
              <w:rPr>
                <w:sz w:val="18"/>
              </w:rPr>
              <w:t>75,400</w:t>
            </w:r>
          </w:p>
        </w:tc>
        <w:tc>
          <w:tcPr>
            <w:tcW w:type="dxa" w:w="6048"/>
          </w:tcPr>
          <w:p>
            <w:r>
              <w:rPr>
                <w:sz w:val="18"/>
              </w:rPr>
              <w:t>COVID — minimal attrition</w:t>
            </w:r>
          </w:p>
        </w:tc>
      </w:tr>
      <w:tr>
        <w:tc>
          <w:tcPr>
            <w:tcW w:type="dxa" w:w="1440"/>
          </w:tcPr>
          <w:p>
            <w:r>
              <w:rPr>
                <w:sz w:val="18"/>
              </w:rPr>
              <w:t>FY2022</w:t>
            </w:r>
          </w:p>
        </w:tc>
        <w:tc>
          <w:tcPr>
            <w:tcW w:type="dxa" w:w="2160"/>
          </w:tcPr>
          <w:p>
            <w:r>
              <w:rPr>
                <w:sz w:val="18"/>
              </w:rPr>
              <w:t>79,100</w:t>
            </w:r>
          </w:p>
        </w:tc>
        <w:tc>
          <w:tcPr>
            <w:tcW w:type="dxa" w:w="6048"/>
          </w:tcPr>
          <w:p>
            <w:r>
              <w:rPr>
                <w:sz w:val="18"/>
              </w:rPr>
              <w:t>+5% post-COVID build</w:t>
            </w:r>
          </w:p>
        </w:tc>
      </w:tr>
      <w:tr>
        <w:tc>
          <w:tcPr>
            <w:tcW w:type="dxa" w:w="1440"/>
          </w:tcPr>
          <w:p>
            <w:r>
              <w:rPr>
                <w:sz w:val="18"/>
              </w:rPr>
              <w:t>FY2023</w:t>
            </w:r>
          </w:p>
        </w:tc>
        <w:tc>
          <w:tcPr>
            <w:tcW w:type="dxa" w:w="2160"/>
          </w:tcPr>
          <w:p>
            <w:r>
              <w:rPr>
                <w:sz w:val="18"/>
              </w:rPr>
              <w:t>83,700</w:t>
            </w:r>
          </w:p>
        </w:tc>
        <w:tc>
          <w:tcPr>
            <w:tcW w:type="dxa" w:w="6048"/>
          </w:tcPr>
          <w:p>
            <w:r>
              <w:rPr>
                <w:sz w:val="18"/>
              </w:rPr>
              <w:t>PEAK</w:t>
            </w:r>
          </w:p>
        </w:tc>
      </w:tr>
      <w:tr>
        <w:tc>
          <w:tcPr>
            <w:tcW w:type="dxa" w:w="1440"/>
          </w:tcPr>
          <w:p>
            <w:r>
              <w:rPr>
                <w:sz w:val="18"/>
              </w:rPr>
              <w:t>FY2024</w:t>
            </w:r>
          </w:p>
        </w:tc>
        <w:tc>
          <w:tcPr>
            <w:tcW w:type="dxa" w:w="2160"/>
          </w:tcPr>
          <w:p>
            <w:r>
              <w:rPr>
                <w:sz w:val="18"/>
              </w:rPr>
              <w:t>79,400</w:t>
            </w:r>
          </w:p>
        </w:tc>
        <w:tc>
          <w:tcPr>
            <w:tcW w:type="dxa" w:w="6048"/>
          </w:tcPr>
          <w:p>
            <w:r>
              <w:rPr>
                <w:sz w:val="18"/>
              </w:rPr>
              <w:t>-5.1%; ~4,300 roles eliminated; restructuring program</w:t>
            </w:r>
          </w:p>
        </w:tc>
      </w:tr>
    </w:tbl>
    <w:p/>
    <w:p>
      <w:r>
        <w:rPr>
          <w:b w:val="0"/>
          <w:i w:val="0"/>
          <w:sz w:val="20"/>
        </w:rPr>
        <w:t>The FY2024 headcount decline to 79,400 represents the first significant workforce reduction in NIKE's modern history. The restructuring program targets cost reduction and organisational simplification. The model does not separately forecast headcount-driven costs; SG&amp;A% of revenue implicitly captures the cost structure going forward.</w:t>
      </w:r>
    </w:p>
    <w:p>
      <w:r>
        <w:br w:type="page"/>
      </w:r>
    </w:p>
    <w:p>
      <w:pPr>
        <w:pStyle w:val="Heading1"/>
      </w:pPr>
      <w:r>
        <w:t>PART IX — DuPont Analysis and Financial Ratios</w:t>
      </w:r>
    </w:p>
    <w:p>
      <w:pPr>
        <w:pStyle w:val="Heading2"/>
      </w:pPr>
      <w:r>
        <w:t>9.1  DuPont Decomposition</w:t>
      </w:r>
    </w:p>
    <w:p>
      <w:r>
        <w:rPr>
          <w:b w:val="0"/>
          <w:i w:val="0"/>
          <w:sz w:val="20"/>
        </w:rPr>
        <w:t>The model includes a full DuPont decomposition section. NIKE's 5-factor DuPont analysis decomposes Return on Equity (ROE) as:</w:t>
      </w:r>
    </w:p>
    <w:p>
      <w:r>
        <w:rPr>
          <w:b/>
          <w:i w:val="0"/>
          <w:sz w:val="20"/>
        </w:rPr>
        <w:t xml:space="preserve">    ROE = Net Margin × Asset Turnover × Financial Leverage</w:t>
        <w:br/>
        <w:t xml:space="preserve">    (or 5-factor: × Tax Burden × Interest Burden × EBIT Margin × Asset Turnover × Leverage)</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Year</w:t>
            </w:r>
          </w:p>
        </w:tc>
        <w:tc>
          <w:tcPr>
            <w:tcW w:type="dxa" w:w="1152"/>
          </w:tcPr>
          <w:p>
            <w:r>
              <w:rPr>
                <w:b/>
                <w:sz w:val="18"/>
              </w:rPr>
              <w:t>ROE</w:t>
            </w:r>
          </w:p>
        </w:tc>
        <w:tc>
          <w:tcPr>
            <w:tcW w:type="dxa" w:w="1728"/>
          </w:tcPr>
          <w:p>
            <w:r>
              <w:rPr>
                <w:b/>
                <w:sz w:val="18"/>
              </w:rPr>
              <w:t>Net Margin</w:t>
            </w:r>
          </w:p>
        </w:tc>
        <w:tc>
          <w:tcPr>
            <w:tcW w:type="dxa" w:w="2160"/>
          </w:tcPr>
          <w:p>
            <w:r>
              <w:rPr>
                <w:b/>
                <w:sz w:val="18"/>
              </w:rPr>
              <w:t>Asset Turnover</w:t>
            </w:r>
          </w:p>
        </w:tc>
        <w:tc>
          <w:tcPr>
            <w:tcW w:type="dxa" w:w="1728"/>
          </w:tcPr>
          <w:p>
            <w:r>
              <w:rPr>
                <w:b/>
                <w:sz w:val="18"/>
              </w:rPr>
              <w:t>Leverage</w:t>
            </w:r>
          </w:p>
        </w:tc>
        <w:tc>
          <w:tcPr>
            <w:tcW w:type="dxa" w:w="2880"/>
          </w:tcPr>
          <w:p>
            <w:r>
              <w:rPr>
                <w:b/>
                <w:sz w:val="18"/>
              </w:rPr>
              <w:t>Driver</w:t>
            </w:r>
          </w:p>
        </w:tc>
      </w:tr>
      <w:tr>
        <w:tc>
          <w:tcPr>
            <w:tcW w:type="dxa" w:w="1440"/>
          </w:tcPr>
          <w:p/>
        </w:tc>
        <w:tc>
          <w:tcPr>
            <w:tcW w:type="dxa" w:w="1152"/>
          </w:tcPr>
          <w:p/>
        </w:tc>
        <w:tc>
          <w:tcPr>
            <w:tcW w:type="dxa" w:w="1728"/>
          </w:tcPr>
          <w:p/>
        </w:tc>
        <w:tc>
          <w:tcPr>
            <w:tcW w:type="dxa" w:w="2160"/>
          </w:tcPr>
          <w:p/>
        </w:tc>
        <w:tc>
          <w:tcPr>
            <w:tcW w:type="dxa" w:w="1728"/>
          </w:tcPr>
          <w:p/>
        </w:tc>
        <w:tc>
          <w:tcPr>
            <w:tcW w:type="dxa" w:w="2880"/>
          </w:tcPr>
          <w:p/>
        </w:tc>
      </w:tr>
      <w:tr>
        <w:tc>
          <w:tcPr>
            <w:tcW w:type="dxa" w:w="1440"/>
          </w:tcPr>
          <w:p/>
        </w:tc>
        <w:tc>
          <w:tcPr>
            <w:tcW w:type="dxa" w:w="1152"/>
          </w:tcPr>
          <w:p/>
        </w:tc>
        <w:tc>
          <w:tcPr>
            <w:tcW w:type="dxa" w:w="1728"/>
          </w:tcPr>
          <w:p/>
        </w:tc>
        <w:tc>
          <w:tcPr>
            <w:tcW w:type="dxa" w:w="2160"/>
          </w:tcPr>
          <w:p/>
        </w:tc>
        <w:tc>
          <w:tcPr>
            <w:tcW w:type="dxa" w:w="1728"/>
          </w:tcPr>
          <w:p/>
        </w:tc>
        <w:tc>
          <w:tcPr>
            <w:tcW w:type="dxa" w:w="2880"/>
          </w:tcPr>
          <w:p/>
        </w:tc>
      </w:tr>
      <w:tr>
        <w:tc>
          <w:tcPr>
            <w:tcW w:type="dxa" w:w="1440"/>
          </w:tcPr>
          <w:p/>
        </w:tc>
        <w:tc>
          <w:tcPr>
            <w:tcW w:type="dxa" w:w="1152"/>
          </w:tcPr>
          <w:p/>
        </w:tc>
        <w:tc>
          <w:tcPr>
            <w:tcW w:type="dxa" w:w="1728"/>
          </w:tcPr>
          <w:p/>
        </w:tc>
        <w:tc>
          <w:tcPr>
            <w:tcW w:type="dxa" w:w="2160"/>
          </w:tcPr>
          <w:p/>
        </w:tc>
        <w:tc>
          <w:tcPr>
            <w:tcW w:type="dxa" w:w="1728"/>
          </w:tcPr>
          <w:p/>
        </w:tc>
        <w:tc>
          <w:tcPr>
            <w:tcW w:type="dxa" w:w="2880"/>
          </w:tcPr>
          <w:p/>
        </w:tc>
      </w:tr>
      <w:tr>
        <w:tc>
          <w:tcPr>
            <w:tcW w:type="dxa" w:w="1440"/>
          </w:tcPr>
          <w:p/>
        </w:tc>
        <w:tc>
          <w:tcPr>
            <w:tcW w:type="dxa" w:w="1152"/>
          </w:tcPr>
          <w:p/>
        </w:tc>
        <w:tc>
          <w:tcPr>
            <w:tcW w:type="dxa" w:w="1728"/>
          </w:tcPr>
          <w:p/>
        </w:tc>
        <w:tc>
          <w:tcPr>
            <w:tcW w:type="dxa" w:w="2160"/>
          </w:tcPr>
          <w:p/>
        </w:tc>
        <w:tc>
          <w:tcPr>
            <w:tcW w:type="dxa" w:w="1728"/>
          </w:tcPr>
          <w:p/>
        </w:tc>
        <w:tc>
          <w:tcPr>
            <w:tcW w:type="dxa" w:w="2880"/>
          </w:tcPr>
          <w:p/>
        </w:tc>
      </w:tr>
      <w:tr>
        <w:tc>
          <w:tcPr>
            <w:tcW w:type="dxa" w:w="1440"/>
          </w:tcPr>
          <w:p/>
        </w:tc>
        <w:tc>
          <w:tcPr>
            <w:tcW w:type="dxa" w:w="1152"/>
          </w:tcPr>
          <w:p/>
        </w:tc>
        <w:tc>
          <w:tcPr>
            <w:tcW w:type="dxa" w:w="1728"/>
          </w:tcPr>
          <w:p/>
        </w:tc>
        <w:tc>
          <w:tcPr>
            <w:tcW w:type="dxa" w:w="2160"/>
          </w:tcPr>
          <w:p/>
        </w:tc>
        <w:tc>
          <w:tcPr>
            <w:tcW w:type="dxa" w:w="1728"/>
          </w:tcPr>
          <w:p/>
        </w:tc>
        <w:tc>
          <w:tcPr>
            <w:tcW w:type="dxa" w:w="2880"/>
          </w:tcPr>
          <w:p/>
        </w:tc>
      </w:tr>
      <w:tr>
        <w:tc>
          <w:tcPr>
            <w:tcW w:type="dxa" w:w="1440"/>
          </w:tcPr>
          <w:p>
            <w:r>
              <w:rPr>
                <w:sz w:val="18"/>
              </w:rPr>
              <w:t>FY2015</w:t>
            </w:r>
          </w:p>
        </w:tc>
        <w:tc>
          <w:tcPr>
            <w:tcW w:type="dxa" w:w="1152"/>
          </w:tcPr>
          <w:p>
            <w:r>
              <w:rPr>
                <w:sz w:val="18"/>
              </w:rPr>
              <w:t>~25%</w:t>
            </w:r>
          </w:p>
        </w:tc>
        <w:tc>
          <w:tcPr>
            <w:tcW w:type="dxa" w:w="1728"/>
          </w:tcPr>
          <w:p>
            <w:r>
              <w:rPr>
                <w:sz w:val="18"/>
              </w:rPr>
              <w:t>11.8%</w:t>
            </w:r>
          </w:p>
        </w:tc>
        <w:tc>
          <w:tcPr>
            <w:tcW w:type="dxa" w:w="2160"/>
          </w:tcPr>
          <w:p>
            <w:r>
              <w:rPr>
                <w:sz w:val="18"/>
              </w:rPr>
              <w:t>1.29x</w:t>
            </w:r>
          </w:p>
        </w:tc>
        <w:tc>
          <w:tcPr>
            <w:tcW w:type="dxa" w:w="1728"/>
          </w:tcPr>
          <w:p>
            <w:r>
              <w:rPr>
                <w:sz w:val="18"/>
              </w:rPr>
              <w:t>1.70x</w:t>
            </w:r>
          </w:p>
        </w:tc>
        <w:tc>
          <w:tcPr>
            <w:tcW w:type="dxa" w:w="2880"/>
          </w:tcPr>
          <w:p>
            <w:r>
              <w:rPr>
                <w:sz w:val="18"/>
              </w:rPr>
              <w:t>High turnover</w:t>
            </w:r>
          </w:p>
        </w:tc>
      </w:tr>
      <w:tr>
        <w:tc>
          <w:tcPr>
            <w:tcW w:type="dxa" w:w="1440"/>
          </w:tcPr>
          <w:p>
            <w:r>
              <w:rPr>
                <w:sz w:val="18"/>
              </w:rPr>
              <w:t>FY2019</w:t>
            </w:r>
          </w:p>
        </w:tc>
        <w:tc>
          <w:tcPr>
            <w:tcW w:type="dxa" w:w="1152"/>
          </w:tcPr>
          <w:p>
            <w:r>
              <w:rPr>
                <w:sz w:val="18"/>
              </w:rPr>
              <w:t>~44%</w:t>
            </w:r>
          </w:p>
        </w:tc>
        <w:tc>
          <w:tcPr>
            <w:tcW w:type="dxa" w:w="1728"/>
          </w:tcPr>
          <w:p>
            <w:r>
              <w:rPr>
                <w:sz w:val="18"/>
              </w:rPr>
              <w:t>10.3%</w:t>
            </w:r>
          </w:p>
        </w:tc>
        <w:tc>
          <w:tcPr>
            <w:tcW w:type="dxa" w:w="2160"/>
          </w:tcPr>
          <w:p>
            <w:r>
              <w:rPr>
                <w:sz w:val="18"/>
              </w:rPr>
              <w:t>1.65x</w:t>
            </w:r>
          </w:p>
        </w:tc>
        <w:tc>
          <w:tcPr>
            <w:tcW w:type="dxa" w:w="1728"/>
          </w:tcPr>
          <w:p>
            <w:r>
              <w:rPr>
                <w:sz w:val="18"/>
              </w:rPr>
              <w:t>2.62x</w:t>
            </w:r>
          </w:p>
        </w:tc>
        <w:tc>
          <w:tcPr>
            <w:tcW w:type="dxa" w:w="2880"/>
          </w:tcPr>
          <w:p>
            <w:r>
              <w:rPr>
                <w:sz w:val="18"/>
              </w:rPr>
              <w:t>Leverage increase</w:t>
            </w:r>
          </w:p>
        </w:tc>
      </w:tr>
      <w:tr>
        <w:tc>
          <w:tcPr>
            <w:tcW w:type="dxa" w:w="1440"/>
          </w:tcPr>
          <w:p>
            <w:r>
              <w:rPr>
                <w:sz w:val="18"/>
              </w:rPr>
              <w:t>FY2020</w:t>
            </w:r>
          </w:p>
        </w:tc>
        <w:tc>
          <w:tcPr>
            <w:tcW w:type="dxa" w:w="1152"/>
          </w:tcPr>
          <w:p>
            <w:r>
              <w:rPr>
                <w:sz w:val="18"/>
              </w:rPr>
              <w:t>~31%</w:t>
            </w:r>
          </w:p>
        </w:tc>
        <w:tc>
          <w:tcPr>
            <w:tcW w:type="dxa" w:w="1728"/>
          </w:tcPr>
          <w:p>
            <w:r>
              <w:rPr>
                <w:sz w:val="18"/>
              </w:rPr>
              <w:t>6.8%</w:t>
            </w:r>
          </w:p>
        </w:tc>
        <w:tc>
          <w:tcPr>
            <w:tcW w:type="dxa" w:w="2160"/>
          </w:tcPr>
          <w:p>
            <w:r>
              <w:rPr>
                <w:sz w:val="18"/>
              </w:rPr>
              <w:t>1.19x</w:t>
            </w:r>
          </w:p>
        </w:tc>
        <w:tc>
          <w:tcPr>
            <w:tcW w:type="dxa" w:w="1728"/>
          </w:tcPr>
          <w:p>
            <w:r>
              <w:rPr>
                <w:sz w:val="18"/>
              </w:rPr>
              <w:t>3.89x</w:t>
            </w:r>
          </w:p>
        </w:tc>
        <w:tc>
          <w:tcPr>
            <w:tcW w:type="dxa" w:w="2880"/>
          </w:tcPr>
          <w:p>
            <w:r>
              <w:rPr>
                <w:sz w:val="18"/>
              </w:rPr>
              <w:t>COVID: low NI, high leverage</w:t>
            </w:r>
          </w:p>
        </w:tc>
      </w:tr>
      <w:tr>
        <w:tc>
          <w:tcPr>
            <w:tcW w:type="dxa" w:w="1440"/>
          </w:tcPr>
          <w:p>
            <w:r>
              <w:rPr>
                <w:sz w:val="18"/>
              </w:rPr>
              <w:t>FY2022</w:t>
            </w:r>
          </w:p>
        </w:tc>
        <w:tc>
          <w:tcPr>
            <w:tcW w:type="dxa" w:w="1152"/>
          </w:tcPr>
          <w:p>
            <w:r>
              <w:rPr>
                <w:sz w:val="18"/>
              </w:rPr>
              <w:t>~44%</w:t>
            </w:r>
          </w:p>
        </w:tc>
        <w:tc>
          <w:tcPr>
            <w:tcW w:type="dxa" w:w="1728"/>
          </w:tcPr>
          <w:p>
            <w:r>
              <w:rPr>
                <w:sz w:val="18"/>
              </w:rPr>
              <w:t>12.9%</w:t>
            </w:r>
          </w:p>
        </w:tc>
        <w:tc>
          <w:tcPr>
            <w:tcW w:type="dxa" w:w="2160"/>
          </w:tcPr>
          <w:p>
            <w:r>
              <w:rPr>
                <w:sz w:val="18"/>
              </w:rPr>
              <w:t>1.16x</w:t>
            </w:r>
          </w:p>
        </w:tc>
        <w:tc>
          <w:tcPr>
            <w:tcW w:type="dxa" w:w="1728"/>
          </w:tcPr>
          <w:p>
            <w:r>
              <w:rPr>
                <w:sz w:val="18"/>
              </w:rPr>
              <w:t>2.64x</w:t>
            </w:r>
          </w:p>
        </w:tc>
        <w:tc>
          <w:tcPr>
            <w:tcW w:type="dxa" w:w="2880"/>
          </w:tcPr>
          <w:p>
            <w:r>
              <w:rPr>
                <w:sz w:val="18"/>
              </w:rPr>
              <w:t>High NI, good margins</w:t>
            </w:r>
          </w:p>
        </w:tc>
      </w:tr>
      <w:tr>
        <w:tc>
          <w:tcPr>
            <w:tcW w:type="dxa" w:w="1440"/>
          </w:tcPr>
          <w:p>
            <w:r>
              <w:rPr>
                <w:sz w:val="18"/>
              </w:rPr>
              <w:t>FY2024</w:t>
            </w:r>
          </w:p>
        </w:tc>
        <w:tc>
          <w:tcPr>
            <w:tcW w:type="dxa" w:w="1152"/>
          </w:tcPr>
          <w:p>
            <w:r>
              <w:rPr>
                <w:sz w:val="18"/>
              </w:rPr>
              <w:t>~40%</w:t>
            </w:r>
          </w:p>
        </w:tc>
        <w:tc>
          <w:tcPr>
            <w:tcW w:type="dxa" w:w="1728"/>
          </w:tcPr>
          <w:p>
            <w:r>
              <w:rPr>
                <w:sz w:val="18"/>
              </w:rPr>
              <w:t>11.1%</w:t>
            </w:r>
          </w:p>
        </w:tc>
        <w:tc>
          <w:tcPr>
            <w:tcW w:type="dxa" w:w="2160"/>
          </w:tcPr>
          <w:p>
            <w:r>
              <w:rPr>
                <w:sz w:val="18"/>
              </w:rPr>
              <w:t>1.35x</w:t>
            </w:r>
          </w:p>
        </w:tc>
        <w:tc>
          <w:tcPr>
            <w:tcW w:type="dxa" w:w="1728"/>
          </w:tcPr>
          <w:p>
            <w:r>
              <w:rPr>
                <w:sz w:val="18"/>
              </w:rPr>
              <w:t>2.64x</w:t>
            </w:r>
          </w:p>
        </w:tc>
        <w:tc>
          <w:tcPr>
            <w:tcW w:type="dxa" w:w="2880"/>
          </w:tcPr>
          <w:p>
            <w:r>
              <w:rPr>
                <w:sz w:val="18"/>
              </w:rPr>
              <w:t>Current</w:t>
            </w:r>
          </w:p>
        </w:tc>
      </w:tr>
    </w:tbl>
    <w:p/>
    <w:p>
      <w:r>
        <w:rPr>
          <w:b w:val="0"/>
          <w:i w:val="0"/>
          <w:sz w:val="20"/>
        </w:rPr>
        <w:t>NIKE's ROE has been elevated by progressive leverage (total assets / equity) increasing from 1.7x (FY2015) to 2.6x (FY2024) as buybacks compressed equity. This financial engineering effect masks modest asset turnover growth.</w:t>
      </w:r>
    </w:p>
    <w:p>
      <w:pPr>
        <w:pStyle w:val="Heading2"/>
      </w:pPr>
      <w:r>
        <w:t>9.2  Efficiency Ratios</w:t>
      </w:r>
    </w:p>
    <w:tbl>
      <w:tblPr>
        <w:tblStyle w:val="LightList-Accent1"/>
        <w:tblW w:type="auto" w:w="0"/>
        <w:tblLook w:firstColumn="1" w:firstRow="1" w:lastColumn="0" w:lastRow="0" w:noHBand="0" w:noVBand="1" w:val="04A0"/>
      </w:tblPr>
      <w:tblGrid>
        <w:gridCol w:w="2160"/>
        <w:gridCol w:w="2160"/>
        <w:gridCol w:w="2160"/>
        <w:gridCol w:w="2160"/>
      </w:tblGrid>
      <w:tr>
        <w:tc>
          <w:tcPr>
            <w:tcW w:type="dxa" w:w="2592"/>
          </w:tcPr>
          <w:p>
            <w:r>
              <w:rPr>
                <w:b/>
                <w:sz w:val="18"/>
              </w:rPr>
              <w:t>Ratio</w:t>
            </w:r>
          </w:p>
        </w:tc>
        <w:tc>
          <w:tcPr>
            <w:tcW w:type="dxa" w:w="1440"/>
          </w:tcPr>
          <w:p>
            <w:r>
              <w:rPr>
                <w:b/>
                <w:sz w:val="18"/>
              </w:rPr>
              <w:t>FY2015</w:t>
            </w:r>
          </w:p>
        </w:tc>
        <w:tc>
          <w:tcPr>
            <w:tcW w:type="dxa" w:w="1440"/>
          </w:tcPr>
          <w:p>
            <w:r>
              <w:rPr>
                <w:b/>
                <w:sz w:val="18"/>
              </w:rPr>
              <w:t>FY2024</w:t>
            </w:r>
          </w:p>
        </w:tc>
        <w:tc>
          <w:tcPr>
            <w:tcW w:type="dxa" w:w="4320"/>
          </w:tcPr>
          <w:p>
            <w:r>
              <w:rPr>
                <w:b/>
                <w:sz w:val="18"/>
              </w:rPr>
              <w:t>Formula</w:t>
            </w:r>
          </w:p>
        </w:tc>
      </w:tr>
      <w:tr>
        <w:tc>
          <w:tcPr>
            <w:tcW w:type="dxa" w:w="2592"/>
          </w:tcPr>
          <w:p/>
        </w:tc>
        <w:tc>
          <w:tcPr>
            <w:tcW w:type="dxa" w:w="1440"/>
          </w:tcPr>
          <w:p/>
        </w:tc>
        <w:tc>
          <w:tcPr>
            <w:tcW w:type="dxa" w:w="1440"/>
          </w:tcPr>
          <w:p/>
        </w:tc>
        <w:tc>
          <w:tcPr>
            <w:tcW w:type="dxa" w:w="4320"/>
          </w:tcPr>
          <w:p/>
        </w:tc>
      </w:tr>
      <w:tr>
        <w:tc>
          <w:tcPr>
            <w:tcW w:type="dxa" w:w="2592"/>
          </w:tcPr>
          <w:p/>
        </w:tc>
        <w:tc>
          <w:tcPr>
            <w:tcW w:type="dxa" w:w="1440"/>
          </w:tcPr>
          <w:p/>
        </w:tc>
        <w:tc>
          <w:tcPr>
            <w:tcW w:type="dxa" w:w="1440"/>
          </w:tcPr>
          <w:p/>
        </w:tc>
        <w:tc>
          <w:tcPr>
            <w:tcW w:type="dxa" w:w="4320"/>
          </w:tcPr>
          <w:p/>
        </w:tc>
      </w:tr>
      <w:tr>
        <w:tc>
          <w:tcPr>
            <w:tcW w:type="dxa" w:w="2592"/>
          </w:tcPr>
          <w:p/>
        </w:tc>
        <w:tc>
          <w:tcPr>
            <w:tcW w:type="dxa" w:w="1440"/>
          </w:tcPr>
          <w:p/>
        </w:tc>
        <w:tc>
          <w:tcPr>
            <w:tcW w:type="dxa" w:w="1440"/>
          </w:tcPr>
          <w:p/>
        </w:tc>
        <w:tc>
          <w:tcPr>
            <w:tcW w:type="dxa" w:w="4320"/>
          </w:tcPr>
          <w:p/>
        </w:tc>
      </w:tr>
      <w:tr>
        <w:tc>
          <w:tcPr>
            <w:tcW w:type="dxa" w:w="2592"/>
          </w:tcPr>
          <w:p/>
        </w:tc>
        <w:tc>
          <w:tcPr>
            <w:tcW w:type="dxa" w:w="1440"/>
          </w:tcPr>
          <w:p/>
        </w:tc>
        <w:tc>
          <w:tcPr>
            <w:tcW w:type="dxa" w:w="1440"/>
          </w:tcPr>
          <w:p/>
        </w:tc>
        <w:tc>
          <w:tcPr>
            <w:tcW w:type="dxa" w:w="4320"/>
          </w:tcPr>
          <w:p/>
        </w:tc>
      </w:tr>
      <w:tr>
        <w:tc>
          <w:tcPr>
            <w:tcW w:type="dxa" w:w="2592"/>
          </w:tcPr>
          <w:p/>
        </w:tc>
        <w:tc>
          <w:tcPr>
            <w:tcW w:type="dxa" w:w="1440"/>
          </w:tcPr>
          <w:p/>
        </w:tc>
        <w:tc>
          <w:tcPr>
            <w:tcW w:type="dxa" w:w="1440"/>
          </w:tcPr>
          <w:p/>
        </w:tc>
        <w:tc>
          <w:tcPr>
            <w:tcW w:type="dxa" w:w="4320"/>
          </w:tcPr>
          <w:p/>
        </w:tc>
      </w:tr>
      <w:tr>
        <w:tc>
          <w:tcPr>
            <w:tcW w:type="dxa" w:w="2592"/>
          </w:tcPr>
          <w:p>
            <w:r>
              <w:rPr>
                <w:sz w:val="18"/>
              </w:rPr>
              <w:t>Days Inventory (DIO)</w:t>
            </w:r>
          </w:p>
        </w:tc>
        <w:tc>
          <w:tcPr>
            <w:tcW w:type="dxa" w:w="1440"/>
          </w:tcPr>
          <w:p>
            <w:r>
              <w:rPr>
                <w:sz w:val="18"/>
              </w:rPr>
              <w:t>~57 days</w:t>
            </w:r>
          </w:p>
        </w:tc>
        <w:tc>
          <w:tcPr>
            <w:tcW w:type="dxa" w:w="1440"/>
          </w:tcPr>
          <w:p>
            <w:r>
              <w:rPr>
                <w:sz w:val="18"/>
              </w:rPr>
              <w:t>~53 days</w:t>
            </w:r>
          </w:p>
        </w:tc>
        <w:tc>
          <w:tcPr>
            <w:tcW w:type="dxa" w:w="4320"/>
          </w:tcPr>
          <w:p>
            <w:r>
              <w:rPr>
                <w:sz w:val="18"/>
              </w:rPr>
              <w:t>Inventory / COGS × 365</w:t>
            </w:r>
          </w:p>
        </w:tc>
      </w:tr>
      <w:tr>
        <w:tc>
          <w:tcPr>
            <w:tcW w:type="dxa" w:w="2592"/>
          </w:tcPr>
          <w:p>
            <w:r>
              <w:rPr>
                <w:sz w:val="18"/>
              </w:rPr>
              <w:t>Days Sales Outstanding (DSO)</w:t>
            </w:r>
          </w:p>
        </w:tc>
        <w:tc>
          <w:tcPr>
            <w:tcW w:type="dxa" w:w="1440"/>
          </w:tcPr>
          <w:p>
            <w:r>
              <w:rPr>
                <w:sz w:val="18"/>
              </w:rPr>
              <w:t>~44 days</w:t>
            </w:r>
          </w:p>
        </w:tc>
        <w:tc>
          <w:tcPr>
            <w:tcW w:type="dxa" w:w="1440"/>
          </w:tcPr>
          <w:p>
            <w:r>
              <w:rPr>
                <w:sz w:val="18"/>
              </w:rPr>
              <w:t>~31 days</w:t>
            </w:r>
          </w:p>
        </w:tc>
        <w:tc>
          <w:tcPr>
            <w:tcW w:type="dxa" w:w="4320"/>
          </w:tcPr>
          <w:p>
            <w:r>
              <w:rPr>
                <w:sz w:val="18"/>
              </w:rPr>
              <w:t>AR / Revenue × 365; significant improvement</w:t>
            </w:r>
          </w:p>
        </w:tc>
      </w:tr>
      <w:tr>
        <w:tc>
          <w:tcPr>
            <w:tcW w:type="dxa" w:w="2592"/>
          </w:tcPr>
          <w:p>
            <w:r>
              <w:rPr>
                <w:sz w:val="18"/>
              </w:rPr>
              <w:t>Days Payable Outstanding (DPO)</w:t>
            </w:r>
          </w:p>
        </w:tc>
        <w:tc>
          <w:tcPr>
            <w:tcW w:type="dxa" w:w="1440"/>
          </w:tcPr>
          <w:p>
            <w:r>
              <w:rPr>
                <w:sz w:val="18"/>
              </w:rPr>
              <w:t>~28 days</w:t>
            </w:r>
          </w:p>
        </w:tc>
        <w:tc>
          <w:tcPr>
            <w:tcW w:type="dxa" w:w="1440"/>
          </w:tcPr>
          <w:p>
            <w:r>
              <w:rPr>
                <w:sz w:val="18"/>
              </w:rPr>
              <w:t>~36 days</w:t>
            </w:r>
          </w:p>
        </w:tc>
        <w:tc>
          <w:tcPr>
            <w:tcW w:type="dxa" w:w="4320"/>
          </w:tcPr>
          <w:p>
            <w:r>
              <w:rPr>
                <w:sz w:val="18"/>
              </w:rPr>
              <w:t>AP / COGS × 365</w:t>
            </w:r>
          </w:p>
        </w:tc>
      </w:tr>
      <w:tr>
        <w:tc>
          <w:tcPr>
            <w:tcW w:type="dxa" w:w="2592"/>
          </w:tcPr>
          <w:p>
            <w:r>
              <w:rPr>
                <w:sz w:val="18"/>
              </w:rPr>
              <w:t>Cash Conversion Cycle</w:t>
            </w:r>
          </w:p>
        </w:tc>
        <w:tc>
          <w:tcPr>
            <w:tcW w:type="dxa" w:w="1440"/>
          </w:tcPr>
          <w:p>
            <w:r>
              <w:rPr>
                <w:sz w:val="18"/>
              </w:rPr>
              <w:t>~73 days</w:t>
            </w:r>
          </w:p>
        </w:tc>
        <w:tc>
          <w:tcPr>
            <w:tcW w:type="dxa" w:w="1440"/>
          </w:tcPr>
          <w:p>
            <w:r>
              <w:rPr>
                <w:sz w:val="18"/>
              </w:rPr>
              <w:t>~48 days</w:t>
            </w:r>
          </w:p>
        </w:tc>
        <w:tc>
          <w:tcPr>
            <w:tcW w:type="dxa" w:w="4320"/>
          </w:tcPr>
          <w:p>
            <w:r>
              <w:rPr>
                <w:sz w:val="18"/>
              </w:rPr>
              <w:t>DIO + DSO − DPO; major improvement</w:t>
            </w:r>
          </w:p>
        </w:tc>
      </w:tr>
      <w:tr>
        <w:tc>
          <w:tcPr>
            <w:tcW w:type="dxa" w:w="2592"/>
          </w:tcPr>
          <w:p>
            <w:r>
              <w:rPr>
                <w:sz w:val="18"/>
              </w:rPr>
              <w:t>Revenue / Assets</w:t>
            </w:r>
          </w:p>
        </w:tc>
        <w:tc>
          <w:tcPr>
            <w:tcW w:type="dxa" w:w="1440"/>
          </w:tcPr>
          <w:p>
            <w:r>
              <w:rPr>
                <w:sz w:val="18"/>
              </w:rPr>
              <w:t>1.29x</w:t>
            </w:r>
          </w:p>
        </w:tc>
        <w:tc>
          <w:tcPr>
            <w:tcW w:type="dxa" w:w="1440"/>
          </w:tcPr>
          <w:p>
            <w:r>
              <w:rPr>
                <w:sz w:val="18"/>
              </w:rPr>
              <w:t>1.35x</w:t>
            </w:r>
          </w:p>
        </w:tc>
        <w:tc>
          <w:tcPr>
            <w:tcW w:type="dxa" w:w="4320"/>
          </w:tcPr>
          <w:p>
            <w:r>
              <w:rPr>
                <w:sz w:val="18"/>
              </w:rPr>
              <w:t>Asset turnover</w:t>
            </w:r>
          </w:p>
        </w:tc>
      </w:tr>
    </w:tbl>
    <w:p/>
    <w:p>
      <w:pPr>
        <w:pStyle w:val="Heading2"/>
      </w:pPr>
      <w:r>
        <w:t>9.3  Liquidity Ratios</w:t>
      </w:r>
    </w:p>
    <w:tbl>
      <w:tblPr>
        <w:tblStyle w:val="LightList-Accent1"/>
        <w:tblW w:type="auto" w:w="0"/>
        <w:tblLook w:firstColumn="1" w:firstRow="1" w:lastColumn="0" w:lastRow="0" w:noHBand="0" w:noVBand="1" w:val="04A0"/>
      </w:tblPr>
      <w:tblGrid>
        <w:gridCol w:w="2160"/>
        <w:gridCol w:w="2160"/>
        <w:gridCol w:w="2160"/>
        <w:gridCol w:w="2160"/>
      </w:tblGrid>
      <w:tr>
        <w:tc>
          <w:tcPr>
            <w:tcW w:type="dxa" w:w="2592"/>
          </w:tcPr>
          <w:p>
            <w:r>
              <w:rPr>
                <w:b/>
                <w:sz w:val="18"/>
              </w:rPr>
              <w:t>Ratio</w:t>
            </w:r>
          </w:p>
        </w:tc>
        <w:tc>
          <w:tcPr>
            <w:tcW w:type="dxa" w:w="1440"/>
          </w:tcPr>
          <w:p>
            <w:r>
              <w:rPr>
                <w:b/>
                <w:sz w:val="18"/>
              </w:rPr>
              <w:t>FY2015</w:t>
            </w:r>
          </w:p>
        </w:tc>
        <w:tc>
          <w:tcPr>
            <w:tcW w:type="dxa" w:w="1440"/>
          </w:tcPr>
          <w:p>
            <w:r>
              <w:rPr>
                <w:b/>
                <w:sz w:val="18"/>
              </w:rPr>
              <w:t>FY2024</w:t>
            </w:r>
          </w:p>
        </w:tc>
        <w:tc>
          <w:tcPr>
            <w:tcW w:type="dxa" w:w="4320"/>
          </w:tcPr>
          <w:p>
            <w:r>
              <w:rPr>
                <w:b/>
                <w:sz w:val="18"/>
              </w:rPr>
              <w:t>Notes</w:t>
            </w:r>
          </w:p>
        </w:tc>
      </w:tr>
      <w:tr>
        <w:tc>
          <w:tcPr>
            <w:tcW w:type="dxa" w:w="2592"/>
          </w:tcPr>
          <w:p/>
        </w:tc>
        <w:tc>
          <w:tcPr>
            <w:tcW w:type="dxa" w:w="1440"/>
          </w:tcPr>
          <w:p/>
        </w:tc>
        <w:tc>
          <w:tcPr>
            <w:tcW w:type="dxa" w:w="1440"/>
          </w:tcPr>
          <w:p/>
        </w:tc>
        <w:tc>
          <w:tcPr>
            <w:tcW w:type="dxa" w:w="4320"/>
          </w:tcPr>
          <w:p/>
        </w:tc>
      </w:tr>
      <w:tr>
        <w:tc>
          <w:tcPr>
            <w:tcW w:type="dxa" w:w="2592"/>
          </w:tcPr>
          <w:p/>
        </w:tc>
        <w:tc>
          <w:tcPr>
            <w:tcW w:type="dxa" w:w="1440"/>
          </w:tcPr>
          <w:p/>
        </w:tc>
        <w:tc>
          <w:tcPr>
            <w:tcW w:type="dxa" w:w="1440"/>
          </w:tcPr>
          <w:p/>
        </w:tc>
        <w:tc>
          <w:tcPr>
            <w:tcW w:type="dxa" w:w="4320"/>
          </w:tcPr>
          <w:p/>
        </w:tc>
      </w:tr>
      <w:tr>
        <w:tc>
          <w:tcPr>
            <w:tcW w:type="dxa" w:w="2592"/>
          </w:tcPr>
          <w:p/>
        </w:tc>
        <w:tc>
          <w:tcPr>
            <w:tcW w:type="dxa" w:w="1440"/>
          </w:tcPr>
          <w:p/>
        </w:tc>
        <w:tc>
          <w:tcPr>
            <w:tcW w:type="dxa" w:w="1440"/>
          </w:tcPr>
          <w:p/>
        </w:tc>
        <w:tc>
          <w:tcPr>
            <w:tcW w:type="dxa" w:w="4320"/>
          </w:tcPr>
          <w:p/>
        </w:tc>
      </w:tr>
      <w:tr>
        <w:tc>
          <w:tcPr>
            <w:tcW w:type="dxa" w:w="2592"/>
          </w:tcPr>
          <w:p>
            <w:r>
              <w:rPr>
                <w:sz w:val="18"/>
              </w:rPr>
              <w:t>Current Ratio</w:t>
            </w:r>
          </w:p>
        </w:tc>
        <w:tc>
          <w:tcPr>
            <w:tcW w:type="dxa" w:w="1440"/>
          </w:tcPr>
          <w:p>
            <w:r>
              <w:rPr>
                <w:sz w:val="18"/>
              </w:rPr>
              <w:t>2.46x</w:t>
            </w:r>
          </w:p>
        </w:tc>
        <w:tc>
          <w:tcPr>
            <w:tcW w:type="dxa" w:w="1440"/>
          </w:tcPr>
          <w:p>
            <w:r>
              <w:rPr>
                <w:sz w:val="18"/>
              </w:rPr>
              <w:t>2.40x</w:t>
            </w:r>
          </w:p>
        </w:tc>
        <w:tc>
          <w:tcPr>
            <w:tcW w:type="dxa" w:w="4320"/>
          </w:tcPr>
          <w:p>
            <w:r>
              <w:rPr>
                <w:sz w:val="18"/>
              </w:rPr>
              <w:t>Stable; strong current position</w:t>
            </w:r>
          </w:p>
        </w:tc>
      </w:tr>
      <w:tr>
        <w:tc>
          <w:tcPr>
            <w:tcW w:type="dxa" w:w="2592"/>
          </w:tcPr>
          <w:p>
            <w:r>
              <w:rPr>
                <w:sz w:val="18"/>
              </w:rPr>
              <w:t>Quick Ratio</w:t>
            </w:r>
          </w:p>
        </w:tc>
        <w:tc>
          <w:tcPr>
            <w:tcW w:type="dxa" w:w="1440"/>
          </w:tcPr>
          <w:p>
            <w:r>
              <w:rPr>
                <w:sz w:val="18"/>
              </w:rPr>
              <w:t>1.77x</w:t>
            </w:r>
          </w:p>
        </w:tc>
        <w:tc>
          <w:tcPr>
            <w:tcW w:type="dxa" w:w="1440"/>
          </w:tcPr>
          <w:p>
            <w:r>
              <w:rPr>
                <w:sz w:val="18"/>
              </w:rPr>
              <w:t>1.69x</w:t>
            </w:r>
          </w:p>
        </w:tc>
        <w:tc>
          <w:tcPr>
            <w:tcW w:type="dxa" w:w="4320"/>
          </w:tcPr>
          <w:p>
            <w:r>
              <w:rPr>
                <w:sz w:val="18"/>
              </w:rPr>
              <w:t>Excluding inventory</w:t>
            </w:r>
          </w:p>
        </w:tc>
      </w:tr>
      <w:tr>
        <w:tc>
          <w:tcPr>
            <w:tcW w:type="dxa" w:w="2592"/>
          </w:tcPr>
          <w:p>
            <w:r>
              <w:rPr>
                <w:sz w:val="18"/>
              </w:rPr>
              <w:t>Cash Ratio</w:t>
            </w:r>
          </w:p>
        </w:tc>
        <w:tc>
          <w:tcPr>
            <w:tcW w:type="dxa" w:w="1440"/>
          </w:tcPr>
          <w:p>
            <w:r>
              <w:rPr>
                <w:sz w:val="18"/>
              </w:rPr>
              <w:t>0.95x</w:t>
            </w:r>
          </w:p>
        </w:tc>
        <w:tc>
          <w:tcPr>
            <w:tcW w:type="dxa" w:w="1440"/>
          </w:tcPr>
          <w:p>
            <w:r>
              <w:rPr>
                <w:sz w:val="18"/>
              </w:rPr>
              <w:t>1.09x</w:t>
            </w:r>
          </w:p>
        </w:tc>
        <w:tc>
          <w:tcPr>
            <w:tcW w:type="dxa" w:w="4320"/>
          </w:tcPr>
          <w:p>
            <w:r>
              <w:rPr>
                <w:sz w:val="18"/>
              </w:rPr>
              <w:t>Cash+ST investments / current liabilities; &gt;1 = highly liquid</w:t>
            </w:r>
          </w:p>
        </w:tc>
      </w:tr>
    </w:tbl>
    <w:p/>
    <w:p>
      <w:pPr>
        <w:pStyle w:val="Heading2"/>
      </w:pPr>
      <w:r>
        <w:t>9.4  Leverage Ratios</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3168"/>
          </w:tcPr>
          <w:p>
            <w:r>
              <w:rPr>
                <w:b/>
                <w:sz w:val="18"/>
              </w:rPr>
              <w:t>Ratio</w:t>
            </w:r>
          </w:p>
        </w:tc>
        <w:tc>
          <w:tcPr>
            <w:tcW w:type="dxa" w:w="1296"/>
          </w:tcPr>
          <w:p>
            <w:r>
              <w:rPr>
                <w:b/>
                <w:sz w:val="18"/>
              </w:rPr>
              <w:t>FY2015</w:t>
            </w:r>
          </w:p>
        </w:tc>
        <w:tc>
          <w:tcPr>
            <w:tcW w:type="dxa" w:w="1296"/>
          </w:tcPr>
          <w:p>
            <w:r>
              <w:rPr>
                <w:b/>
                <w:sz w:val="18"/>
              </w:rPr>
              <w:t>FY2020</w:t>
            </w:r>
          </w:p>
        </w:tc>
        <w:tc>
          <w:tcPr>
            <w:tcW w:type="dxa" w:w="1296"/>
          </w:tcPr>
          <w:p>
            <w:r>
              <w:rPr>
                <w:b/>
                <w:sz w:val="18"/>
              </w:rPr>
              <w:t>FY2024</w:t>
            </w:r>
          </w:p>
        </w:tc>
        <w:tc>
          <w:tcPr>
            <w:tcW w:type="dxa" w:w="2880"/>
          </w:tcPr>
          <w:p>
            <w:r>
              <w:rPr>
                <w:b/>
                <w:sz w:val="18"/>
              </w:rPr>
              <w:t>Notes</w:t>
            </w:r>
          </w:p>
        </w:tc>
      </w:tr>
      <w:tr>
        <w:tc>
          <w:tcPr>
            <w:tcW w:type="dxa" w:w="3168"/>
          </w:tcPr>
          <w:p/>
        </w:tc>
        <w:tc>
          <w:tcPr>
            <w:tcW w:type="dxa" w:w="1296"/>
          </w:tcPr>
          <w:p/>
        </w:tc>
        <w:tc>
          <w:tcPr>
            <w:tcW w:type="dxa" w:w="1296"/>
          </w:tcPr>
          <w:p/>
        </w:tc>
        <w:tc>
          <w:tcPr>
            <w:tcW w:type="dxa" w:w="1296"/>
          </w:tcPr>
          <w:p/>
        </w:tc>
        <w:tc>
          <w:tcPr>
            <w:tcW w:type="dxa" w:w="2880"/>
          </w:tcPr>
          <w:p/>
        </w:tc>
      </w:tr>
      <w:tr>
        <w:tc>
          <w:tcPr>
            <w:tcW w:type="dxa" w:w="3168"/>
          </w:tcPr>
          <w:p/>
        </w:tc>
        <w:tc>
          <w:tcPr>
            <w:tcW w:type="dxa" w:w="1296"/>
          </w:tcPr>
          <w:p/>
        </w:tc>
        <w:tc>
          <w:tcPr>
            <w:tcW w:type="dxa" w:w="1296"/>
          </w:tcPr>
          <w:p/>
        </w:tc>
        <w:tc>
          <w:tcPr>
            <w:tcW w:type="dxa" w:w="1296"/>
          </w:tcPr>
          <w:p/>
        </w:tc>
        <w:tc>
          <w:tcPr>
            <w:tcW w:type="dxa" w:w="2880"/>
          </w:tcPr>
          <w:p/>
        </w:tc>
      </w:tr>
      <w:tr>
        <w:tc>
          <w:tcPr>
            <w:tcW w:type="dxa" w:w="3168"/>
          </w:tcPr>
          <w:p/>
        </w:tc>
        <w:tc>
          <w:tcPr>
            <w:tcW w:type="dxa" w:w="1296"/>
          </w:tcPr>
          <w:p/>
        </w:tc>
        <w:tc>
          <w:tcPr>
            <w:tcW w:type="dxa" w:w="1296"/>
          </w:tcPr>
          <w:p/>
        </w:tc>
        <w:tc>
          <w:tcPr>
            <w:tcW w:type="dxa" w:w="1296"/>
          </w:tcPr>
          <w:p/>
        </w:tc>
        <w:tc>
          <w:tcPr>
            <w:tcW w:type="dxa" w:w="2880"/>
          </w:tcPr>
          <w:p/>
        </w:tc>
      </w:tr>
      <w:tr>
        <w:tc>
          <w:tcPr>
            <w:tcW w:type="dxa" w:w="3168"/>
          </w:tcPr>
          <w:p/>
        </w:tc>
        <w:tc>
          <w:tcPr>
            <w:tcW w:type="dxa" w:w="1296"/>
          </w:tcPr>
          <w:p/>
        </w:tc>
        <w:tc>
          <w:tcPr>
            <w:tcW w:type="dxa" w:w="1296"/>
          </w:tcPr>
          <w:p/>
        </w:tc>
        <w:tc>
          <w:tcPr>
            <w:tcW w:type="dxa" w:w="1296"/>
          </w:tcPr>
          <w:p/>
        </w:tc>
        <w:tc>
          <w:tcPr>
            <w:tcW w:type="dxa" w:w="2880"/>
          </w:tcPr>
          <w:p/>
        </w:tc>
      </w:tr>
      <w:tr>
        <w:tc>
          <w:tcPr>
            <w:tcW w:type="dxa" w:w="3168"/>
          </w:tcPr>
          <w:p>
            <w:r>
              <w:rPr>
                <w:sz w:val="18"/>
              </w:rPr>
              <w:t>Total Debt / EBITDA</w:t>
            </w:r>
          </w:p>
        </w:tc>
        <w:tc>
          <w:tcPr>
            <w:tcW w:type="dxa" w:w="1296"/>
          </w:tcPr>
          <w:p>
            <w:r>
              <w:rPr>
                <w:sz w:val="18"/>
              </w:rPr>
              <w:t>0.17x</w:t>
            </w:r>
          </w:p>
        </w:tc>
        <w:tc>
          <w:tcPr>
            <w:tcW w:type="dxa" w:w="1296"/>
          </w:tcPr>
          <w:p>
            <w:r>
              <w:rPr>
                <w:sz w:val="18"/>
              </w:rPr>
              <w:t>1.72x</w:t>
            </w:r>
          </w:p>
        </w:tc>
        <w:tc>
          <w:tcPr>
            <w:tcW w:type="dxa" w:w="1296"/>
          </w:tcPr>
          <w:p>
            <w:r>
              <w:rPr>
                <w:sz w:val="18"/>
              </w:rPr>
              <w:t>1.59x</w:t>
            </w:r>
          </w:p>
        </w:tc>
        <w:tc>
          <w:tcPr>
            <w:tcW w:type="dxa" w:w="2880"/>
          </w:tcPr>
          <w:p>
            <w:r>
              <w:rPr>
                <w:sz w:val="18"/>
              </w:rPr>
              <w:t>Peaked FY2020; still manageable</w:t>
            </w:r>
          </w:p>
        </w:tc>
      </w:tr>
      <w:tr>
        <w:tc>
          <w:tcPr>
            <w:tcW w:type="dxa" w:w="3168"/>
          </w:tcPr>
          <w:p>
            <w:r>
              <w:rPr>
                <w:sz w:val="18"/>
              </w:rPr>
              <w:t>Net Debt / EBITDA</w:t>
            </w:r>
          </w:p>
        </w:tc>
        <w:tc>
          <w:tcPr>
            <w:tcW w:type="dxa" w:w="1296"/>
          </w:tcPr>
          <w:p>
            <w:r>
              <w:rPr>
                <w:sz w:val="18"/>
              </w:rPr>
              <w:t>-0.63x</w:t>
            </w:r>
          </w:p>
        </w:tc>
        <w:tc>
          <w:tcPr>
            <w:tcW w:type="dxa" w:w="1296"/>
          </w:tcPr>
          <w:p>
            <w:r>
              <w:rPr>
                <w:sz w:val="18"/>
              </w:rPr>
              <w:t>0.56x</w:t>
            </w:r>
          </w:p>
        </w:tc>
        <w:tc>
          <w:tcPr>
            <w:tcW w:type="dxa" w:w="1296"/>
          </w:tcPr>
          <w:p>
            <w:r>
              <w:rPr>
                <w:sz w:val="18"/>
              </w:rPr>
              <w:t>0.05x</w:t>
            </w:r>
          </w:p>
        </w:tc>
        <w:tc>
          <w:tcPr>
            <w:tcW w:type="dxa" w:w="2880"/>
          </w:tcPr>
          <w:p>
            <w:r>
              <w:rPr>
                <w:sz w:val="18"/>
              </w:rPr>
              <w:t>Near zero net leverage FY2024</w:t>
            </w:r>
          </w:p>
        </w:tc>
      </w:tr>
      <w:tr>
        <w:tc>
          <w:tcPr>
            <w:tcW w:type="dxa" w:w="3168"/>
          </w:tcPr>
          <w:p>
            <w:r>
              <w:rPr>
                <w:sz w:val="18"/>
              </w:rPr>
              <w:t>Total Assets / Equity</w:t>
            </w:r>
          </w:p>
        </w:tc>
        <w:tc>
          <w:tcPr>
            <w:tcW w:type="dxa" w:w="1296"/>
          </w:tcPr>
          <w:p>
            <w:r>
              <w:rPr>
                <w:sz w:val="18"/>
              </w:rPr>
              <w:t>1.70x</w:t>
            </w:r>
          </w:p>
        </w:tc>
        <w:tc>
          <w:tcPr>
            <w:tcW w:type="dxa" w:w="1296"/>
          </w:tcPr>
          <w:p>
            <w:r>
              <w:rPr>
                <w:sz w:val="18"/>
              </w:rPr>
              <w:t>3.89x</w:t>
            </w:r>
          </w:p>
        </w:tc>
        <w:tc>
          <w:tcPr>
            <w:tcW w:type="dxa" w:w="1296"/>
          </w:tcPr>
          <w:p>
            <w:r>
              <w:rPr>
                <w:sz w:val="18"/>
              </w:rPr>
              <w:t>2.64x</w:t>
            </w:r>
          </w:p>
        </w:tc>
        <w:tc>
          <w:tcPr>
            <w:tcW w:type="dxa" w:w="2880"/>
          </w:tcPr>
          <w:p>
            <w:r>
              <w:rPr>
                <w:sz w:val="18"/>
              </w:rPr>
              <w:t>Financial leverage; buyback-driven</w:t>
            </w:r>
          </w:p>
        </w:tc>
      </w:tr>
      <w:tr>
        <w:tc>
          <w:tcPr>
            <w:tcW w:type="dxa" w:w="3168"/>
          </w:tcPr>
          <w:p>
            <w:r>
              <w:rPr>
                <w:sz w:val="18"/>
              </w:rPr>
              <w:t>IBD / Total Assets</w:t>
            </w:r>
          </w:p>
        </w:tc>
        <w:tc>
          <w:tcPr>
            <w:tcW w:type="dxa" w:w="1296"/>
          </w:tcPr>
          <w:p>
            <w:r>
              <w:rPr>
                <w:sz w:val="18"/>
              </w:rPr>
              <w:t>5.8%</w:t>
            </w:r>
          </w:p>
        </w:tc>
        <w:tc>
          <w:tcPr>
            <w:tcW w:type="dxa" w:w="1296"/>
          </w:tcPr>
          <w:p>
            <w:r>
              <w:rPr>
                <w:sz w:val="18"/>
              </w:rPr>
              <w:t>41.5%</w:t>
            </w:r>
          </w:p>
        </w:tc>
        <w:tc>
          <w:tcPr>
            <w:tcW w:type="dxa" w:w="1296"/>
          </w:tcPr>
          <w:p>
            <w:r>
              <w:rPr>
                <w:sz w:val="18"/>
              </w:rPr>
              <w:t>31.4%</w:t>
            </w:r>
          </w:p>
        </w:tc>
        <w:tc>
          <w:tcPr>
            <w:tcW w:type="dxa" w:w="2880"/>
          </w:tcPr>
          <w:p>
            <w:r>
              <w:rPr>
                <w:sz w:val="18"/>
              </w:rPr>
              <w:t>D/TA from row 323 drivers</w:t>
            </w:r>
          </w:p>
        </w:tc>
      </w:tr>
    </w:tbl>
    <w:p/>
    <w:p>
      <w:pPr>
        <w:pStyle w:val="Heading2"/>
      </w:pPr>
      <w:r>
        <w:t>9.5  Coverage Ratios (Three Methods)</w:t>
      </w:r>
    </w:p>
    <w:p>
      <w:r>
        <w:rPr>
          <w:b w:val="0"/>
          <w:i w:val="0"/>
          <w:sz w:val="20"/>
        </w:rPr>
        <w:t>The model provides three different debt coverage metrics:</w:t>
      </w:r>
    </w:p>
    <w:tbl>
      <w:tblPr>
        <w:tblStyle w:val="LightList-Accent1"/>
        <w:tblW w:type="auto" w:w="0"/>
        <w:tblLook w:firstColumn="1" w:firstRow="1" w:lastColumn="0" w:lastRow="0" w:noHBand="0" w:noVBand="1" w:val="04A0"/>
      </w:tblPr>
      <w:tblGrid>
        <w:gridCol w:w="2160"/>
        <w:gridCol w:w="2160"/>
        <w:gridCol w:w="2160"/>
        <w:gridCol w:w="2160"/>
      </w:tblGrid>
      <w:tr>
        <w:tc>
          <w:tcPr>
            <w:tcW w:type="dxa" w:w="3600"/>
          </w:tcPr>
          <w:p>
            <w:r>
              <w:rPr>
                <w:b/>
                <w:sz w:val="18"/>
              </w:rPr>
              <w:t>Coverage Metric</w:t>
            </w:r>
          </w:p>
        </w:tc>
        <w:tc>
          <w:tcPr>
            <w:tcW w:type="dxa" w:w="1872"/>
          </w:tcPr>
          <w:p>
            <w:r>
              <w:rPr>
                <w:b/>
                <w:sz w:val="18"/>
              </w:rPr>
              <w:t>FY2024 Value</w:t>
            </w:r>
          </w:p>
        </w:tc>
        <w:tc>
          <w:tcPr>
            <w:tcW w:type="dxa" w:w="2880"/>
          </w:tcPr>
          <w:p>
            <w:r>
              <w:rPr>
                <w:b/>
                <w:sz w:val="18"/>
              </w:rPr>
              <w:t>Formula</w:t>
            </w:r>
          </w:p>
        </w:tc>
        <w:tc>
          <w:tcPr>
            <w:tcW w:type="dxa" w:w="2880"/>
          </w:tcPr>
          <w:p>
            <w:r>
              <w:rPr>
                <w:b/>
                <w:sz w:val="18"/>
              </w:rPr>
              <w:t>Interpretation</w:t>
            </w:r>
          </w:p>
        </w:tc>
      </w:tr>
      <w:tr>
        <w:tc>
          <w:tcPr>
            <w:tcW w:type="dxa" w:w="3600"/>
          </w:tcPr>
          <w:p/>
        </w:tc>
        <w:tc>
          <w:tcPr>
            <w:tcW w:type="dxa" w:w="1872"/>
          </w:tcPr>
          <w:p/>
        </w:tc>
        <w:tc>
          <w:tcPr>
            <w:tcW w:type="dxa" w:w="2880"/>
          </w:tcPr>
          <w:p/>
        </w:tc>
        <w:tc>
          <w:tcPr>
            <w:tcW w:type="dxa" w:w="2880"/>
          </w:tcPr>
          <w:p/>
        </w:tc>
      </w:tr>
      <w:tr>
        <w:tc>
          <w:tcPr>
            <w:tcW w:type="dxa" w:w="3600"/>
          </w:tcPr>
          <w:p/>
        </w:tc>
        <w:tc>
          <w:tcPr>
            <w:tcW w:type="dxa" w:w="1872"/>
          </w:tcPr>
          <w:p/>
        </w:tc>
        <w:tc>
          <w:tcPr>
            <w:tcW w:type="dxa" w:w="2880"/>
          </w:tcPr>
          <w:p/>
        </w:tc>
        <w:tc>
          <w:tcPr>
            <w:tcW w:type="dxa" w:w="2880"/>
          </w:tcPr>
          <w:p/>
        </w:tc>
      </w:tr>
      <w:tr>
        <w:tc>
          <w:tcPr>
            <w:tcW w:type="dxa" w:w="3600"/>
          </w:tcPr>
          <w:p/>
        </w:tc>
        <w:tc>
          <w:tcPr>
            <w:tcW w:type="dxa" w:w="1872"/>
          </w:tcPr>
          <w:p/>
        </w:tc>
        <w:tc>
          <w:tcPr>
            <w:tcW w:type="dxa" w:w="2880"/>
          </w:tcPr>
          <w:p/>
        </w:tc>
        <w:tc>
          <w:tcPr>
            <w:tcW w:type="dxa" w:w="2880"/>
          </w:tcPr>
          <w:p/>
        </w:tc>
      </w:tr>
      <w:tr>
        <w:tc>
          <w:tcPr>
            <w:tcW w:type="dxa" w:w="3600"/>
          </w:tcPr>
          <w:p>
            <w:r>
              <w:rPr>
                <w:sz w:val="18"/>
              </w:rPr>
              <w:t>Interest Coverage (EBIT basis)</w:t>
            </w:r>
          </w:p>
        </w:tc>
        <w:tc>
          <w:tcPr>
            <w:tcW w:type="dxa" w:w="1872"/>
          </w:tcPr>
          <w:p>
            <w:r>
              <w:rPr>
                <w:sz w:val="18"/>
              </w:rPr>
              <w:t>~18x</w:t>
            </w:r>
          </w:p>
        </w:tc>
        <w:tc>
          <w:tcPr>
            <w:tcW w:type="dxa" w:w="2880"/>
          </w:tcPr>
          <w:p>
            <w:r>
              <w:rPr>
                <w:sz w:val="18"/>
              </w:rPr>
              <w:t>EBIT / Interest expense</w:t>
            </w:r>
          </w:p>
        </w:tc>
        <w:tc>
          <w:tcPr>
            <w:tcW w:type="dxa" w:w="2880"/>
          </w:tcPr>
          <w:p>
            <w:r>
              <w:rPr>
                <w:sz w:val="18"/>
              </w:rPr>
              <w:t>Very strong; investment grade</w:t>
            </w:r>
          </w:p>
        </w:tc>
      </w:tr>
      <w:tr>
        <w:tc>
          <w:tcPr>
            <w:tcW w:type="dxa" w:w="3600"/>
          </w:tcPr>
          <w:p>
            <w:r>
              <w:rPr>
                <w:sz w:val="18"/>
              </w:rPr>
              <w:t>Debt Service Coverage (DSCR)</w:t>
            </w:r>
          </w:p>
        </w:tc>
        <w:tc>
          <w:tcPr>
            <w:tcW w:type="dxa" w:w="1872"/>
          </w:tcPr>
          <w:p>
            <w:r>
              <w:rPr>
                <w:sz w:val="18"/>
              </w:rPr>
              <w:t>~4x</w:t>
            </w:r>
          </w:p>
        </w:tc>
        <w:tc>
          <w:tcPr>
            <w:tcW w:type="dxa" w:w="2880"/>
          </w:tcPr>
          <w:p>
            <w:r>
              <w:rPr>
                <w:sz w:val="18"/>
              </w:rPr>
              <w:t>CFADS / (Interest + Principal)</w:t>
            </w:r>
          </w:p>
        </w:tc>
        <w:tc>
          <w:tcPr>
            <w:tcW w:type="dxa" w:w="2880"/>
          </w:tcPr>
          <w:p>
            <w:r>
              <w:rPr>
                <w:sz w:val="18"/>
              </w:rPr>
              <w:t>Measures ability to service all debt</w:t>
            </w:r>
          </w:p>
        </w:tc>
      </w:tr>
      <w:tr>
        <w:tc>
          <w:tcPr>
            <w:tcW w:type="dxa" w:w="3600"/>
          </w:tcPr>
          <w:p>
            <w:r>
              <w:rPr>
                <w:sz w:val="18"/>
              </w:rPr>
              <w:t>Fixed Charge Coverage (FCCR)</w:t>
            </w:r>
          </w:p>
        </w:tc>
        <w:tc>
          <w:tcPr>
            <w:tcW w:type="dxa" w:w="1872"/>
          </w:tcPr>
          <w:p>
            <w:r>
              <w:rPr>
                <w:sz w:val="18"/>
              </w:rPr>
              <w:t>~3.5x</w:t>
            </w:r>
          </w:p>
        </w:tc>
        <w:tc>
          <w:tcPr>
            <w:tcW w:type="dxa" w:w="2880"/>
          </w:tcPr>
          <w:p>
            <w:r>
              <w:rPr>
                <w:sz w:val="18"/>
              </w:rPr>
              <w:t>EBIT / (Interest + Leases + Sinking fund)</w:t>
            </w:r>
          </w:p>
        </w:tc>
        <w:tc>
          <w:tcPr>
            <w:tcW w:type="dxa" w:w="2880"/>
          </w:tcPr>
          <w:p>
            <w:r>
              <w:rPr>
                <w:sz w:val="18"/>
              </w:rPr>
              <w:t>Includes all fixed obligations</w:t>
            </w:r>
          </w:p>
        </w:tc>
      </w:tr>
    </w:tbl>
    <w:p/>
    <w:p>
      <w:r>
        <w:rPr>
          <w:b w:val="0"/>
          <w:i w:val="0"/>
          <w:sz w:val="20"/>
        </w:rPr>
        <w:t>All three coverage ratios comfortably exceed typical investment-grade thresholds (DSCR &gt; 1.25x, FCCR &gt; 1.5x). NIKE's A1/AA- ratings are well-supported by these metrics.</w:t>
      </w:r>
    </w:p>
    <w:p>
      <w:r>
        <w:br w:type="page"/>
      </w:r>
    </w:p>
    <w:p>
      <w:pPr>
        <w:pStyle w:val="Heading1"/>
      </w:pPr>
      <w:r>
        <w:t>PART X — Chart Data Sections (Rows 108–165)</w:t>
      </w:r>
    </w:p>
    <w:p>
      <w:pPr>
        <w:pStyle w:val="Heading2"/>
      </w:pPr>
      <w:r>
        <w:t>10.1  Question 5 Chart Data (Rows 108–130)</w:t>
      </w:r>
    </w:p>
    <w:p>
      <w:r>
        <w:rPr>
          <w:b w:val="0"/>
          <w:i w:val="0"/>
          <w:sz w:val="20"/>
        </w:rPr>
        <w:t>Rows 108–130 contain pre-computed chart data series for the Q5 visualisation (a 17-year chart covering FY2015–FY2031). This section is separate from the core model and exists purely to feed charts with consistently-scaled values.</w:t>
      </w:r>
    </w:p>
    <w:tbl>
      <w:tblPr>
        <w:tblStyle w:val="LightList-Accent1"/>
        <w:tblW w:type="auto" w:w="0"/>
        <w:tblLook w:firstColumn="1" w:firstRow="1" w:lastColumn="0" w:lastRow="0" w:noHBand="0" w:noVBand="1" w:val="04A0"/>
      </w:tblPr>
      <w:tblGrid>
        <w:gridCol w:w="2160"/>
        <w:gridCol w:w="2160"/>
        <w:gridCol w:w="2160"/>
        <w:gridCol w:w="2160"/>
      </w:tblGrid>
      <w:tr>
        <w:tc>
          <w:tcPr>
            <w:tcW w:type="dxa" w:w="1008"/>
          </w:tcPr>
          <w:p>
            <w:r>
              <w:rPr>
                <w:b/>
                <w:sz w:val="18"/>
              </w:rPr>
              <w:t>Row</w:t>
            </w:r>
          </w:p>
        </w:tc>
        <w:tc>
          <w:tcPr>
            <w:tcW w:type="dxa" w:w="2880"/>
          </w:tcPr>
          <w:p>
            <w:r>
              <w:rPr>
                <w:b/>
                <w:sz w:val="18"/>
              </w:rPr>
              <w:t>Series</w:t>
            </w:r>
          </w:p>
        </w:tc>
        <w:tc>
          <w:tcPr>
            <w:tcW w:type="dxa" w:w="2880"/>
          </w:tcPr>
          <w:p>
            <w:r>
              <w:rPr>
                <w:b/>
                <w:sz w:val="18"/>
              </w:rPr>
              <w:t>Unit Conversion</w:t>
            </w:r>
          </w:p>
        </w:tc>
        <w:tc>
          <w:tcPr>
            <w:tcW w:type="dxa" w:w="3600"/>
          </w:tcPr>
          <w:p>
            <w:r>
              <w:rPr>
                <w:b/>
                <w:sz w:val="18"/>
              </w:rPr>
              <w:t>Range Covered</w:t>
            </w:r>
          </w:p>
        </w:tc>
      </w:tr>
      <w:tr>
        <w:tc>
          <w:tcPr>
            <w:tcW w:type="dxa" w:w="1008"/>
          </w:tcPr>
          <w:p/>
        </w:tc>
        <w:tc>
          <w:tcPr>
            <w:tcW w:type="dxa" w:w="2880"/>
          </w:tcPr>
          <w:p/>
        </w:tc>
        <w:tc>
          <w:tcPr>
            <w:tcW w:type="dxa" w:w="2880"/>
          </w:tcPr>
          <w:p/>
        </w:tc>
        <w:tc>
          <w:tcPr>
            <w:tcW w:type="dxa" w:w="3600"/>
          </w:tcPr>
          <w:p/>
        </w:tc>
      </w:tr>
      <w:tr>
        <w:tc>
          <w:tcPr>
            <w:tcW w:type="dxa" w:w="1008"/>
          </w:tcPr>
          <w:p/>
        </w:tc>
        <w:tc>
          <w:tcPr>
            <w:tcW w:type="dxa" w:w="2880"/>
          </w:tcPr>
          <w:p/>
        </w:tc>
        <w:tc>
          <w:tcPr>
            <w:tcW w:type="dxa" w:w="2880"/>
          </w:tcPr>
          <w:p/>
        </w:tc>
        <w:tc>
          <w:tcPr>
            <w:tcW w:type="dxa" w:w="3600"/>
          </w:tcPr>
          <w:p/>
        </w:tc>
      </w:tr>
      <w:tr>
        <w:tc>
          <w:tcPr>
            <w:tcW w:type="dxa" w:w="1008"/>
          </w:tcPr>
          <w:p/>
        </w:tc>
        <w:tc>
          <w:tcPr>
            <w:tcW w:type="dxa" w:w="2880"/>
          </w:tcPr>
          <w:p/>
        </w:tc>
        <w:tc>
          <w:tcPr>
            <w:tcW w:type="dxa" w:w="2880"/>
          </w:tcPr>
          <w:p/>
        </w:tc>
        <w:tc>
          <w:tcPr>
            <w:tcW w:type="dxa" w:w="3600"/>
          </w:tcPr>
          <w:p/>
        </w:tc>
      </w:tr>
      <w:tr>
        <w:tc>
          <w:tcPr>
            <w:tcW w:type="dxa" w:w="1008"/>
          </w:tcPr>
          <w:p/>
        </w:tc>
        <w:tc>
          <w:tcPr>
            <w:tcW w:type="dxa" w:w="2880"/>
          </w:tcPr>
          <w:p/>
        </w:tc>
        <w:tc>
          <w:tcPr>
            <w:tcW w:type="dxa" w:w="2880"/>
          </w:tcPr>
          <w:p/>
        </w:tc>
        <w:tc>
          <w:tcPr>
            <w:tcW w:type="dxa" w:w="3600"/>
          </w:tcPr>
          <w:p/>
        </w:tc>
      </w:tr>
      <w:tr>
        <w:tc>
          <w:tcPr>
            <w:tcW w:type="dxa" w:w="1008"/>
          </w:tcPr>
          <w:p>
            <w:r>
              <w:rPr>
                <w:sz w:val="18"/>
              </w:rPr>
              <w:t>~108</w:t>
            </w:r>
          </w:p>
        </w:tc>
        <w:tc>
          <w:tcPr>
            <w:tcW w:type="dxa" w:w="2880"/>
          </w:tcPr>
          <w:p>
            <w:r>
              <w:rPr>
                <w:sz w:val="18"/>
              </w:rPr>
              <w:t>Revenue (billions)</w:t>
            </w:r>
          </w:p>
        </w:tc>
        <w:tc>
          <w:tcPr>
            <w:tcW w:type="dxa" w:w="2880"/>
          </w:tcPr>
          <w:p>
            <w:r>
              <w:rPr>
                <w:sz w:val="18"/>
              </w:rPr>
              <w:t>÷ 10^6 (thousands to billions)</w:t>
            </w:r>
          </w:p>
        </w:tc>
        <w:tc>
          <w:tcPr>
            <w:tcW w:type="dxa" w:w="3600"/>
          </w:tcPr>
          <w:p>
            <w:r>
              <w:rPr>
                <w:sz w:val="18"/>
              </w:rPr>
              <w:t>FY2015–FY2031 all years</w:t>
            </w:r>
          </w:p>
        </w:tc>
      </w:tr>
      <w:tr>
        <w:tc>
          <w:tcPr>
            <w:tcW w:type="dxa" w:w="1008"/>
          </w:tcPr>
          <w:p>
            <w:r>
              <w:rPr>
                <w:sz w:val="18"/>
              </w:rPr>
              <w:t>~109</w:t>
            </w:r>
          </w:p>
        </w:tc>
        <w:tc>
          <w:tcPr>
            <w:tcW w:type="dxa" w:w="2880"/>
          </w:tcPr>
          <w:p>
            <w:r>
              <w:rPr>
                <w:sz w:val="18"/>
              </w:rPr>
              <w:t>COGS (billions)</w:t>
            </w:r>
          </w:p>
        </w:tc>
        <w:tc>
          <w:tcPr>
            <w:tcW w:type="dxa" w:w="2880"/>
          </w:tcPr>
          <w:p>
            <w:r>
              <w:rPr>
                <w:sz w:val="18"/>
              </w:rPr>
              <w:t>÷ 10^6</w:t>
            </w:r>
          </w:p>
        </w:tc>
        <w:tc>
          <w:tcPr>
            <w:tcW w:type="dxa" w:w="3600"/>
          </w:tcPr>
          <w:p>
            <w:r>
              <w:rPr>
                <w:sz w:val="18"/>
              </w:rPr>
              <w:t>FY2015–FY2031</w:t>
            </w:r>
          </w:p>
        </w:tc>
      </w:tr>
      <w:tr>
        <w:tc>
          <w:tcPr>
            <w:tcW w:type="dxa" w:w="1008"/>
          </w:tcPr>
          <w:p>
            <w:r>
              <w:rPr>
                <w:sz w:val="18"/>
              </w:rPr>
              <w:t>~110</w:t>
            </w:r>
          </w:p>
        </w:tc>
        <w:tc>
          <w:tcPr>
            <w:tcW w:type="dxa" w:w="2880"/>
          </w:tcPr>
          <w:p>
            <w:r>
              <w:rPr>
                <w:sz w:val="18"/>
              </w:rPr>
              <w:t>Net Income (billions)</w:t>
            </w:r>
          </w:p>
        </w:tc>
        <w:tc>
          <w:tcPr>
            <w:tcW w:type="dxa" w:w="2880"/>
          </w:tcPr>
          <w:p>
            <w:r>
              <w:rPr>
                <w:sz w:val="18"/>
              </w:rPr>
              <w:t>÷ 10^6</w:t>
            </w:r>
          </w:p>
        </w:tc>
        <w:tc>
          <w:tcPr>
            <w:tcW w:type="dxa" w:w="3600"/>
          </w:tcPr>
          <w:p>
            <w:r>
              <w:rPr>
                <w:sz w:val="18"/>
              </w:rPr>
              <w:t>FY2015–FY2031</w:t>
            </w:r>
          </w:p>
        </w:tc>
      </w:tr>
      <w:tr>
        <w:tc>
          <w:tcPr>
            <w:tcW w:type="dxa" w:w="1008"/>
          </w:tcPr>
          <w:p>
            <w:r>
              <w:rPr>
                <w:sz w:val="18"/>
              </w:rPr>
              <w:t>~115</w:t>
            </w:r>
          </w:p>
        </w:tc>
        <w:tc>
          <w:tcPr>
            <w:tcW w:type="dxa" w:w="2880"/>
          </w:tcPr>
          <w:p>
            <w:r>
              <w:rPr>
                <w:sz w:val="18"/>
              </w:rPr>
              <w:t>FCF (billions)</w:t>
            </w:r>
          </w:p>
        </w:tc>
        <w:tc>
          <w:tcPr>
            <w:tcW w:type="dxa" w:w="2880"/>
          </w:tcPr>
          <w:p>
            <w:r>
              <w:rPr>
                <w:sz w:val="18"/>
              </w:rPr>
              <w:t>÷ 10^6</w:t>
            </w:r>
          </w:p>
        </w:tc>
        <w:tc>
          <w:tcPr>
            <w:tcW w:type="dxa" w:w="3600"/>
          </w:tcPr>
          <w:p>
            <w:r>
              <w:rPr>
                <w:sz w:val="18"/>
              </w:rPr>
              <w:t>Forecast years only (FY2025–FY2031); historical rows blank</w:t>
            </w:r>
          </w:p>
        </w:tc>
      </w:tr>
    </w:tbl>
    <w:p/>
    <w:p>
      <w:r>
        <w:rPr>
          <w:b w:val="0"/>
          <w:i w:val="0"/>
          <w:sz w:val="20"/>
        </w:rPr>
        <w:t>The conversion from the model's thousands-denomination to billions (dividing by 10^6) is done in this chart data section so the Y-axis labels are readable. Note that FCF is only charted for forecast years — this is because the historical FCF requires the Q1 definition which is not backfilled here.</w:t>
      </w:r>
    </w:p>
    <w:p>
      <w:pPr>
        <w:pStyle w:val="Heading2"/>
      </w:pPr>
      <w:r>
        <w:t>10.2  Question 6 FCF Components Chart Data (Rows 133–165)</w:t>
      </w:r>
    </w:p>
    <w:p>
      <w:r>
        <w:rPr>
          <w:b w:val="0"/>
          <w:i w:val="0"/>
          <w:sz w:val="20"/>
        </w:rPr>
        <w:t>Rows 133–165 contain the FCF component breakdown for forecast years only, expressed in $100,000s (÷ 10^5 from the model's thousands base = ÷ 10^2 effectively). This allows the stacked bar chart for the FCF waterfall.</w:t>
      </w:r>
    </w:p>
    <w:tbl>
      <w:tblPr>
        <w:tblStyle w:val="LightList-Accent1"/>
        <w:tblW w:type="auto" w:w="0"/>
        <w:tblLook w:firstColumn="1" w:firstRow="1" w:lastColumn="0" w:lastRow="0" w:noHBand="0" w:noVBand="1" w:val="04A0"/>
      </w:tblPr>
      <w:tblGrid>
        <w:gridCol w:w="2880"/>
        <w:gridCol w:w="2880"/>
        <w:gridCol w:w="2880"/>
      </w:tblGrid>
      <w:tr>
        <w:tc>
          <w:tcPr>
            <w:tcW w:type="dxa" w:w="1008"/>
          </w:tcPr>
          <w:p>
            <w:r>
              <w:rPr>
                <w:b/>
                <w:sz w:val="18"/>
              </w:rPr>
              <w:t>Row</w:t>
            </w:r>
          </w:p>
        </w:tc>
        <w:tc>
          <w:tcPr>
            <w:tcW w:type="dxa" w:w="3600"/>
          </w:tcPr>
          <w:p>
            <w:r>
              <w:rPr>
                <w:b/>
                <w:sz w:val="18"/>
              </w:rPr>
              <w:t>Component</w:t>
            </w:r>
          </w:p>
        </w:tc>
        <w:tc>
          <w:tcPr>
            <w:tcW w:type="dxa" w:w="4320"/>
          </w:tcPr>
          <w:p>
            <w:r>
              <w:rPr>
                <w:b/>
                <w:sz w:val="18"/>
              </w:rPr>
              <w:t>Sign Convention</w:t>
            </w:r>
          </w:p>
        </w:tc>
      </w:tr>
      <w:tr>
        <w:tc>
          <w:tcPr>
            <w:tcW w:type="dxa" w:w="1008"/>
          </w:tcPr>
          <w:p/>
        </w:tc>
        <w:tc>
          <w:tcPr>
            <w:tcW w:type="dxa" w:w="3600"/>
          </w:tcPr>
          <w:p/>
        </w:tc>
        <w:tc>
          <w:tcPr>
            <w:tcW w:type="dxa" w:w="4320"/>
          </w:tcPr>
          <w:p/>
        </w:tc>
      </w:tr>
      <w:tr>
        <w:tc>
          <w:tcPr>
            <w:tcW w:type="dxa" w:w="1008"/>
          </w:tcPr>
          <w:p/>
        </w:tc>
        <w:tc>
          <w:tcPr>
            <w:tcW w:type="dxa" w:w="3600"/>
          </w:tcPr>
          <w:p/>
        </w:tc>
        <w:tc>
          <w:tcPr>
            <w:tcW w:type="dxa" w:w="4320"/>
          </w:tcPr>
          <w:p/>
        </w:tc>
      </w:tr>
      <w:tr>
        <w:tc>
          <w:tcPr>
            <w:tcW w:type="dxa" w:w="1008"/>
          </w:tcPr>
          <w:p/>
        </w:tc>
        <w:tc>
          <w:tcPr>
            <w:tcW w:type="dxa" w:w="3600"/>
          </w:tcPr>
          <w:p/>
        </w:tc>
        <w:tc>
          <w:tcPr>
            <w:tcW w:type="dxa" w:w="4320"/>
          </w:tcPr>
          <w:p/>
        </w:tc>
      </w:tr>
      <w:tr>
        <w:tc>
          <w:tcPr>
            <w:tcW w:type="dxa" w:w="1008"/>
          </w:tcPr>
          <w:p/>
        </w:tc>
        <w:tc>
          <w:tcPr>
            <w:tcW w:type="dxa" w:w="3600"/>
          </w:tcPr>
          <w:p/>
        </w:tc>
        <w:tc>
          <w:tcPr>
            <w:tcW w:type="dxa" w:w="4320"/>
          </w:tcPr>
          <w:p/>
        </w:tc>
      </w:tr>
      <w:tr>
        <w:tc>
          <w:tcPr>
            <w:tcW w:type="dxa" w:w="1008"/>
          </w:tcPr>
          <w:p/>
        </w:tc>
        <w:tc>
          <w:tcPr>
            <w:tcW w:type="dxa" w:w="3600"/>
          </w:tcPr>
          <w:p/>
        </w:tc>
        <w:tc>
          <w:tcPr>
            <w:tcW w:type="dxa" w:w="4320"/>
          </w:tcPr>
          <w:p/>
        </w:tc>
      </w:tr>
      <w:tr>
        <w:tc>
          <w:tcPr>
            <w:tcW w:type="dxa" w:w="1008"/>
          </w:tcPr>
          <w:p/>
        </w:tc>
        <w:tc>
          <w:tcPr>
            <w:tcW w:type="dxa" w:w="3600"/>
          </w:tcPr>
          <w:p/>
        </w:tc>
        <w:tc>
          <w:tcPr>
            <w:tcW w:type="dxa" w:w="4320"/>
          </w:tcPr>
          <w:p/>
        </w:tc>
      </w:tr>
      <w:tr>
        <w:tc>
          <w:tcPr>
            <w:tcW w:type="dxa" w:w="1008"/>
          </w:tcPr>
          <w:p>
            <w:r>
              <w:rPr>
                <w:sz w:val="18"/>
              </w:rPr>
              <w:t>~133</w:t>
            </w:r>
          </w:p>
        </w:tc>
        <w:tc>
          <w:tcPr>
            <w:tcW w:type="dxa" w:w="3600"/>
          </w:tcPr>
          <w:p>
            <w:r>
              <w:rPr>
                <w:sz w:val="18"/>
              </w:rPr>
              <w:t>Net Income</w:t>
            </w:r>
          </w:p>
        </w:tc>
        <w:tc>
          <w:tcPr>
            <w:tcW w:type="dxa" w:w="4320"/>
          </w:tcPr>
          <w:p>
            <w:r>
              <w:rPr>
                <w:sz w:val="18"/>
              </w:rPr>
              <w:t>Positive bar</w:t>
            </w:r>
          </w:p>
        </w:tc>
      </w:tr>
      <w:tr>
        <w:tc>
          <w:tcPr>
            <w:tcW w:type="dxa" w:w="1008"/>
          </w:tcPr>
          <w:p>
            <w:r>
              <w:rPr>
                <w:sz w:val="18"/>
              </w:rPr>
              <w:t>~137</w:t>
            </w:r>
          </w:p>
        </w:tc>
        <w:tc>
          <w:tcPr>
            <w:tcW w:type="dxa" w:w="3600"/>
          </w:tcPr>
          <w:p>
            <w:r>
              <w:rPr>
                <w:sz w:val="18"/>
              </w:rPr>
              <w:t>D&amp;A</w:t>
            </w:r>
          </w:p>
        </w:tc>
        <w:tc>
          <w:tcPr>
            <w:tcW w:type="dxa" w:w="4320"/>
          </w:tcPr>
          <w:p>
            <w:r>
              <w:rPr>
                <w:sz w:val="18"/>
              </w:rPr>
              <w:t>Positive bar (add-back)</w:t>
            </w:r>
          </w:p>
        </w:tc>
      </w:tr>
      <w:tr>
        <w:tc>
          <w:tcPr>
            <w:tcW w:type="dxa" w:w="1008"/>
          </w:tcPr>
          <w:p>
            <w:r>
              <w:rPr>
                <w:sz w:val="18"/>
              </w:rPr>
              <w:t>~141</w:t>
            </w:r>
          </w:p>
        </w:tc>
        <w:tc>
          <w:tcPr>
            <w:tcW w:type="dxa" w:w="3600"/>
          </w:tcPr>
          <w:p>
            <w:r>
              <w:rPr>
                <w:sz w:val="18"/>
              </w:rPr>
              <w:t>Capital Expenditure</w:t>
            </w:r>
          </w:p>
        </w:tc>
        <w:tc>
          <w:tcPr>
            <w:tcW w:type="dxa" w:w="4320"/>
          </w:tcPr>
          <w:p>
            <w:r>
              <w:rPr>
                <w:sz w:val="18"/>
              </w:rPr>
              <w:t>Negative bar (cash outflow)</w:t>
            </w:r>
          </w:p>
        </w:tc>
      </w:tr>
      <w:tr>
        <w:tc>
          <w:tcPr>
            <w:tcW w:type="dxa" w:w="1008"/>
          </w:tcPr>
          <w:p>
            <w:r>
              <w:rPr>
                <w:sz w:val="18"/>
              </w:rPr>
              <w:t>~145</w:t>
            </w:r>
          </w:p>
        </w:tc>
        <w:tc>
          <w:tcPr>
            <w:tcW w:type="dxa" w:w="3600"/>
          </w:tcPr>
          <w:p>
            <w:r>
              <w:rPr>
                <w:sz w:val="18"/>
              </w:rPr>
              <w:t>Δ Net Working Capital</w:t>
            </w:r>
          </w:p>
        </w:tc>
        <w:tc>
          <w:tcPr>
            <w:tcW w:type="dxa" w:w="4320"/>
          </w:tcPr>
          <w:p>
            <w:r>
              <w:rPr>
                <w:sz w:val="18"/>
              </w:rPr>
              <w:t>Negative if WC increases</w:t>
            </w:r>
          </w:p>
        </w:tc>
      </w:tr>
      <w:tr>
        <w:tc>
          <w:tcPr>
            <w:tcW w:type="dxa" w:w="1008"/>
          </w:tcPr>
          <w:p>
            <w:r>
              <w:rPr>
                <w:sz w:val="18"/>
              </w:rPr>
              <w:t>~149</w:t>
            </w:r>
          </w:p>
        </w:tc>
        <w:tc>
          <w:tcPr>
            <w:tcW w:type="dxa" w:w="3600"/>
          </w:tcPr>
          <w:p>
            <w:r>
              <w:rPr>
                <w:sz w:val="18"/>
              </w:rPr>
              <w:t>After-tax Interest</w:t>
            </w:r>
          </w:p>
        </w:tc>
        <w:tc>
          <w:tcPr>
            <w:tcW w:type="dxa" w:w="4320"/>
          </w:tcPr>
          <w:p>
            <w:r>
              <w:rPr>
                <w:sz w:val="18"/>
              </w:rPr>
              <w:t>Positive (re-addition for unlevered FCF)</w:t>
            </w:r>
          </w:p>
        </w:tc>
      </w:tr>
      <w:tr>
        <w:tc>
          <w:tcPr>
            <w:tcW w:type="dxa" w:w="1008"/>
          </w:tcPr>
          <w:p>
            <w:r>
              <w:rPr>
                <w:sz w:val="18"/>
              </w:rPr>
              <w:t>~153</w:t>
            </w:r>
          </w:p>
        </w:tc>
        <w:tc>
          <w:tcPr>
            <w:tcW w:type="dxa" w:w="3600"/>
          </w:tcPr>
          <w:p>
            <w:r>
              <w:rPr>
                <w:sz w:val="18"/>
              </w:rPr>
              <w:t>Total FCF</w:t>
            </w:r>
          </w:p>
        </w:tc>
        <w:tc>
          <w:tcPr>
            <w:tcW w:type="dxa" w:w="4320"/>
          </w:tcPr>
          <w:p>
            <w:r>
              <w:rPr>
                <w:sz w:val="18"/>
              </w:rPr>
              <w:t>Sum; the final bar in waterfall</w:t>
            </w:r>
          </w:p>
        </w:tc>
      </w:tr>
    </w:tbl>
    <w:p/>
    <w:p>
      <w:r>
        <w:rPr>
          <w:b w:val="0"/>
          <w:i w:val="0"/>
          <w:sz w:val="20"/>
        </w:rPr>
        <w:t>Each row sources from the Q1 FCF build-up section (rows ~217–260). The ÷10^5 scaling makes the chart values in $100,000s (0.1 of a million), which displays as low single-digit numbers — unusual for a company of NIKE's size. Chart Y-axis would need labelling as '× $100,000' or '$0.1bn per unit'.</w:t>
      </w:r>
    </w:p>
    <w:p>
      <w:r>
        <w:br w:type="page"/>
      </w:r>
    </w:p>
    <w:p>
      <w:pPr>
        <w:pStyle w:val="Heading1"/>
      </w:pPr>
      <w:r>
        <w:t>PART XI — Formula Bugs and Model Quirks</w:t>
      </w:r>
    </w:p>
    <w:p>
      <w:pPr>
        <w:pStyle w:val="Heading2"/>
      </w:pPr>
      <w:r>
        <w:t>11.1  Confirmed Formula Bugs</w:t>
      </w:r>
    </w:p>
    <w:p>
      <w:pPr>
        <w:ind w:left="432"/>
      </w:pPr>
      <w:r>
        <w:rPr>
          <w:b/>
          <w:color w:val="C0390B"/>
          <w:sz w:val="18"/>
        </w:rPr>
        <w:t>[BUGS]  These are not modelling assumptions — they are formula errors that produce incorrect numerical results. Each has been verified by inspecting the raw cell formulas in fullsheet.txt.</w:t>
      </w:r>
    </w:p>
    <w:p>
      <w:r>
        <w:rPr>
          <w:b/>
          <w:i w:val="0"/>
          <w:sz w:val="20"/>
        </w:rPr>
        <w:t>Bug 1: CFADS Non-Absolute Tax Rate Reference (Rows 260–261)</w:t>
      </w:r>
    </w:p>
    <w:p>
      <w:r>
        <w:rPr>
          <w:b w:val="0"/>
          <w:i w:val="0"/>
          <w:sz w:val="20"/>
        </w:rPr>
        <w:t>Severity: HIGH — affects 8 of 10 historical CFADS data points.</w:t>
        <w:br/>
        <w:t>Description: Column C (FY2015) uses absolute $R$25 for the tax rate; columns D through K (FY2016–FY2024) use relative references S25, T25... which are EMPTY cells. Result: historical CFADS uses 0% tax rate.</w:t>
        <w:br/>
        <w:t>Impact: CFADS overstated by approximately EBIT × 21% per year (≈ $1,100–$1,400m per year at current EBIT levels).</w:t>
        <w:br/>
        <w:t>Fix: Replace all relative rate references with $R$25 (or whichever cell stores the normalised tax rate).</w:t>
      </w:r>
    </w:p>
    <w:p>
      <w:r>
        <w:rPr>
          <w:b/>
          <w:i w:val="0"/>
          <w:sz w:val="20"/>
        </w:rPr>
        <w:t>Bug 2: L220 Equity Raisings Formula Anomaly (Row 220)</w:t>
      </w:r>
    </w:p>
    <w:p>
      <w:r>
        <w:rPr>
          <w:b w:val="0"/>
          <w:i w:val="0"/>
          <w:sz w:val="20"/>
        </w:rPr>
        <w:t>Severity: LOW — numerical impact is ~$0.4m.</w:t>
        <w:br/>
        <w:t>Description: L220 (FY2025 equity raisings in the financing section) = L459 + L324. L324 = -0.4 (the payout ratio coefficient, a rate, not dollars). All other forecast cells (M220, N220, etc.) = just the corresponding row 459 value. Adding a fractional rate to a dollar flow is dimensionally incorrect.</w:t>
        <w:br/>
        <w:t>Fix: L220 should = L459 only (consistent with M220 = M459 etc).</w:t>
      </w:r>
    </w:p>
    <w:p>
      <w:r>
        <w:rPr>
          <w:b/>
          <w:i w:val="0"/>
          <w:sz w:val="20"/>
        </w:rPr>
        <w:t>Bug 3: Long-term Debt One-Year Lag for FY2025 (Row 528)</w:t>
      </w:r>
    </w:p>
    <w:p>
      <w:r>
        <w:rPr>
          <w:b w:val="0"/>
          <w:i w:val="0"/>
          <w:sz w:val="20"/>
        </w:rPr>
        <w:t>Severity: LOW — only affects FY2025; FY2026+ are correct.</w:t>
        <w:br/>
        <w:t>Description: L528 = K518 × K323 (uses PRIOR year total assets). All subsequent years M528–R528 use current-year total assets. This makes FY2025 LT debt based on FY2024 assets, not FY2025.</w:t>
        <w:br/>
        <w:t>Fix: L528 should = L518 × L323.</w:t>
      </w:r>
    </w:p>
    <w:p>
      <w:pPr>
        <w:pStyle w:val="Heading2"/>
      </w:pPr>
      <w:r>
        <w:t>11.2  Intentional Hard-Codes and Freezes</w:t>
      </w:r>
    </w:p>
    <w:p>
      <w:r>
        <w:rPr>
          <w:b w:val="0"/>
          <w:i w:val="0"/>
          <w:sz w:val="20"/>
        </w:rPr>
        <w:t>These are deliberate analyst choices, not bugs, but should be documented so future users don't mistake them for live formulas:</w:t>
      </w:r>
    </w:p>
    <w:tbl>
      <w:tblPr>
        <w:tblStyle w:val="LightList-Accent1"/>
        <w:tblW w:type="auto" w:w="0"/>
        <w:tblLook w:firstColumn="1" w:firstRow="1" w:lastColumn="0" w:lastRow="0" w:noHBand="0" w:noVBand="1" w:val="04A0"/>
      </w:tblPr>
      <w:tblGrid>
        <w:gridCol w:w="2160"/>
        <w:gridCol w:w="2160"/>
        <w:gridCol w:w="2160"/>
        <w:gridCol w:w="2160"/>
      </w:tblGrid>
      <w:tr>
        <w:tc>
          <w:tcPr>
            <w:tcW w:type="dxa" w:w="1728"/>
          </w:tcPr>
          <w:p>
            <w:r>
              <w:rPr>
                <w:b/>
                <w:sz w:val="18"/>
              </w:rPr>
              <w:t>Row</w:t>
            </w:r>
          </w:p>
        </w:tc>
        <w:tc>
          <w:tcPr>
            <w:tcW w:type="dxa" w:w="2880"/>
          </w:tcPr>
          <w:p>
            <w:r>
              <w:rPr>
                <w:b/>
                <w:sz w:val="18"/>
              </w:rPr>
              <w:t>Item</w:t>
            </w:r>
          </w:p>
        </w:tc>
        <w:tc>
          <w:tcPr>
            <w:tcW w:type="dxa" w:w="1872"/>
          </w:tcPr>
          <w:p>
            <w:r>
              <w:rPr>
                <w:b/>
                <w:sz w:val="18"/>
              </w:rPr>
              <w:t>Hard-Coded Value</w:t>
            </w:r>
          </w:p>
        </w:tc>
        <w:tc>
          <w:tcPr>
            <w:tcW w:type="dxa" w:w="3600"/>
          </w:tcPr>
          <w:p>
            <w:r>
              <w:rPr>
                <w:b/>
                <w:sz w:val="18"/>
              </w:rPr>
              <w:t>Rationale</w:t>
            </w:r>
          </w:p>
        </w:tc>
      </w:tr>
      <w:tr>
        <w:tc>
          <w:tcPr>
            <w:tcW w:type="dxa" w:w="1728"/>
          </w:tcPr>
          <w:p/>
        </w:tc>
        <w:tc>
          <w:tcPr>
            <w:tcW w:type="dxa" w:w="2880"/>
          </w:tcPr>
          <w:p/>
        </w:tc>
        <w:tc>
          <w:tcPr>
            <w:tcW w:type="dxa" w:w="1872"/>
          </w:tcPr>
          <w:p/>
        </w:tc>
        <w:tc>
          <w:tcPr>
            <w:tcW w:type="dxa" w:w="3600"/>
          </w:tcPr>
          <w:p/>
        </w:tc>
      </w:tr>
      <w:tr>
        <w:tc>
          <w:tcPr>
            <w:tcW w:type="dxa" w:w="1728"/>
          </w:tcPr>
          <w:p/>
        </w:tc>
        <w:tc>
          <w:tcPr>
            <w:tcW w:type="dxa" w:w="2880"/>
          </w:tcPr>
          <w:p/>
        </w:tc>
        <w:tc>
          <w:tcPr>
            <w:tcW w:type="dxa" w:w="1872"/>
          </w:tcPr>
          <w:p/>
        </w:tc>
        <w:tc>
          <w:tcPr>
            <w:tcW w:type="dxa" w:w="3600"/>
          </w:tcPr>
          <w:p/>
        </w:tc>
      </w:tr>
      <w:tr>
        <w:tc>
          <w:tcPr>
            <w:tcW w:type="dxa" w:w="1728"/>
          </w:tcPr>
          <w:p/>
        </w:tc>
        <w:tc>
          <w:tcPr>
            <w:tcW w:type="dxa" w:w="2880"/>
          </w:tcPr>
          <w:p/>
        </w:tc>
        <w:tc>
          <w:tcPr>
            <w:tcW w:type="dxa" w:w="1872"/>
          </w:tcPr>
          <w:p/>
        </w:tc>
        <w:tc>
          <w:tcPr>
            <w:tcW w:type="dxa" w:w="3600"/>
          </w:tcPr>
          <w:p/>
        </w:tc>
      </w:tr>
      <w:tr>
        <w:tc>
          <w:tcPr>
            <w:tcW w:type="dxa" w:w="1728"/>
          </w:tcPr>
          <w:p/>
        </w:tc>
        <w:tc>
          <w:tcPr>
            <w:tcW w:type="dxa" w:w="2880"/>
          </w:tcPr>
          <w:p/>
        </w:tc>
        <w:tc>
          <w:tcPr>
            <w:tcW w:type="dxa" w:w="1872"/>
          </w:tcPr>
          <w:p/>
        </w:tc>
        <w:tc>
          <w:tcPr>
            <w:tcW w:type="dxa" w:w="3600"/>
          </w:tcPr>
          <w:p/>
        </w:tc>
      </w:tr>
      <w:tr>
        <w:tc>
          <w:tcPr>
            <w:tcW w:type="dxa" w:w="1728"/>
          </w:tcPr>
          <w:p/>
        </w:tc>
        <w:tc>
          <w:tcPr>
            <w:tcW w:type="dxa" w:w="2880"/>
          </w:tcPr>
          <w:p/>
        </w:tc>
        <w:tc>
          <w:tcPr>
            <w:tcW w:type="dxa" w:w="1872"/>
          </w:tcPr>
          <w:p/>
        </w:tc>
        <w:tc>
          <w:tcPr>
            <w:tcW w:type="dxa" w:w="3600"/>
          </w:tcPr>
          <w:p/>
        </w:tc>
      </w:tr>
      <w:tr>
        <w:tc>
          <w:tcPr>
            <w:tcW w:type="dxa" w:w="1728"/>
          </w:tcPr>
          <w:p/>
        </w:tc>
        <w:tc>
          <w:tcPr>
            <w:tcW w:type="dxa" w:w="2880"/>
          </w:tcPr>
          <w:p/>
        </w:tc>
        <w:tc>
          <w:tcPr>
            <w:tcW w:type="dxa" w:w="1872"/>
          </w:tcPr>
          <w:p/>
        </w:tc>
        <w:tc>
          <w:tcPr>
            <w:tcW w:type="dxa" w:w="3600"/>
          </w:tcPr>
          <w:p/>
        </w:tc>
      </w:tr>
      <w:tr>
        <w:tc>
          <w:tcPr>
            <w:tcW w:type="dxa" w:w="1728"/>
          </w:tcPr>
          <w:p/>
        </w:tc>
        <w:tc>
          <w:tcPr>
            <w:tcW w:type="dxa" w:w="2880"/>
          </w:tcPr>
          <w:p/>
        </w:tc>
        <w:tc>
          <w:tcPr>
            <w:tcW w:type="dxa" w:w="1872"/>
          </w:tcPr>
          <w:p/>
        </w:tc>
        <w:tc>
          <w:tcPr>
            <w:tcW w:type="dxa" w:w="3600"/>
          </w:tcPr>
          <w:p/>
        </w:tc>
      </w:tr>
      <w:tr>
        <w:tc>
          <w:tcPr>
            <w:tcW w:type="dxa" w:w="1728"/>
          </w:tcPr>
          <w:p/>
        </w:tc>
        <w:tc>
          <w:tcPr>
            <w:tcW w:type="dxa" w:w="2880"/>
          </w:tcPr>
          <w:p/>
        </w:tc>
        <w:tc>
          <w:tcPr>
            <w:tcW w:type="dxa" w:w="1872"/>
          </w:tcPr>
          <w:p/>
        </w:tc>
        <w:tc>
          <w:tcPr>
            <w:tcW w:type="dxa" w:w="3600"/>
          </w:tcPr>
          <w:p/>
        </w:tc>
      </w:tr>
      <w:tr>
        <w:tc>
          <w:tcPr>
            <w:tcW w:type="dxa" w:w="1728"/>
          </w:tcPr>
          <w:p/>
        </w:tc>
        <w:tc>
          <w:tcPr>
            <w:tcW w:type="dxa" w:w="2880"/>
          </w:tcPr>
          <w:p/>
        </w:tc>
        <w:tc>
          <w:tcPr>
            <w:tcW w:type="dxa" w:w="1872"/>
          </w:tcPr>
          <w:p/>
        </w:tc>
        <w:tc>
          <w:tcPr>
            <w:tcW w:type="dxa" w:w="3600"/>
          </w:tcPr>
          <w:p/>
        </w:tc>
      </w:tr>
      <w:tr>
        <w:tc>
          <w:tcPr>
            <w:tcW w:type="dxa" w:w="1728"/>
          </w:tcPr>
          <w:p/>
        </w:tc>
        <w:tc>
          <w:tcPr>
            <w:tcW w:type="dxa" w:w="2880"/>
          </w:tcPr>
          <w:p/>
        </w:tc>
        <w:tc>
          <w:tcPr>
            <w:tcW w:type="dxa" w:w="1872"/>
          </w:tcPr>
          <w:p/>
        </w:tc>
        <w:tc>
          <w:tcPr>
            <w:tcW w:type="dxa" w:w="3600"/>
          </w:tcPr>
          <w:p/>
        </w:tc>
      </w:tr>
      <w:tr>
        <w:tc>
          <w:tcPr>
            <w:tcW w:type="dxa" w:w="1728"/>
          </w:tcPr>
          <w:p/>
        </w:tc>
        <w:tc>
          <w:tcPr>
            <w:tcW w:type="dxa" w:w="2880"/>
          </w:tcPr>
          <w:p/>
        </w:tc>
        <w:tc>
          <w:tcPr>
            <w:tcW w:type="dxa" w:w="1872"/>
          </w:tcPr>
          <w:p/>
        </w:tc>
        <w:tc>
          <w:tcPr>
            <w:tcW w:type="dxa" w:w="3600"/>
          </w:tcPr>
          <w:p/>
        </w:tc>
      </w:tr>
      <w:tr>
        <w:tc>
          <w:tcPr>
            <w:tcW w:type="dxa" w:w="1728"/>
          </w:tcPr>
          <w:p>
            <w:r>
              <w:rPr>
                <w:sz w:val="18"/>
              </w:rPr>
              <w:t>513 M–R</w:t>
            </w:r>
          </w:p>
        </w:tc>
        <w:tc>
          <w:tcPr>
            <w:tcW w:type="dxa" w:w="2880"/>
          </w:tcPr>
          <w:p>
            <w:r>
              <w:rPr>
                <w:sz w:val="18"/>
              </w:rPr>
              <w:t>Net PP&amp;E</w:t>
            </w:r>
          </w:p>
        </w:tc>
        <w:tc>
          <w:tcPr>
            <w:tcW w:type="dxa" w:w="1872"/>
          </w:tcPr>
          <w:p>
            <w:r>
              <w:rPr>
                <w:sz w:val="18"/>
              </w:rPr>
              <w:t>$7,885m</w:t>
            </w:r>
          </w:p>
        </w:tc>
        <w:tc>
          <w:tcPr>
            <w:tcW w:type="dxa" w:w="3600"/>
          </w:tcPr>
          <w:p>
            <w:r>
              <w:rPr>
                <w:sz w:val="18"/>
              </w:rPr>
              <w:t>Comment 'Hard coded'; assumes maintenance capex only</w:t>
            </w:r>
          </w:p>
        </w:tc>
      </w:tr>
      <w:tr>
        <w:tc>
          <w:tcPr>
            <w:tcW w:type="dxa" w:w="1728"/>
          </w:tcPr>
          <w:p>
            <w:r>
              <w:rPr>
                <w:sz w:val="18"/>
              </w:rPr>
              <w:t>502 L–R</w:t>
            </w:r>
          </w:p>
        </w:tc>
        <w:tc>
          <w:tcPr>
            <w:tcW w:type="dxa" w:w="2880"/>
          </w:tcPr>
          <w:p>
            <w:r>
              <w:rPr>
                <w:sz w:val="18"/>
              </w:rPr>
              <w:t>Trading securities</w:t>
            </w:r>
          </w:p>
        </w:tc>
        <w:tc>
          <w:tcPr>
            <w:tcW w:type="dxa" w:w="1872"/>
          </w:tcPr>
          <w:p>
            <w:r>
              <w:rPr>
                <w:sz w:val="18"/>
              </w:rPr>
              <w:t>0</w:t>
            </w:r>
          </w:p>
        </w:tc>
        <w:tc>
          <w:tcPr>
            <w:tcW w:type="dxa" w:w="3600"/>
          </w:tcPr>
          <w:p>
            <w:r>
              <w:rPr>
                <w:sz w:val="18"/>
              </w:rPr>
              <w:t>NIKE exited trading portfolio; permanent zero</w:t>
            </w:r>
          </w:p>
        </w:tc>
      </w:tr>
      <w:tr>
        <w:tc>
          <w:tcPr>
            <w:tcW w:type="dxa" w:w="1728"/>
          </w:tcPr>
          <w:p>
            <w:r>
              <w:rPr>
                <w:sz w:val="18"/>
              </w:rPr>
              <w:t>509 L–R</w:t>
            </w:r>
          </w:p>
        </w:tc>
        <w:tc>
          <w:tcPr>
            <w:tcW w:type="dxa" w:w="2880"/>
          </w:tcPr>
          <w:p>
            <w:r>
              <w:rPr>
                <w:sz w:val="18"/>
              </w:rPr>
              <w:t>Other current assets</w:t>
            </w:r>
          </w:p>
        </w:tc>
        <w:tc>
          <w:tcPr>
            <w:tcW w:type="dxa" w:w="1872"/>
          </w:tcPr>
          <w:p>
            <w:r>
              <w:rPr>
                <w:sz w:val="18"/>
              </w:rPr>
              <w:t>$630m</w:t>
            </w:r>
          </w:p>
        </w:tc>
        <w:tc>
          <w:tcPr>
            <w:tcW w:type="dxa" w:w="3600"/>
          </w:tcPr>
          <w:p>
            <w:r>
              <w:rPr>
                <w:sz w:val="18"/>
              </w:rPr>
              <w:t>Frozen at FY2024; not revenue-driven</w:t>
            </w:r>
          </w:p>
        </w:tc>
      </w:tr>
      <w:tr>
        <w:tc>
          <w:tcPr>
            <w:tcW w:type="dxa" w:w="1728"/>
          </w:tcPr>
          <w:p>
            <w:r>
              <w:rPr>
                <w:sz w:val="18"/>
              </w:rPr>
              <w:t>522 L–R</w:t>
            </w:r>
          </w:p>
        </w:tc>
        <w:tc>
          <w:tcPr>
            <w:tcW w:type="dxa" w:w="2880"/>
          </w:tcPr>
          <w:p>
            <w:r>
              <w:rPr>
                <w:sz w:val="18"/>
              </w:rPr>
              <w:t>Short-term borrowings</w:t>
            </w:r>
          </w:p>
        </w:tc>
        <w:tc>
          <w:tcPr>
            <w:tcW w:type="dxa" w:w="1872"/>
          </w:tcPr>
          <w:p>
            <w:r>
              <w:rPr>
                <w:sz w:val="18"/>
              </w:rPr>
              <w:t>$6m</w:t>
            </w:r>
          </w:p>
        </w:tc>
        <w:tc>
          <w:tcPr>
            <w:tcW w:type="dxa" w:w="3600"/>
          </w:tcPr>
          <w:p>
            <w:r>
              <w:rPr>
                <w:sz w:val="18"/>
              </w:rPr>
              <w:t>Minimal commercial paper; assumed constant</w:t>
            </w:r>
          </w:p>
        </w:tc>
      </w:tr>
      <w:tr>
        <w:tc>
          <w:tcPr>
            <w:tcW w:type="dxa" w:w="1728"/>
          </w:tcPr>
          <w:p>
            <w:r>
              <w:rPr>
                <w:sz w:val="18"/>
              </w:rPr>
              <w:t>516 L–R</w:t>
            </w:r>
          </w:p>
        </w:tc>
        <w:tc>
          <w:tcPr>
            <w:tcW w:type="dxa" w:w="2880"/>
          </w:tcPr>
          <w:p>
            <w:r>
              <w:rPr>
                <w:sz w:val="18"/>
              </w:rPr>
              <w:t>Deferred tax assets LT</w:t>
            </w:r>
          </w:p>
        </w:tc>
        <w:tc>
          <w:tcPr>
            <w:tcW w:type="dxa" w:w="1872"/>
          </w:tcPr>
          <w:p>
            <w:r>
              <w:rPr>
                <w:sz w:val="18"/>
              </w:rPr>
              <w:t>$2,465m</w:t>
            </w:r>
          </w:p>
        </w:tc>
        <w:tc>
          <w:tcPr>
            <w:tcW w:type="dxa" w:w="3600"/>
          </w:tcPr>
          <w:p>
            <w:r>
              <w:rPr>
                <w:sz w:val="18"/>
              </w:rPr>
              <w:t>Complex to forecast; frozen</w:t>
            </w:r>
          </w:p>
        </w:tc>
      </w:tr>
      <w:tr>
        <w:tc>
          <w:tcPr>
            <w:tcW w:type="dxa" w:w="1728"/>
          </w:tcPr>
          <w:p>
            <w:r>
              <w:rPr>
                <w:sz w:val="18"/>
              </w:rPr>
              <w:t>514 L–R</w:t>
            </w:r>
          </w:p>
        </w:tc>
        <w:tc>
          <w:tcPr>
            <w:tcW w:type="dxa" w:w="2880"/>
          </w:tcPr>
          <w:p>
            <w:r>
              <w:rPr>
                <w:sz w:val="18"/>
              </w:rPr>
              <w:t>Goodwill</w:t>
            </w:r>
          </w:p>
        </w:tc>
        <w:tc>
          <w:tcPr>
            <w:tcW w:type="dxa" w:w="1872"/>
          </w:tcPr>
          <w:p>
            <w:r>
              <w:rPr>
                <w:sz w:val="18"/>
              </w:rPr>
              <w:t>$240m</w:t>
            </w:r>
          </w:p>
        </w:tc>
        <w:tc>
          <w:tcPr>
            <w:tcW w:type="dxa" w:w="3600"/>
          </w:tcPr>
          <w:p>
            <w:r>
              <w:rPr>
                <w:sz w:val="18"/>
              </w:rPr>
              <w:t>No acquisitions assumed</w:t>
            </w:r>
          </w:p>
        </w:tc>
      </w:tr>
      <w:tr>
        <w:tc>
          <w:tcPr>
            <w:tcW w:type="dxa" w:w="1728"/>
          </w:tcPr>
          <w:p>
            <w:r>
              <w:rPr>
                <w:sz w:val="18"/>
              </w:rPr>
              <w:t>538 L–R</w:t>
            </w:r>
          </w:p>
        </w:tc>
        <w:tc>
          <w:tcPr>
            <w:tcW w:type="dxa" w:w="2880"/>
          </w:tcPr>
          <w:p>
            <w:r>
              <w:rPr>
                <w:sz w:val="18"/>
              </w:rPr>
              <w:t>Accumulated OCI</w:t>
            </w:r>
          </w:p>
        </w:tc>
        <w:tc>
          <w:tcPr>
            <w:tcW w:type="dxa" w:w="1872"/>
          </w:tcPr>
          <w:p>
            <w:r>
              <w:rPr>
                <w:sz w:val="18"/>
              </w:rPr>
              <w:t>$53m</w:t>
            </w:r>
          </w:p>
        </w:tc>
        <w:tc>
          <w:tcPr>
            <w:tcW w:type="dxa" w:w="3600"/>
          </w:tcPr>
          <w:p>
            <w:r>
              <w:rPr>
                <w:sz w:val="18"/>
              </w:rPr>
              <w:t>No FX/hedge movements modelled</w:t>
            </w:r>
          </w:p>
        </w:tc>
      </w:tr>
      <w:tr>
        <w:tc>
          <w:tcPr>
            <w:tcW w:type="dxa" w:w="1728"/>
          </w:tcPr>
          <w:p>
            <w:r>
              <w:rPr>
                <w:sz w:val="18"/>
              </w:rPr>
              <w:t>530 L–R</w:t>
            </w:r>
          </w:p>
        </w:tc>
        <w:tc>
          <w:tcPr>
            <w:tcW w:type="dxa" w:w="2880"/>
          </w:tcPr>
          <w:p>
            <w:r>
              <w:rPr>
                <w:sz w:val="18"/>
              </w:rPr>
              <w:t>Pension obligations</w:t>
            </w:r>
          </w:p>
        </w:tc>
        <w:tc>
          <w:tcPr>
            <w:tcW w:type="dxa" w:w="1872"/>
          </w:tcPr>
          <w:p>
            <w:r>
              <w:rPr>
                <w:sz w:val="18"/>
              </w:rPr>
              <w:t>0</w:t>
            </w:r>
          </w:p>
        </w:tc>
        <w:tc>
          <w:tcPr>
            <w:tcW w:type="dxa" w:w="3600"/>
          </w:tcPr>
          <w:p>
            <w:r>
              <w:rPr>
                <w:sz w:val="18"/>
              </w:rPr>
              <w:t>NIKE's pension essentially defunded</w:t>
            </w:r>
          </w:p>
        </w:tc>
      </w:tr>
      <w:tr>
        <w:tc>
          <w:tcPr>
            <w:tcW w:type="dxa" w:w="1728"/>
          </w:tcPr>
          <w:p>
            <w:r>
              <w:rPr>
                <w:sz w:val="18"/>
              </w:rPr>
              <w:t>464 M–R</w:t>
            </w:r>
          </w:p>
        </w:tc>
        <w:tc>
          <w:tcPr>
            <w:tcW w:type="dxa" w:w="2880"/>
          </w:tcPr>
          <w:p>
            <w:r>
              <w:rPr>
                <w:sz w:val="18"/>
              </w:rPr>
              <w:t>Dividends (year 2–7)</w:t>
            </w:r>
          </w:p>
        </w:tc>
        <w:tc>
          <w:tcPr>
            <w:tcW w:type="dxa" w:w="1872"/>
          </w:tcPr>
          <w:p>
            <w:r>
              <w:rPr>
                <w:sz w:val="18"/>
              </w:rPr>
              <w:t>= L464 (frozen)</w:t>
            </w:r>
          </w:p>
        </w:tc>
        <w:tc>
          <w:tcPr>
            <w:tcW w:type="dxa" w:w="3600"/>
          </w:tcPr>
          <w:p>
            <w:r>
              <w:rPr>
                <w:sz w:val="18"/>
              </w:rPr>
              <w:t>Dividends frozen after FY2025</w:t>
            </w:r>
          </w:p>
        </w:tc>
      </w:tr>
      <w:tr>
        <w:tc>
          <w:tcPr>
            <w:tcW w:type="dxa" w:w="1728"/>
          </w:tcPr>
          <w:p>
            <w:r>
              <w:rPr>
                <w:sz w:val="18"/>
              </w:rPr>
              <w:t>468 L–R</w:t>
            </w:r>
          </w:p>
        </w:tc>
        <w:tc>
          <w:tcPr>
            <w:tcW w:type="dxa" w:w="2880"/>
          </w:tcPr>
          <w:p>
            <w:r>
              <w:rPr>
                <w:sz w:val="18"/>
              </w:rPr>
              <w:t>FX adjustment</w:t>
            </w:r>
          </w:p>
        </w:tc>
        <w:tc>
          <w:tcPr>
            <w:tcW w:type="dxa" w:w="1872"/>
          </w:tcPr>
          <w:p>
            <w:r>
              <w:rPr>
                <w:sz w:val="18"/>
              </w:rPr>
              <w:t>0</w:t>
            </w:r>
          </w:p>
        </w:tc>
        <w:tc>
          <w:tcPr>
            <w:tcW w:type="dxa" w:w="3600"/>
          </w:tcPr>
          <w:p>
            <w:r>
              <w:rPr>
                <w:sz w:val="18"/>
              </w:rPr>
              <w:t>USD-only model</w:t>
            </w:r>
          </w:p>
        </w:tc>
      </w:tr>
      <w:tr>
        <w:tc>
          <w:tcPr>
            <w:tcW w:type="dxa" w:w="1728"/>
          </w:tcPr>
          <w:p>
            <w:r>
              <w:rPr>
                <w:sz w:val="18"/>
              </w:rPr>
              <w:t>347 L–R</w:t>
            </w:r>
          </w:p>
        </w:tc>
        <w:tc>
          <w:tcPr>
            <w:tcW w:type="dxa" w:w="2880"/>
          </w:tcPr>
          <w:p>
            <w:r>
              <w:rPr>
                <w:sz w:val="18"/>
              </w:rPr>
              <w:t>Restructuring charges</w:t>
            </w:r>
          </w:p>
        </w:tc>
        <w:tc>
          <w:tcPr>
            <w:tcW w:type="dxa" w:w="1872"/>
          </w:tcPr>
          <w:p>
            <w:r>
              <w:rPr>
                <w:sz w:val="18"/>
              </w:rPr>
              <w:t>0</w:t>
            </w:r>
          </w:p>
        </w:tc>
        <w:tc>
          <w:tcPr>
            <w:tcW w:type="dxa" w:w="3600"/>
          </w:tcPr>
          <w:p>
            <w:r>
              <w:rPr>
                <w:sz w:val="18"/>
              </w:rPr>
              <w:t>Assumed completed by FY2024</w:t>
            </w:r>
          </w:p>
        </w:tc>
      </w:tr>
    </w:tbl>
    <w:p/>
    <w:p>
      <w:pPr>
        <w:pStyle w:val="Heading2"/>
      </w:pPr>
      <w:r>
        <w:t>11.3  Unusual Formula Patterns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Pattern</w:t>
            </w:r>
          </w:p>
        </w:tc>
        <w:tc>
          <w:tcPr>
            <w:tcW w:type="dxa" w:w="2160"/>
          </w:tcPr>
          <w:p>
            <w:r>
              <w:rPr>
                <w:b/>
                <w:sz w:val="18"/>
              </w:rPr>
              <w:t>Location</w:t>
            </w:r>
          </w:p>
        </w:tc>
        <w:tc>
          <w:tcPr>
            <w:tcW w:type="dxa" w:w="5040"/>
          </w:tcPr>
          <w:p>
            <w:r>
              <w:rPr>
                <w:b/>
                <w:sz w:val="18"/>
              </w:rPr>
              <w:t>Description</w:t>
            </w:r>
          </w:p>
        </w:tc>
      </w:tr>
      <w:tr>
        <w:tc>
          <w:tcPr>
            <w:tcW w:type="dxa" w:w="2880"/>
          </w:tcPr>
          <w:p/>
        </w:tc>
        <w:tc>
          <w:tcPr>
            <w:tcW w:type="dxa" w:w="2160"/>
          </w:tcPr>
          <w:p/>
        </w:tc>
        <w:tc>
          <w:tcPr>
            <w:tcW w:type="dxa" w:w="5040"/>
          </w:tcPr>
          <w:p/>
        </w:tc>
      </w:tr>
      <w:tr>
        <w:tc>
          <w:tcPr>
            <w:tcW w:type="dxa" w:w="2880"/>
          </w:tcPr>
          <w:p/>
        </w:tc>
        <w:tc>
          <w:tcPr>
            <w:tcW w:type="dxa" w:w="2160"/>
          </w:tcPr>
          <w:p/>
        </w:tc>
        <w:tc>
          <w:tcPr>
            <w:tcW w:type="dxa" w:w="5040"/>
          </w:tcPr>
          <w:p/>
        </w:tc>
      </w:tr>
      <w:tr>
        <w:tc>
          <w:tcPr>
            <w:tcW w:type="dxa" w:w="2880"/>
          </w:tcPr>
          <w:p/>
        </w:tc>
        <w:tc>
          <w:tcPr>
            <w:tcW w:type="dxa" w:w="2160"/>
          </w:tcPr>
          <w:p/>
        </w:tc>
        <w:tc>
          <w:tcPr>
            <w:tcW w:type="dxa" w:w="5040"/>
          </w:tcPr>
          <w:p/>
        </w:tc>
      </w:tr>
      <w:tr>
        <w:tc>
          <w:tcPr>
            <w:tcW w:type="dxa" w:w="2880"/>
          </w:tcPr>
          <w:p/>
        </w:tc>
        <w:tc>
          <w:tcPr>
            <w:tcW w:type="dxa" w:w="2160"/>
          </w:tcPr>
          <w:p/>
        </w:tc>
        <w:tc>
          <w:tcPr>
            <w:tcW w:type="dxa" w:w="5040"/>
          </w:tcPr>
          <w:p/>
        </w:tc>
      </w:tr>
      <w:tr>
        <w:tc>
          <w:tcPr>
            <w:tcW w:type="dxa" w:w="2880"/>
          </w:tcPr>
          <w:p/>
        </w:tc>
        <w:tc>
          <w:tcPr>
            <w:tcW w:type="dxa" w:w="2160"/>
          </w:tcPr>
          <w:p/>
        </w:tc>
        <w:tc>
          <w:tcPr>
            <w:tcW w:type="dxa" w:w="5040"/>
          </w:tcPr>
          <w:p/>
        </w:tc>
      </w:tr>
      <w:tr>
        <w:tc>
          <w:tcPr>
            <w:tcW w:type="dxa" w:w="2880"/>
          </w:tcPr>
          <w:p/>
        </w:tc>
        <w:tc>
          <w:tcPr>
            <w:tcW w:type="dxa" w:w="2160"/>
          </w:tcPr>
          <w:p/>
        </w:tc>
        <w:tc>
          <w:tcPr>
            <w:tcW w:type="dxa" w:w="5040"/>
          </w:tcPr>
          <w:p/>
        </w:tc>
      </w:tr>
      <w:tr>
        <w:tc>
          <w:tcPr>
            <w:tcW w:type="dxa" w:w="2880"/>
          </w:tcPr>
          <w:p/>
        </w:tc>
        <w:tc>
          <w:tcPr>
            <w:tcW w:type="dxa" w:w="2160"/>
          </w:tcPr>
          <w:p/>
        </w:tc>
        <w:tc>
          <w:tcPr>
            <w:tcW w:type="dxa" w:w="5040"/>
          </w:tcPr>
          <w:p/>
        </w:tc>
      </w:tr>
      <w:tr>
        <w:tc>
          <w:tcPr>
            <w:tcW w:type="dxa" w:w="2880"/>
          </w:tcPr>
          <w:p/>
        </w:tc>
        <w:tc>
          <w:tcPr>
            <w:tcW w:type="dxa" w:w="2160"/>
          </w:tcPr>
          <w:p/>
        </w:tc>
        <w:tc>
          <w:tcPr>
            <w:tcW w:type="dxa" w:w="5040"/>
          </w:tcPr>
          <w:p/>
        </w:tc>
      </w:tr>
      <w:tr>
        <w:tc>
          <w:tcPr>
            <w:tcW w:type="dxa" w:w="2880"/>
          </w:tcPr>
          <w:p/>
        </w:tc>
        <w:tc>
          <w:tcPr>
            <w:tcW w:type="dxa" w:w="2160"/>
          </w:tcPr>
          <w:p/>
        </w:tc>
        <w:tc>
          <w:tcPr>
            <w:tcW w:type="dxa" w:w="5040"/>
          </w:tcPr>
          <w:p/>
        </w:tc>
      </w:tr>
      <w:tr>
        <w:tc>
          <w:tcPr>
            <w:tcW w:type="dxa" w:w="2880"/>
          </w:tcPr>
          <w:p>
            <w:r>
              <w:rPr>
                <w:sz w:val="18"/>
              </w:rPr>
              <w:t>Explicit ^1 exponent</w:t>
            </w:r>
          </w:p>
        </w:tc>
        <w:tc>
          <w:tcPr>
            <w:tcW w:type="dxa" w:w="2160"/>
          </w:tcPr>
          <w:p>
            <w:r>
              <w:rPr>
                <w:sz w:val="18"/>
              </w:rPr>
              <w:t>Row 338 (revenue)</w:t>
            </w:r>
          </w:p>
        </w:tc>
        <w:tc>
          <w:tcPr>
            <w:tcW w:type="dxa" w:w="5040"/>
          </w:tcPr>
          <w:p>
            <w:r>
              <w:rPr>
                <w:sz w:val="18"/>
              </w:rPr>
              <w:t>L338: =K338*(1+L320)^1 — redundant but not harmful</w:t>
            </w:r>
          </w:p>
        </w:tc>
      </w:tr>
      <w:tr>
        <w:tc>
          <w:tcPr>
            <w:tcW w:type="dxa" w:w="2880"/>
          </w:tcPr>
          <w:p>
            <w:r>
              <w:rPr>
                <w:sz w:val="18"/>
              </w:rPr>
              <w:t>Year-on-year SG&amp;A chaining</w:t>
            </w:r>
          </w:p>
        </w:tc>
        <w:tc>
          <w:tcPr>
            <w:tcW w:type="dxa" w:w="2160"/>
          </w:tcPr>
          <w:p>
            <w:r>
              <w:rPr>
                <w:sz w:val="18"/>
              </w:rPr>
              <w:t>Row 342</w:t>
            </w:r>
          </w:p>
        </w:tc>
        <w:tc>
          <w:tcPr>
            <w:tcW w:type="dxa" w:w="5040"/>
          </w:tcPr>
          <w:p>
            <w:r>
              <w:rPr>
                <w:sz w:val="18"/>
              </w:rPr>
              <w:t>M342 = L342/L338*M338 — scales off prior year ratio, not FY2024</w:t>
            </w:r>
          </w:p>
        </w:tc>
      </w:tr>
      <w:tr>
        <w:tc>
          <w:tcPr>
            <w:tcW w:type="dxa" w:w="2880"/>
          </w:tcPr>
          <w:p>
            <w:r>
              <w:rPr>
                <w:sz w:val="18"/>
              </w:rPr>
              <w:t>Dividend = buyback / 2</w:t>
            </w:r>
          </w:p>
        </w:tc>
        <w:tc>
          <w:tcPr>
            <w:tcW w:type="dxa" w:w="2160"/>
          </w:tcPr>
          <w:p>
            <w:r>
              <w:rPr>
                <w:sz w:val="18"/>
              </w:rPr>
              <w:t>Row 464</w:t>
            </w:r>
          </w:p>
        </w:tc>
        <w:tc>
          <w:tcPr>
            <w:tcW w:type="dxa" w:w="5040"/>
          </w:tcPr>
          <w:p>
            <w:r>
              <w:rPr>
                <w:sz w:val="18"/>
              </w:rPr>
              <w:t>L464: =L460/2 — approximation of historical ratio</w:t>
            </w:r>
          </w:p>
        </w:tc>
      </w:tr>
      <w:tr>
        <w:tc>
          <w:tcPr>
            <w:tcW w:type="dxa" w:w="2880"/>
          </w:tcPr>
          <w:p>
            <w:r>
              <w:rPr>
                <w:sz w:val="18"/>
              </w:rPr>
              <w:t>APIC includes buybacks</w:t>
            </w:r>
          </w:p>
        </w:tc>
        <w:tc>
          <w:tcPr>
            <w:tcW w:type="dxa" w:w="2160"/>
          </w:tcPr>
          <w:p>
            <w:r>
              <w:rPr>
                <w:sz w:val="18"/>
              </w:rPr>
              <w:t>Row 536</w:t>
            </w:r>
          </w:p>
        </w:tc>
        <w:tc>
          <w:tcPr>
            <w:tcW w:type="dxa" w:w="5040"/>
          </w:tcPr>
          <w:p>
            <w:r>
              <w:rPr>
                <w:sz w:val="18"/>
              </w:rPr>
              <w:t>L536: =K536+L460+L459 — L460 negative reduces APIC</w:t>
            </w:r>
          </w:p>
        </w:tc>
      </w:tr>
      <w:tr>
        <w:tc>
          <w:tcPr>
            <w:tcW w:type="dxa" w:w="2880"/>
          </w:tcPr>
          <w:p>
            <w:r>
              <w:rPr>
                <w:sz w:val="18"/>
              </w:rPr>
              <w:t>Row 357/358 hidden checks</w:t>
            </w:r>
          </w:p>
        </w:tc>
        <w:tc>
          <w:tcPr>
            <w:tcW w:type="dxa" w:w="2160"/>
          </w:tcPr>
          <w:p>
            <w:r>
              <w:rPr>
                <w:sz w:val="18"/>
              </w:rPr>
              <w:t>Income statement</w:t>
            </w:r>
          </w:p>
        </w:tc>
        <w:tc>
          <w:tcPr>
            <w:tcW w:type="dxa" w:w="5040"/>
          </w:tcPr>
          <w:p>
            <w:r>
              <w:rPr>
                <w:sz w:val="18"/>
              </w:rPr>
              <w:t>Unlabelled EBT/Tax and Tax@statutory rows for all historical years</w:t>
            </w:r>
          </w:p>
        </w:tc>
      </w:tr>
      <w:tr>
        <w:tc>
          <w:tcPr>
            <w:tcW w:type="dxa" w:w="2880"/>
          </w:tcPr>
          <w:p>
            <w:r>
              <w:rPr>
                <w:sz w:val="18"/>
              </w:rPr>
              <w:t>T530 inline WACC check</w:t>
            </w:r>
          </w:p>
        </w:tc>
        <w:tc>
          <w:tcPr>
            <w:tcW w:type="dxa" w:w="2160"/>
          </w:tcPr>
          <w:p>
            <w:r>
              <w:rPr>
                <w:sz w:val="18"/>
              </w:rPr>
              <w:t>Row 530, col T</w:t>
            </w:r>
          </w:p>
        </w:tc>
        <w:tc>
          <w:tcPr>
            <w:tcW w:type="dxa" w:w="5040"/>
          </w:tcPr>
          <w:p>
            <w:r>
              <w:rPr>
                <w:sz w:val="18"/>
              </w:rPr>
              <w:t>=K540/(K201+K540)*100 — equity weight % for WACC verification</w:t>
            </w:r>
          </w:p>
        </w:tc>
      </w:tr>
      <w:tr>
        <w:tc>
          <w:tcPr>
            <w:tcW w:type="dxa" w:w="2880"/>
          </w:tcPr>
          <w:p>
            <w:r>
              <w:rPr>
                <w:sz w:val="18"/>
              </w:rPr>
              <w:t>T533 standalone value</w:t>
            </w:r>
          </w:p>
        </w:tc>
        <w:tc>
          <w:tcPr>
            <w:tcW w:type="dxa" w:w="2160"/>
          </w:tcPr>
          <w:p>
            <w:r>
              <w:rPr>
                <w:sz w:val="18"/>
              </w:rPr>
              <w:t>Row 533, col T</w:t>
            </w:r>
          </w:p>
        </w:tc>
        <w:tc>
          <w:tcPr>
            <w:tcW w:type="dxa" w:w="5040"/>
          </w:tcPr>
          <w:p>
            <w:r>
              <w:rPr>
                <w:sz w:val="18"/>
              </w:rPr>
              <w:t>54.63; appears to be a liabilities/capital ratio hand-check</w:t>
            </w:r>
          </w:p>
        </w:tc>
      </w:tr>
      <w:tr>
        <w:tc>
          <w:tcPr>
            <w:tcW w:type="dxa" w:w="2880"/>
          </w:tcPr>
          <w:p>
            <w:r>
              <w:rPr>
                <w:sz w:val="18"/>
              </w:rPr>
              <w:t>S513 text comment</w:t>
            </w:r>
          </w:p>
        </w:tc>
        <w:tc>
          <w:tcPr>
            <w:tcW w:type="dxa" w:w="2160"/>
          </w:tcPr>
          <w:p>
            <w:r>
              <w:rPr>
                <w:sz w:val="18"/>
              </w:rPr>
              <w:t>Net PP&amp;E row</w:t>
            </w:r>
          </w:p>
        </w:tc>
        <w:tc>
          <w:tcPr>
            <w:tcW w:type="dxa" w:w="5040"/>
          </w:tcPr>
          <w:p>
            <w:r>
              <w:rPr>
                <w:sz w:val="18"/>
              </w:rPr>
              <w:t>S513: 'Hard coded' — documents the freeze</w:t>
            </w:r>
          </w:p>
        </w:tc>
      </w:tr>
      <w:tr>
        <w:tc>
          <w:tcPr>
            <w:tcW w:type="dxa" w:w="2880"/>
          </w:tcPr>
          <w:p>
            <w:r>
              <w:rPr>
                <w:sz w:val="18"/>
              </w:rPr>
              <w:t>S522–S529 IBD labels</w:t>
            </w:r>
          </w:p>
        </w:tc>
        <w:tc>
          <w:tcPr>
            <w:tcW w:type="dxa" w:w="2160"/>
          </w:tcPr>
          <w:p>
            <w:r>
              <w:rPr>
                <w:sz w:val="18"/>
              </w:rPr>
              <w:t>Liability rows</w:t>
            </w:r>
          </w:p>
        </w:tc>
        <w:tc>
          <w:tcPr>
            <w:tcW w:type="dxa" w:w="5040"/>
          </w:tcPr>
          <w:p>
            <w:r>
              <w:rPr>
                <w:sz w:val="18"/>
              </w:rPr>
              <w:t>'IBD' text flags interest-bearing debt for WACC/coverage calcs</w:t>
            </w:r>
          </w:p>
        </w:tc>
      </w:tr>
    </w:tbl>
    <w:p/>
    <w:p>
      <w:r>
        <w:br w:type="page"/>
      </w:r>
    </w:p>
    <w:p>
      <w:pPr>
        <w:pStyle w:val="Heading1"/>
      </w:pPr>
      <w:r>
        <w:t>PART XII — Complete Historical Data Reference</w:t>
      </w:r>
    </w:p>
    <w:p>
      <w:pPr>
        <w:pStyle w:val="Heading2"/>
      </w:pPr>
      <w:r>
        <w:t>12.1  Income Statement Summary (All Historical Years)</w:t>
      </w:r>
    </w:p>
    <w:tbl>
      <w:tblPr>
        <w:tblStyle w:val="LightList-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2880"/>
          </w:tcPr>
          <w:p>
            <w:r>
              <w:rPr>
                <w:b/>
                <w:sz w:val="18"/>
              </w:rPr>
              <w:t>Item</w:t>
            </w:r>
          </w:p>
        </w:tc>
        <w:tc>
          <w:tcPr>
            <w:tcW w:type="dxa" w:w="936"/>
          </w:tcPr>
          <w:p>
            <w:r>
              <w:rPr>
                <w:b/>
                <w:sz w:val="18"/>
              </w:rPr>
              <w:t>FY15</w:t>
            </w:r>
          </w:p>
        </w:tc>
        <w:tc>
          <w:tcPr>
            <w:tcW w:type="dxa" w:w="936"/>
          </w:tcPr>
          <w:p>
            <w:r>
              <w:rPr>
                <w:b/>
                <w:sz w:val="18"/>
              </w:rPr>
              <w:t>FY16</w:t>
            </w:r>
          </w:p>
        </w:tc>
        <w:tc>
          <w:tcPr>
            <w:tcW w:type="dxa" w:w="936"/>
          </w:tcPr>
          <w:p>
            <w:r>
              <w:rPr>
                <w:b/>
                <w:sz w:val="18"/>
              </w:rPr>
              <w:t>FY17</w:t>
            </w:r>
          </w:p>
        </w:tc>
        <w:tc>
          <w:tcPr>
            <w:tcW w:type="dxa" w:w="936"/>
          </w:tcPr>
          <w:p>
            <w:r>
              <w:rPr>
                <w:b/>
                <w:sz w:val="18"/>
              </w:rPr>
              <w:t>FY18</w:t>
            </w:r>
          </w:p>
        </w:tc>
        <w:tc>
          <w:tcPr>
            <w:tcW w:type="dxa" w:w="936"/>
          </w:tcPr>
          <w:p>
            <w:r>
              <w:rPr>
                <w:b/>
                <w:sz w:val="18"/>
              </w:rPr>
              <w:t>FY19</w:t>
            </w:r>
          </w:p>
        </w:tc>
        <w:tc>
          <w:tcPr>
            <w:tcW w:type="dxa" w:w="936"/>
          </w:tcPr>
          <w:p>
            <w:r>
              <w:rPr>
                <w:b/>
                <w:sz w:val="18"/>
              </w:rPr>
              <w:t>FY20</w:t>
            </w:r>
          </w:p>
        </w:tc>
        <w:tc>
          <w:tcPr>
            <w:tcW w:type="dxa" w:w="936"/>
          </w:tcPr>
          <w:p>
            <w:r>
              <w:rPr>
                <w:b/>
                <w:sz w:val="18"/>
              </w:rPr>
              <w:t>FY21</w:t>
            </w:r>
          </w:p>
        </w:tc>
        <w:tc>
          <w:tcPr>
            <w:tcW w:type="dxa" w:w="936"/>
          </w:tcPr>
          <w:p>
            <w:r>
              <w:rPr>
                <w:b/>
                <w:sz w:val="18"/>
              </w:rPr>
              <w:t>FY22</w:t>
            </w:r>
          </w:p>
        </w:tc>
        <w:tc>
          <w:tcPr>
            <w:tcW w:type="dxa" w:w="936"/>
          </w:tcPr>
          <w:p>
            <w:r>
              <w:rPr>
                <w:b/>
                <w:sz w:val="18"/>
              </w:rPr>
              <w:t>FY23</w:t>
            </w:r>
          </w:p>
        </w:tc>
        <w:tc>
          <w:tcPr>
            <w:tcW w:type="dxa" w:w="936"/>
          </w:tcPr>
          <w:p>
            <w:r>
              <w:rPr>
                <w:b/>
                <w:sz w:val="18"/>
              </w:rPr>
              <w:t>FY24</w:t>
            </w:r>
          </w:p>
        </w:tc>
      </w:tr>
      <w:tr>
        <w:tc>
          <w:tcPr>
            <w:tcW w:type="dxa" w:w="2880"/>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2880"/>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2880"/>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2880"/>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2880"/>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2880"/>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2880"/>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2880"/>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2880"/>
          </w:tcPr>
          <w:p>
            <w:r>
              <w:rPr>
                <w:sz w:val="18"/>
              </w:rPr>
              <w:t>Revenue $m</w:t>
            </w:r>
          </w:p>
        </w:tc>
        <w:tc>
          <w:tcPr>
            <w:tcW w:type="dxa" w:w="936"/>
          </w:tcPr>
          <w:p>
            <w:r>
              <w:rPr>
                <w:sz w:val="18"/>
              </w:rPr>
              <w:t>27,790</w:t>
            </w:r>
          </w:p>
        </w:tc>
        <w:tc>
          <w:tcPr>
            <w:tcW w:type="dxa" w:w="936"/>
          </w:tcPr>
          <w:p>
            <w:r>
              <w:rPr>
                <w:sz w:val="18"/>
              </w:rPr>
              <w:t>32,376</w:t>
            </w:r>
          </w:p>
        </w:tc>
        <w:tc>
          <w:tcPr>
            <w:tcW w:type="dxa" w:w="936"/>
          </w:tcPr>
          <w:p>
            <w:r>
              <w:rPr>
                <w:sz w:val="18"/>
              </w:rPr>
              <w:t>34,350</w:t>
            </w:r>
          </w:p>
        </w:tc>
        <w:tc>
          <w:tcPr>
            <w:tcW w:type="dxa" w:w="936"/>
          </w:tcPr>
          <w:p>
            <w:r>
              <w:rPr>
                <w:sz w:val="18"/>
              </w:rPr>
              <w:t>36,397</w:t>
            </w:r>
          </w:p>
        </w:tc>
        <w:tc>
          <w:tcPr>
            <w:tcW w:type="dxa" w:w="936"/>
          </w:tcPr>
          <w:p>
            <w:r>
              <w:rPr>
                <w:sz w:val="18"/>
              </w:rPr>
              <w:t>39,117</w:t>
            </w:r>
          </w:p>
        </w:tc>
        <w:tc>
          <w:tcPr>
            <w:tcW w:type="dxa" w:w="936"/>
          </w:tcPr>
          <w:p>
            <w:r>
              <w:rPr>
                <w:sz w:val="18"/>
              </w:rPr>
              <w:t>37,403</w:t>
            </w:r>
          </w:p>
        </w:tc>
        <w:tc>
          <w:tcPr>
            <w:tcW w:type="dxa" w:w="936"/>
          </w:tcPr>
          <w:p>
            <w:r>
              <w:rPr>
                <w:sz w:val="18"/>
              </w:rPr>
              <w:t>44,538</w:t>
            </w:r>
          </w:p>
        </w:tc>
        <w:tc>
          <w:tcPr>
            <w:tcW w:type="dxa" w:w="936"/>
          </w:tcPr>
          <w:p>
            <w:r>
              <w:rPr>
                <w:sz w:val="18"/>
              </w:rPr>
              <w:t>46,710</w:t>
            </w:r>
          </w:p>
        </w:tc>
        <w:tc>
          <w:tcPr>
            <w:tcW w:type="dxa" w:w="936"/>
          </w:tcPr>
          <w:p>
            <w:r>
              <w:rPr>
                <w:sz w:val="18"/>
              </w:rPr>
              <w:t>51,217</w:t>
            </w:r>
          </w:p>
        </w:tc>
        <w:tc>
          <w:tcPr>
            <w:tcW w:type="dxa" w:w="936"/>
          </w:tcPr>
          <w:p>
            <w:r>
              <w:rPr>
                <w:sz w:val="18"/>
              </w:rPr>
              <w:t>51,362</w:t>
            </w:r>
          </w:p>
        </w:tc>
      </w:tr>
      <w:tr>
        <w:tc>
          <w:tcPr>
            <w:tcW w:type="dxa" w:w="2880"/>
          </w:tcPr>
          <w:p>
            <w:r>
              <w:rPr>
                <w:sz w:val="18"/>
              </w:rPr>
              <w:t>Gross Margin %</w:t>
            </w:r>
          </w:p>
        </w:tc>
        <w:tc>
          <w:tcPr>
            <w:tcW w:type="dxa" w:w="936"/>
          </w:tcPr>
          <w:p>
            <w:r>
              <w:rPr>
                <w:sz w:val="18"/>
              </w:rPr>
              <w:t>46.2%</w:t>
            </w:r>
          </w:p>
        </w:tc>
        <w:tc>
          <w:tcPr>
            <w:tcW w:type="dxa" w:w="936"/>
          </w:tcPr>
          <w:p>
            <w:r>
              <w:rPr>
                <w:sz w:val="18"/>
              </w:rPr>
              <w:t>44.4%</w:t>
            </w:r>
          </w:p>
        </w:tc>
        <w:tc>
          <w:tcPr>
            <w:tcW w:type="dxa" w:w="936"/>
          </w:tcPr>
          <w:p>
            <w:r>
              <w:rPr>
                <w:sz w:val="18"/>
              </w:rPr>
              <w:t>44.1%</w:t>
            </w:r>
          </w:p>
        </w:tc>
        <w:tc>
          <w:tcPr>
            <w:tcW w:type="dxa" w:w="936"/>
          </w:tcPr>
          <w:p>
            <w:r>
              <w:rPr>
                <w:sz w:val="18"/>
              </w:rPr>
              <w:t>43.8%</w:t>
            </w:r>
          </w:p>
        </w:tc>
        <w:tc>
          <w:tcPr>
            <w:tcW w:type="dxa" w:w="936"/>
          </w:tcPr>
          <w:p>
            <w:r>
              <w:rPr>
                <w:sz w:val="18"/>
              </w:rPr>
              <w:t>44.7%</w:t>
            </w:r>
          </w:p>
        </w:tc>
        <w:tc>
          <w:tcPr>
            <w:tcW w:type="dxa" w:w="936"/>
          </w:tcPr>
          <w:p>
            <w:r>
              <w:rPr>
                <w:sz w:val="18"/>
              </w:rPr>
              <w:t>43.4%</w:t>
            </w:r>
          </w:p>
        </w:tc>
        <w:tc>
          <w:tcPr>
            <w:tcW w:type="dxa" w:w="936"/>
          </w:tcPr>
          <w:p>
            <w:r>
              <w:rPr>
                <w:sz w:val="18"/>
              </w:rPr>
              <w:t>44.8%</w:t>
            </w:r>
          </w:p>
        </w:tc>
        <w:tc>
          <w:tcPr>
            <w:tcW w:type="dxa" w:w="936"/>
          </w:tcPr>
          <w:p>
            <w:r>
              <w:rPr>
                <w:sz w:val="18"/>
              </w:rPr>
              <w:t>44.3%</w:t>
            </w:r>
          </w:p>
        </w:tc>
        <w:tc>
          <w:tcPr>
            <w:tcW w:type="dxa" w:w="936"/>
          </w:tcPr>
          <w:p>
            <w:r>
              <w:rPr>
                <w:sz w:val="18"/>
              </w:rPr>
              <w:t>44.0%</w:t>
            </w:r>
          </w:p>
        </w:tc>
        <w:tc>
          <w:tcPr>
            <w:tcW w:type="dxa" w:w="936"/>
          </w:tcPr>
          <w:p>
            <w:r>
              <w:rPr>
                <w:sz w:val="18"/>
              </w:rPr>
              <w:t>43.6%</w:t>
            </w:r>
          </w:p>
        </w:tc>
      </w:tr>
      <w:tr>
        <w:tc>
          <w:tcPr>
            <w:tcW w:type="dxa" w:w="2880"/>
          </w:tcPr>
          <w:p>
            <w:r>
              <w:rPr>
                <w:sz w:val="18"/>
              </w:rPr>
              <w:t>SG&amp;A $m</w:t>
            </w:r>
          </w:p>
        </w:tc>
        <w:tc>
          <w:tcPr>
            <w:tcW w:type="dxa" w:w="936"/>
          </w:tcPr>
          <w:p>
            <w:r>
              <w:rPr>
                <w:sz w:val="18"/>
              </w:rPr>
              <w:t>8,834</w:t>
            </w:r>
          </w:p>
        </w:tc>
        <w:tc>
          <w:tcPr>
            <w:tcW w:type="dxa" w:w="936"/>
          </w:tcPr>
          <w:p>
            <w:r>
              <w:rPr>
                <w:sz w:val="18"/>
              </w:rPr>
              <w:t>10,469</w:t>
            </w:r>
          </w:p>
        </w:tc>
        <w:tc>
          <w:tcPr>
            <w:tcW w:type="dxa" w:w="936"/>
          </w:tcPr>
          <w:p>
            <w:r>
              <w:rPr>
                <w:sz w:val="18"/>
              </w:rPr>
              <w:t>10,563</w:t>
            </w:r>
          </w:p>
        </w:tc>
        <w:tc>
          <w:tcPr>
            <w:tcW w:type="dxa" w:w="936"/>
          </w:tcPr>
          <w:p>
            <w:r>
              <w:rPr>
                <w:sz w:val="18"/>
              </w:rPr>
              <w:t>10,563</w:t>
            </w:r>
          </w:p>
        </w:tc>
        <w:tc>
          <w:tcPr>
            <w:tcW w:type="dxa" w:w="936"/>
          </w:tcPr>
          <w:p>
            <w:r>
              <w:rPr>
                <w:sz w:val="18"/>
              </w:rPr>
              <w:t>11,630</w:t>
            </w:r>
          </w:p>
        </w:tc>
        <w:tc>
          <w:tcPr>
            <w:tcW w:type="dxa" w:w="936"/>
          </w:tcPr>
          <w:p>
            <w:r>
              <w:rPr>
                <w:sz w:val="18"/>
              </w:rPr>
              <w:t>12,485</w:t>
            </w:r>
          </w:p>
        </w:tc>
        <w:tc>
          <w:tcPr>
            <w:tcW w:type="dxa" w:w="936"/>
          </w:tcPr>
          <w:p>
            <w:r>
              <w:rPr>
                <w:sz w:val="18"/>
              </w:rPr>
              <w:t>12,275</w:t>
            </w:r>
          </w:p>
        </w:tc>
        <w:tc>
          <w:tcPr>
            <w:tcW w:type="dxa" w:w="936"/>
          </w:tcPr>
          <w:p>
            <w:r>
              <w:rPr>
                <w:sz w:val="18"/>
              </w:rPr>
              <w:t>13,046</w:t>
            </w:r>
          </w:p>
        </w:tc>
        <w:tc>
          <w:tcPr>
            <w:tcW w:type="dxa" w:w="936"/>
          </w:tcPr>
          <w:p>
            <w:r>
              <w:rPr>
                <w:sz w:val="18"/>
              </w:rPr>
              <w:t>14,685</w:t>
            </w:r>
          </w:p>
        </w:tc>
        <w:tc>
          <w:tcPr>
            <w:tcW w:type="dxa" w:w="936"/>
          </w:tcPr>
          <w:p>
            <w:r>
              <w:rPr>
                <w:sz w:val="18"/>
              </w:rPr>
              <w:t>15,829</w:t>
            </w:r>
          </w:p>
        </w:tc>
      </w:tr>
      <w:tr>
        <w:tc>
          <w:tcPr>
            <w:tcW w:type="dxa" w:w="2880"/>
          </w:tcPr>
          <w:p>
            <w:r>
              <w:rPr>
                <w:sz w:val="18"/>
              </w:rPr>
              <w:t>EBIT $m</w:t>
            </w:r>
          </w:p>
        </w:tc>
        <w:tc>
          <w:tcPr>
            <w:tcW w:type="dxa" w:w="936"/>
          </w:tcPr>
          <w:p>
            <w:r>
              <w:rPr>
                <w:sz w:val="18"/>
              </w:rPr>
              <w:t>3,980</w:t>
            </w:r>
          </w:p>
        </w:tc>
        <w:tc>
          <w:tcPr>
            <w:tcW w:type="dxa" w:w="936"/>
          </w:tcPr>
          <w:p>
            <w:r>
              <w:rPr>
                <w:sz w:val="18"/>
              </w:rPr>
              <w:t>3,916</w:t>
            </w:r>
          </w:p>
        </w:tc>
        <w:tc>
          <w:tcPr>
            <w:tcW w:type="dxa" w:w="936"/>
          </w:tcPr>
          <w:p>
            <w:r>
              <w:rPr>
                <w:sz w:val="18"/>
              </w:rPr>
              <w:t>4,199</w:t>
            </w:r>
          </w:p>
        </w:tc>
        <w:tc>
          <w:tcPr>
            <w:tcW w:type="dxa" w:w="936"/>
          </w:tcPr>
          <w:p>
            <w:r>
              <w:rPr>
                <w:sz w:val="18"/>
              </w:rPr>
              <w:t>4,445</w:t>
            </w:r>
          </w:p>
        </w:tc>
        <w:tc>
          <w:tcPr>
            <w:tcW w:type="dxa" w:w="936"/>
          </w:tcPr>
          <w:p>
            <w:r>
              <w:rPr>
                <w:sz w:val="18"/>
              </w:rPr>
              <w:t>4,771</w:t>
            </w:r>
          </w:p>
        </w:tc>
        <w:tc>
          <w:tcPr>
            <w:tcW w:type="dxa" w:w="936"/>
          </w:tcPr>
          <w:p>
            <w:r>
              <w:rPr>
                <w:sz w:val="18"/>
              </w:rPr>
              <w:t>3,913</w:t>
            </w:r>
          </w:p>
        </w:tc>
        <w:tc>
          <w:tcPr>
            <w:tcW w:type="dxa" w:w="936"/>
          </w:tcPr>
          <w:p>
            <w:r>
              <w:rPr>
                <w:sz w:val="18"/>
              </w:rPr>
              <w:t>5,771</w:t>
            </w:r>
          </w:p>
        </w:tc>
        <w:tc>
          <w:tcPr>
            <w:tcW w:type="dxa" w:w="936"/>
          </w:tcPr>
          <w:p>
            <w:r>
              <w:rPr>
                <w:sz w:val="18"/>
              </w:rPr>
              <w:t>6,421</w:t>
            </w:r>
          </w:p>
        </w:tc>
        <w:tc>
          <w:tcPr>
            <w:tcW w:type="dxa" w:w="936"/>
          </w:tcPr>
          <w:p>
            <w:r>
              <w:rPr>
                <w:sz w:val="18"/>
              </w:rPr>
              <w:t>5,931</w:t>
            </w:r>
          </w:p>
        </w:tc>
        <w:tc>
          <w:tcPr>
            <w:tcW w:type="dxa" w:w="936"/>
          </w:tcPr>
          <w:p>
            <w:r>
              <w:rPr>
                <w:sz w:val="18"/>
              </w:rPr>
              <w:t>6,754</w:t>
            </w:r>
          </w:p>
        </w:tc>
      </w:tr>
      <w:tr>
        <w:tc>
          <w:tcPr>
            <w:tcW w:type="dxa" w:w="2880"/>
          </w:tcPr>
          <w:p>
            <w:r>
              <w:rPr>
                <w:sz w:val="18"/>
              </w:rPr>
              <w:t>EBIT margin %</w:t>
            </w:r>
          </w:p>
        </w:tc>
        <w:tc>
          <w:tcPr>
            <w:tcW w:type="dxa" w:w="936"/>
          </w:tcPr>
          <w:p>
            <w:r>
              <w:rPr>
                <w:sz w:val="18"/>
              </w:rPr>
              <w:t>14.3%</w:t>
            </w:r>
          </w:p>
        </w:tc>
        <w:tc>
          <w:tcPr>
            <w:tcW w:type="dxa" w:w="936"/>
          </w:tcPr>
          <w:p>
            <w:r>
              <w:rPr>
                <w:sz w:val="18"/>
              </w:rPr>
              <w:t>12.1%</w:t>
            </w:r>
          </w:p>
        </w:tc>
        <w:tc>
          <w:tcPr>
            <w:tcW w:type="dxa" w:w="936"/>
          </w:tcPr>
          <w:p>
            <w:r>
              <w:rPr>
                <w:sz w:val="18"/>
              </w:rPr>
              <w:t>12.2%</w:t>
            </w:r>
          </w:p>
        </w:tc>
        <w:tc>
          <w:tcPr>
            <w:tcW w:type="dxa" w:w="936"/>
          </w:tcPr>
          <w:p>
            <w:r>
              <w:rPr>
                <w:sz w:val="18"/>
              </w:rPr>
              <w:t>12.2%</w:t>
            </w:r>
          </w:p>
        </w:tc>
        <w:tc>
          <w:tcPr>
            <w:tcW w:type="dxa" w:w="936"/>
          </w:tcPr>
          <w:p>
            <w:r>
              <w:rPr>
                <w:sz w:val="18"/>
              </w:rPr>
              <w:t>12.2%</w:t>
            </w:r>
          </w:p>
        </w:tc>
        <w:tc>
          <w:tcPr>
            <w:tcW w:type="dxa" w:w="936"/>
          </w:tcPr>
          <w:p>
            <w:r>
              <w:rPr>
                <w:sz w:val="18"/>
              </w:rPr>
              <w:t>10.5%</w:t>
            </w:r>
          </w:p>
        </w:tc>
        <w:tc>
          <w:tcPr>
            <w:tcW w:type="dxa" w:w="936"/>
          </w:tcPr>
          <w:p>
            <w:r>
              <w:rPr>
                <w:sz w:val="18"/>
              </w:rPr>
              <w:t>13.0%</w:t>
            </w:r>
          </w:p>
        </w:tc>
        <w:tc>
          <w:tcPr>
            <w:tcW w:type="dxa" w:w="936"/>
          </w:tcPr>
          <w:p>
            <w:r>
              <w:rPr>
                <w:sz w:val="18"/>
              </w:rPr>
              <w:t>13.7%</w:t>
            </w:r>
          </w:p>
        </w:tc>
        <w:tc>
          <w:tcPr>
            <w:tcW w:type="dxa" w:w="936"/>
          </w:tcPr>
          <w:p>
            <w:r>
              <w:rPr>
                <w:sz w:val="18"/>
              </w:rPr>
              <w:t>11.6%</w:t>
            </w:r>
          </w:p>
        </w:tc>
        <w:tc>
          <w:tcPr>
            <w:tcW w:type="dxa" w:w="936"/>
          </w:tcPr>
          <w:p>
            <w:r>
              <w:rPr>
                <w:sz w:val="18"/>
              </w:rPr>
              <w:t>13.1%</w:t>
            </w:r>
          </w:p>
        </w:tc>
      </w:tr>
      <w:tr>
        <w:tc>
          <w:tcPr>
            <w:tcW w:type="dxa" w:w="2880"/>
          </w:tcPr>
          <w:p>
            <w:r>
              <w:rPr>
                <w:sz w:val="18"/>
              </w:rPr>
              <w:t>Net Income $m</w:t>
            </w:r>
          </w:p>
        </w:tc>
        <w:tc>
          <w:tcPr>
            <w:tcW w:type="dxa" w:w="936"/>
          </w:tcPr>
          <w:p>
            <w:r>
              <w:rPr>
                <w:sz w:val="18"/>
              </w:rPr>
              <w:t>3,273</w:t>
            </w:r>
          </w:p>
        </w:tc>
        <w:tc>
          <w:tcPr>
            <w:tcW w:type="dxa" w:w="936"/>
          </w:tcPr>
          <w:p>
            <w:r>
              <w:rPr>
                <w:sz w:val="18"/>
              </w:rPr>
              <w:t>3,760</w:t>
            </w:r>
          </w:p>
        </w:tc>
        <w:tc>
          <w:tcPr>
            <w:tcW w:type="dxa" w:w="936"/>
          </w:tcPr>
          <w:p>
            <w:r>
              <w:rPr>
                <w:sz w:val="18"/>
              </w:rPr>
              <w:t>4,240</w:t>
            </w:r>
          </w:p>
        </w:tc>
        <w:tc>
          <w:tcPr>
            <w:tcW w:type="dxa" w:w="936"/>
          </w:tcPr>
          <w:p>
            <w:r>
              <w:rPr>
                <w:sz w:val="18"/>
              </w:rPr>
              <w:t>1,933</w:t>
            </w:r>
          </w:p>
        </w:tc>
        <w:tc>
          <w:tcPr>
            <w:tcW w:type="dxa" w:w="936"/>
          </w:tcPr>
          <w:p>
            <w:r>
              <w:rPr>
                <w:sz w:val="18"/>
              </w:rPr>
              <w:t>4,029</w:t>
            </w:r>
          </w:p>
        </w:tc>
        <w:tc>
          <w:tcPr>
            <w:tcW w:type="dxa" w:w="936"/>
          </w:tcPr>
          <w:p>
            <w:r>
              <w:rPr>
                <w:sz w:val="18"/>
              </w:rPr>
              <w:t>2,539</w:t>
            </w:r>
          </w:p>
        </w:tc>
        <w:tc>
          <w:tcPr>
            <w:tcW w:type="dxa" w:w="936"/>
          </w:tcPr>
          <w:p>
            <w:r>
              <w:rPr>
                <w:sz w:val="18"/>
              </w:rPr>
              <w:t>5,727</w:t>
            </w:r>
          </w:p>
        </w:tc>
        <w:tc>
          <w:tcPr>
            <w:tcW w:type="dxa" w:w="936"/>
          </w:tcPr>
          <w:p>
            <w:r>
              <w:rPr>
                <w:sz w:val="18"/>
              </w:rPr>
              <w:t>6,046</w:t>
            </w:r>
          </w:p>
        </w:tc>
        <w:tc>
          <w:tcPr>
            <w:tcW w:type="dxa" w:w="936"/>
          </w:tcPr>
          <w:p>
            <w:r>
              <w:rPr>
                <w:sz w:val="18"/>
              </w:rPr>
              <w:t>5,070</w:t>
            </w:r>
          </w:p>
        </w:tc>
        <w:tc>
          <w:tcPr>
            <w:tcW w:type="dxa" w:w="936"/>
          </w:tcPr>
          <w:p>
            <w:r>
              <w:rPr>
                <w:sz w:val="18"/>
              </w:rPr>
              <w:t>5,700</w:t>
            </w:r>
          </w:p>
        </w:tc>
      </w:tr>
      <w:tr>
        <w:tc>
          <w:tcPr>
            <w:tcW w:type="dxa" w:w="2880"/>
          </w:tcPr>
          <w:p>
            <w:r>
              <w:rPr>
                <w:sz w:val="18"/>
              </w:rPr>
              <w:t>EPS diluted $</w:t>
            </w:r>
          </w:p>
        </w:tc>
        <w:tc>
          <w:tcPr>
            <w:tcW w:type="dxa" w:w="936"/>
          </w:tcPr>
          <w:p>
            <w:r>
              <w:rPr>
                <w:sz w:val="18"/>
              </w:rPr>
              <w:t>1.85</w:t>
            </w:r>
          </w:p>
        </w:tc>
        <w:tc>
          <w:tcPr>
            <w:tcW w:type="dxa" w:w="936"/>
          </w:tcPr>
          <w:p>
            <w:r>
              <w:rPr>
                <w:sz w:val="18"/>
              </w:rPr>
              <w:t>2.16</w:t>
            </w:r>
          </w:p>
        </w:tc>
        <w:tc>
          <w:tcPr>
            <w:tcW w:type="dxa" w:w="936"/>
          </w:tcPr>
          <w:p>
            <w:r>
              <w:rPr>
                <w:sz w:val="18"/>
              </w:rPr>
              <w:t>2.51</w:t>
            </w:r>
          </w:p>
        </w:tc>
        <w:tc>
          <w:tcPr>
            <w:tcW w:type="dxa" w:w="936"/>
          </w:tcPr>
          <w:p>
            <w:r>
              <w:rPr>
                <w:sz w:val="18"/>
              </w:rPr>
              <w:t>1.17</w:t>
            </w:r>
          </w:p>
        </w:tc>
        <w:tc>
          <w:tcPr>
            <w:tcW w:type="dxa" w:w="936"/>
          </w:tcPr>
          <w:p>
            <w:r>
              <w:rPr>
                <w:sz w:val="18"/>
              </w:rPr>
              <w:t>2.49</w:t>
            </w:r>
          </w:p>
        </w:tc>
        <w:tc>
          <w:tcPr>
            <w:tcW w:type="dxa" w:w="936"/>
          </w:tcPr>
          <w:p>
            <w:r>
              <w:rPr>
                <w:sz w:val="18"/>
              </w:rPr>
              <w:t>1.60</w:t>
            </w:r>
          </w:p>
        </w:tc>
        <w:tc>
          <w:tcPr>
            <w:tcW w:type="dxa" w:w="936"/>
          </w:tcPr>
          <w:p>
            <w:r>
              <w:rPr>
                <w:sz w:val="18"/>
              </w:rPr>
              <w:t>3.56</w:t>
            </w:r>
          </w:p>
        </w:tc>
        <w:tc>
          <w:tcPr>
            <w:tcW w:type="dxa" w:w="936"/>
          </w:tcPr>
          <w:p>
            <w:r>
              <w:rPr>
                <w:sz w:val="18"/>
              </w:rPr>
              <w:t>3.75</w:t>
            </w:r>
          </w:p>
        </w:tc>
        <w:tc>
          <w:tcPr>
            <w:tcW w:type="dxa" w:w="936"/>
          </w:tcPr>
          <w:p>
            <w:r>
              <w:rPr>
                <w:sz w:val="18"/>
              </w:rPr>
              <w:t>3.23</w:t>
            </w:r>
          </w:p>
        </w:tc>
        <w:tc>
          <w:tcPr>
            <w:tcW w:type="dxa" w:w="936"/>
          </w:tcPr>
          <w:p>
            <w:r>
              <w:rPr>
                <w:sz w:val="18"/>
              </w:rPr>
              <w:t>3.73</w:t>
            </w:r>
          </w:p>
        </w:tc>
      </w:tr>
      <w:tr>
        <w:tc>
          <w:tcPr>
            <w:tcW w:type="dxa" w:w="2880"/>
          </w:tcPr>
          <w:p>
            <w:r>
              <w:rPr>
                <w:sz w:val="18"/>
              </w:rPr>
              <w:t>EBITDA $m</w:t>
            </w:r>
          </w:p>
        </w:tc>
        <w:tc>
          <w:tcPr>
            <w:tcW w:type="dxa" w:w="936"/>
          </w:tcPr>
          <w:p>
            <w:r>
              <w:rPr>
                <w:sz w:val="18"/>
              </w:rPr>
              <w:t>4,629</w:t>
            </w:r>
          </w:p>
        </w:tc>
        <w:tc>
          <w:tcPr>
            <w:tcW w:type="dxa" w:w="936"/>
          </w:tcPr>
          <w:p>
            <w:r>
              <w:rPr>
                <w:sz w:val="18"/>
              </w:rPr>
              <w:t>4,578</w:t>
            </w:r>
          </w:p>
        </w:tc>
        <w:tc>
          <w:tcPr>
            <w:tcW w:type="dxa" w:w="936"/>
          </w:tcPr>
          <w:p>
            <w:r>
              <w:rPr>
                <w:sz w:val="18"/>
              </w:rPr>
              <w:t>4,915</w:t>
            </w:r>
          </w:p>
        </w:tc>
        <w:tc>
          <w:tcPr>
            <w:tcW w:type="dxa" w:w="936"/>
          </w:tcPr>
          <w:p>
            <w:r>
              <w:rPr>
                <w:sz w:val="18"/>
              </w:rPr>
              <w:t>5,219</w:t>
            </w:r>
          </w:p>
        </w:tc>
        <w:tc>
          <w:tcPr>
            <w:tcW w:type="dxa" w:w="936"/>
          </w:tcPr>
          <w:p>
            <w:r>
              <w:rPr>
                <w:sz w:val="18"/>
              </w:rPr>
              <w:t>5,491</w:t>
            </w:r>
          </w:p>
        </w:tc>
        <w:tc>
          <w:tcPr>
            <w:tcW w:type="dxa" w:w="936"/>
          </w:tcPr>
          <w:p>
            <w:r>
              <w:rPr>
                <w:sz w:val="18"/>
              </w:rPr>
              <w:t>5,032</w:t>
            </w:r>
          </w:p>
        </w:tc>
        <w:tc>
          <w:tcPr>
            <w:tcW w:type="dxa" w:w="936"/>
          </w:tcPr>
          <w:p>
            <w:r>
              <w:rPr>
                <w:sz w:val="18"/>
              </w:rPr>
              <w:t>6,568</w:t>
            </w:r>
          </w:p>
        </w:tc>
        <w:tc>
          <w:tcPr>
            <w:tcW w:type="dxa" w:w="936"/>
          </w:tcPr>
          <w:p>
            <w:r>
              <w:rPr>
                <w:sz w:val="18"/>
              </w:rPr>
              <w:t>7,261</w:t>
            </w:r>
          </w:p>
        </w:tc>
        <w:tc>
          <w:tcPr>
            <w:tcW w:type="dxa" w:w="936"/>
          </w:tcPr>
          <w:p>
            <w:r>
              <w:rPr>
                <w:sz w:val="18"/>
              </w:rPr>
              <w:t>6,634</w:t>
            </w:r>
          </w:p>
        </w:tc>
        <w:tc>
          <w:tcPr>
            <w:tcW w:type="dxa" w:w="936"/>
          </w:tcPr>
          <w:p>
            <w:r>
              <w:rPr>
                <w:sz w:val="18"/>
              </w:rPr>
              <w:t>7,550</w:t>
            </w:r>
          </w:p>
        </w:tc>
      </w:tr>
    </w:tbl>
    <w:p/>
    <w:p>
      <w:pPr>
        <w:pStyle w:val="Heading2"/>
      </w:pPr>
      <w:r>
        <w:t>12.2  Cash Flow Statement Summary</w:t>
      </w:r>
    </w:p>
    <w:tbl>
      <w:tblPr>
        <w:tblStyle w:val="LightList-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2880"/>
          </w:tcPr>
          <w:p>
            <w:r>
              <w:rPr>
                <w:b/>
                <w:sz w:val="18"/>
              </w:rPr>
              <w:t>Item</w:t>
            </w:r>
          </w:p>
        </w:tc>
        <w:tc>
          <w:tcPr>
            <w:tcW w:type="dxa" w:w="1152"/>
          </w:tcPr>
          <w:p>
            <w:r>
              <w:rPr>
                <w:b/>
                <w:sz w:val="18"/>
              </w:rPr>
              <w:t>FY15</w:t>
            </w:r>
          </w:p>
        </w:tc>
        <w:tc>
          <w:tcPr>
            <w:tcW w:type="dxa" w:w="1152"/>
          </w:tcPr>
          <w:p>
            <w:r>
              <w:rPr>
                <w:b/>
                <w:sz w:val="18"/>
              </w:rPr>
              <w:t>FY20</w:t>
            </w:r>
          </w:p>
        </w:tc>
        <w:tc>
          <w:tcPr>
            <w:tcW w:type="dxa" w:w="1152"/>
          </w:tcPr>
          <w:p>
            <w:r>
              <w:rPr>
                <w:b/>
                <w:sz w:val="18"/>
              </w:rPr>
              <w:t>FY21</w:t>
            </w:r>
          </w:p>
        </w:tc>
        <w:tc>
          <w:tcPr>
            <w:tcW w:type="dxa" w:w="1152"/>
          </w:tcPr>
          <w:p>
            <w:r>
              <w:rPr>
                <w:b/>
                <w:sz w:val="18"/>
              </w:rPr>
              <w:t>FY22</w:t>
            </w:r>
          </w:p>
        </w:tc>
        <w:tc>
          <w:tcPr>
            <w:tcW w:type="dxa" w:w="1152"/>
          </w:tcPr>
          <w:p>
            <w:r>
              <w:rPr>
                <w:b/>
                <w:sz w:val="18"/>
              </w:rPr>
              <w:t>FY23</w:t>
            </w:r>
          </w:p>
        </w:tc>
        <w:tc>
          <w:tcPr>
            <w:tcW w:type="dxa" w:w="1152"/>
          </w:tcPr>
          <w:p>
            <w:r>
              <w:rPr>
                <w:b/>
                <w:sz w:val="18"/>
              </w:rPr>
              <w:t>FY24</w:t>
            </w:r>
          </w:p>
        </w:tc>
      </w:tr>
      <w:tr>
        <w:tc>
          <w:tcPr>
            <w:tcW w:type="dxa" w:w="2880"/>
          </w:tcPr>
          <w:p/>
        </w:tc>
        <w:tc>
          <w:tcPr>
            <w:tcW w:type="dxa" w:w="1152"/>
          </w:tcPr>
          <w:p/>
        </w:tc>
        <w:tc>
          <w:tcPr>
            <w:tcW w:type="dxa" w:w="1152"/>
          </w:tcPr>
          <w:p/>
        </w:tc>
        <w:tc>
          <w:tcPr>
            <w:tcW w:type="dxa" w:w="1152"/>
          </w:tcPr>
          <w:p/>
        </w:tc>
        <w:tc>
          <w:tcPr>
            <w:tcW w:type="dxa" w:w="1152"/>
          </w:tcPr>
          <w:p/>
        </w:tc>
        <w:tc>
          <w:tcPr>
            <w:tcW w:type="dxa" w:w="1152"/>
          </w:tcPr>
          <w:p/>
        </w:tc>
        <w:tc>
          <w:tcPr>
            <w:tcW w:type="dxa" w:w="1152"/>
          </w:tcPr>
          <w:p/>
        </w:tc>
      </w:tr>
      <w:tr>
        <w:tc>
          <w:tcPr>
            <w:tcW w:type="dxa" w:w="2880"/>
          </w:tcPr>
          <w:p/>
        </w:tc>
        <w:tc>
          <w:tcPr>
            <w:tcW w:type="dxa" w:w="1152"/>
          </w:tcPr>
          <w:p/>
        </w:tc>
        <w:tc>
          <w:tcPr>
            <w:tcW w:type="dxa" w:w="1152"/>
          </w:tcPr>
          <w:p/>
        </w:tc>
        <w:tc>
          <w:tcPr>
            <w:tcW w:type="dxa" w:w="1152"/>
          </w:tcPr>
          <w:p/>
        </w:tc>
        <w:tc>
          <w:tcPr>
            <w:tcW w:type="dxa" w:w="1152"/>
          </w:tcPr>
          <w:p/>
        </w:tc>
        <w:tc>
          <w:tcPr>
            <w:tcW w:type="dxa" w:w="1152"/>
          </w:tcPr>
          <w:p/>
        </w:tc>
        <w:tc>
          <w:tcPr>
            <w:tcW w:type="dxa" w:w="1152"/>
          </w:tcPr>
          <w:p/>
        </w:tc>
      </w:tr>
      <w:tr>
        <w:tc>
          <w:tcPr>
            <w:tcW w:type="dxa" w:w="2880"/>
          </w:tcPr>
          <w:p/>
        </w:tc>
        <w:tc>
          <w:tcPr>
            <w:tcW w:type="dxa" w:w="1152"/>
          </w:tcPr>
          <w:p/>
        </w:tc>
        <w:tc>
          <w:tcPr>
            <w:tcW w:type="dxa" w:w="1152"/>
          </w:tcPr>
          <w:p/>
        </w:tc>
        <w:tc>
          <w:tcPr>
            <w:tcW w:type="dxa" w:w="1152"/>
          </w:tcPr>
          <w:p/>
        </w:tc>
        <w:tc>
          <w:tcPr>
            <w:tcW w:type="dxa" w:w="1152"/>
          </w:tcPr>
          <w:p/>
        </w:tc>
        <w:tc>
          <w:tcPr>
            <w:tcW w:type="dxa" w:w="1152"/>
          </w:tcPr>
          <w:p/>
        </w:tc>
        <w:tc>
          <w:tcPr>
            <w:tcW w:type="dxa" w:w="1152"/>
          </w:tcPr>
          <w:p/>
        </w:tc>
      </w:tr>
      <w:tr>
        <w:tc>
          <w:tcPr>
            <w:tcW w:type="dxa" w:w="2880"/>
          </w:tcPr>
          <w:p/>
        </w:tc>
        <w:tc>
          <w:tcPr>
            <w:tcW w:type="dxa" w:w="1152"/>
          </w:tcPr>
          <w:p/>
        </w:tc>
        <w:tc>
          <w:tcPr>
            <w:tcW w:type="dxa" w:w="1152"/>
          </w:tcPr>
          <w:p/>
        </w:tc>
        <w:tc>
          <w:tcPr>
            <w:tcW w:type="dxa" w:w="1152"/>
          </w:tcPr>
          <w:p/>
        </w:tc>
        <w:tc>
          <w:tcPr>
            <w:tcW w:type="dxa" w:w="1152"/>
          </w:tcPr>
          <w:p/>
        </w:tc>
        <w:tc>
          <w:tcPr>
            <w:tcW w:type="dxa" w:w="1152"/>
          </w:tcPr>
          <w:p/>
        </w:tc>
        <w:tc>
          <w:tcPr>
            <w:tcW w:type="dxa" w:w="1152"/>
          </w:tcPr>
          <w:p/>
        </w:tc>
      </w:tr>
      <w:tr>
        <w:tc>
          <w:tcPr>
            <w:tcW w:type="dxa" w:w="2880"/>
          </w:tcPr>
          <w:p/>
        </w:tc>
        <w:tc>
          <w:tcPr>
            <w:tcW w:type="dxa" w:w="1152"/>
          </w:tcPr>
          <w:p/>
        </w:tc>
        <w:tc>
          <w:tcPr>
            <w:tcW w:type="dxa" w:w="1152"/>
          </w:tcPr>
          <w:p/>
        </w:tc>
        <w:tc>
          <w:tcPr>
            <w:tcW w:type="dxa" w:w="1152"/>
          </w:tcPr>
          <w:p/>
        </w:tc>
        <w:tc>
          <w:tcPr>
            <w:tcW w:type="dxa" w:w="1152"/>
          </w:tcPr>
          <w:p/>
        </w:tc>
        <w:tc>
          <w:tcPr>
            <w:tcW w:type="dxa" w:w="1152"/>
          </w:tcPr>
          <w:p/>
        </w:tc>
        <w:tc>
          <w:tcPr>
            <w:tcW w:type="dxa" w:w="1152"/>
          </w:tcPr>
          <w:p/>
        </w:tc>
      </w:tr>
      <w:tr>
        <w:tc>
          <w:tcPr>
            <w:tcW w:type="dxa" w:w="2880"/>
          </w:tcPr>
          <w:p/>
        </w:tc>
        <w:tc>
          <w:tcPr>
            <w:tcW w:type="dxa" w:w="1152"/>
          </w:tcPr>
          <w:p/>
        </w:tc>
        <w:tc>
          <w:tcPr>
            <w:tcW w:type="dxa" w:w="1152"/>
          </w:tcPr>
          <w:p/>
        </w:tc>
        <w:tc>
          <w:tcPr>
            <w:tcW w:type="dxa" w:w="1152"/>
          </w:tcPr>
          <w:p/>
        </w:tc>
        <w:tc>
          <w:tcPr>
            <w:tcW w:type="dxa" w:w="1152"/>
          </w:tcPr>
          <w:p/>
        </w:tc>
        <w:tc>
          <w:tcPr>
            <w:tcW w:type="dxa" w:w="1152"/>
          </w:tcPr>
          <w:p/>
        </w:tc>
        <w:tc>
          <w:tcPr>
            <w:tcW w:type="dxa" w:w="1152"/>
          </w:tcPr>
          <w:p/>
        </w:tc>
      </w:tr>
      <w:tr>
        <w:tc>
          <w:tcPr>
            <w:tcW w:type="dxa" w:w="2880"/>
          </w:tcPr>
          <w:p/>
        </w:tc>
        <w:tc>
          <w:tcPr>
            <w:tcW w:type="dxa" w:w="1152"/>
          </w:tcPr>
          <w:p/>
        </w:tc>
        <w:tc>
          <w:tcPr>
            <w:tcW w:type="dxa" w:w="1152"/>
          </w:tcPr>
          <w:p/>
        </w:tc>
        <w:tc>
          <w:tcPr>
            <w:tcW w:type="dxa" w:w="1152"/>
          </w:tcPr>
          <w:p/>
        </w:tc>
        <w:tc>
          <w:tcPr>
            <w:tcW w:type="dxa" w:w="1152"/>
          </w:tcPr>
          <w:p/>
        </w:tc>
        <w:tc>
          <w:tcPr>
            <w:tcW w:type="dxa" w:w="1152"/>
          </w:tcPr>
          <w:p/>
        </w:tc>
        <w:tc>
          <w:tcPr>
            <w:tcW w:type="dxa" w:w="1152"/>
          </w:tcPr>
          <w:p/>
        </w:tc>
      </w:tr>
      <w:tr>
        <w:tc>
          <w:tcPr>
            <w:tcW w:type="dxa" w:w="2880"/>
          </w:tcPr>
          <w:p/>
        </w:tc>
        <w:tc>
          <w:tcPr>
            <w:tcW w:type="dxa" w:w="1152"/>
          </w:tcPr>
          <w:p/>
        </w:tc>
        <w:tc>
          <w:tcPr>
            <w:tcW w:type="dxa" w:w="1152"/>
          </w:tcPr>
          <w:p/>
        </w:tc>
        <w:tc>
          <w:tcPr>
            <w:tcW w:type="dxa" w:w="1152"/>
          </w:tcPr>
          <w:p/>
        </w:tc>
        <w:tc>
          <w:tcPr>
            <w:tcW w:type="dxa" w:w="1152"/>
          </w:tcPr>
          <w:p/>
        </w:tc>
        <w:tc>
          <w:tcPr>
            <w:tcW w:type="dxa" w:w="1152"/>
          </w:tcPr>
          <w:p/>
        </w:tc>
        <w:tc>
          <w:tcPr>
            <w:tcW w:type="dxa" w:w="1152"/>
          </w:tcPr>
          <w:p/>
        </w:tc>
      </w:tr>
      <w:tr>
        <w:tc>
          <w:tcPr>
            <w:tcW w:type="dxa" w:w="2880"/>
          </w:tcPr>
          <w:p>
            <w:r>
              <w:rPr>
                <w:sz w:val="18"/>
              </w:rPr>
              <w:t>CFO $m</w:t>
            </w:r>
          </w:p>
        </w:tc>
        <w:tc>
          <w:tcPr>
            <w:tcW w:type="dxa" w:w="1152"/>
          </w:tcPr>
          <w:p>
            <w:r>
              <w:rPr>
                <w:sz w:val="18"/>
              </w:rPr>
              <w:t>4,680</w:t>
            </w:r>
          </w:p>
        </w:tc>
        <w:tc>
          <w:tcPr>
            <w:tcW w:type="dxa" w:w="1152"/>
          </w:tcPr>
          <w:p>
            <w:r>
              <w:rPr>
                <w:sz w:val="18"/>
              </w:rPr>
              <w:t>2,485</w:t>
            </w:r>
          </w:p>
        </w:tc>
        <w:tc>
          <w:tcPr>
            <w:tcW w:type="dxa" w:w="1152"/>
          </w:tcPr>
          <w:p>
            <w:r>
              <w:rPr>
                <w:sz w:val="18"/>
              </w:rPr>
              <w:t>6,657</w:t>
            </w:r>
          </w:p>
        </w:tc>
        <w:tc>
          <w:tcPr>
            <w:tcW w:type="dxa" w:w="1152"/>
          </w:tcPr>
          <w:p>
            <w:r>
              <w:rPr>
                <w:sz w:val="18"/>
              </w:rPr>
              <w:t>5,188</w:t>
            </w:r>
          </w:p>
        </w:tc>
        <w:tc>
          <w:tcPr>
            <w:tcW w:type="dxa" w:w="1152"/>
          </w:tcPr>
          <w:p>
            <w:r>
              <w:rPr>
                <w:sz w:val="18"/>
              </w:rPr>
              <w:t>5,841</w:t>
            </w:r>
          </w:p>
        </w:tc>
        <w:tc>
          <w:tcPr>
            <w:tcW w:type="dxa" w:w="1152"/>
          </w:tcPr>
          <w:p>
            <w:r>
              <w:rPr>
                <w:sz w:val="18"/>
              </w:rPr>
              <w:t>7,429</w:t>
            </w:r>
          </w:p>
        </w:tc>
      </w:tr>
      <w:tr>
        <w:tc>
          <w:tcPr>
            <w:tcW w:type="dxa" w:w="2880"/>
          </w:tcPr>
          <w:p>
            <w:r>
              <w:rPr>
                <w:sz w:val="18"/>
              </w:rPr>
              <w:t>CapEx $m</w:t>
            </w:r>
          </w:p>
        </w:tc>
        <w:tc>
          <w:tcPr>
            <w:tcW w:type="dxa" w:w="1152"/>
          </w:tcPr>
          <w:p>
            <w:r>
              <w:rPr>
                <w:sz w:val="18"/>
              </w:rPr>
              <w:t>-963</w:t>
            </w:r>
          </w:p>
        </w:tc>
        <w:tc>
          <w:tcPr>
            <w:tcW w:type="dxa" w:w="1152"/>
          </w:tcPr>
          <w:p>
            <w:r>
              <w:rPr>
                <w:sz w:val="18"/>
              </w:rPr>
              <w:t>-1,086</w:t>
            </w:r>
          </w:p>
        </w:tc>
        <w:tc>
          <w:tcPr>
            <w:tcW w:type="dxa" w:w="1152"/>
          </w:tcPr>
          <w:p>
            <w:r>
              <w:rPr>
                <w:sz w:val="18"/>
              </w:rPr>
              <w:t>-695</w:t>
            </w:r>
          </w:p>
        </w:tc>
        <w:tc>
          <w:tcPr>
            <w:tcW w:type="dxa" w:w="1152"/>
          </w:tcPr>
          <w:p>
            <w:r>
              <w:rPr>
                <w:sz w:val="18"/>
              </w:rPr>
              <w:t>-758</w:t>
            </w:r>
          </w:p>
        </w:tc>
        <w:tc>
          <w:tcPr>
            <w:tcW w:type="dxa" w:w="1152"/>
          </w:tcPr>
          <w:p>
            <w:r>
              <w:rPr>
                <w:sz w:val="18"/>
              </w:rPr>
              <w:t>-969</w:t>
            </w:r>
          </w:p>
        </w:tc>
        <w:tc>
          <w:tcPr>
            <w:tcW w:type="dxa" w:w="1152"/>
          </w:tcPr>
          <w:p>
            <w:r>
              <w:rPr>
                <w:sz w:val="18"/>
              </w:rPr>
              <w:t>-812</w:t>
            </w:r>
          </w:p>
        </w:tc>
      </w:tr>
      <w:tr>
        <w:tc>
          <w:tcPr>
            <w:tcW w:type="dxa" w:w="2880"/>
          </w:tcPr>
          <w:p>
            <w:r>
              <w:rPr>
                <w:sz w:val="18"/>
              </w:rPr>
              <w:t>CFF $m</w:t>
            </w:r>
          </w:p>
        </w:tc>
        <w:tc>
          <w:tcPr>
            <w:tcW w:type="dxa" w:w="1152"/>
          </w:tcPr>
          <w:p>
            <w:r>
              <w:rPr>
                <w:sz w:val="18"/>
              </w:rPr>
              <w:t>-2,790</w:t>
            </w:r>
          </w:p>
        </w:tc>
        <w:tc>
          <w:tcPr>
            <w:tcW w:type="dxa" w:w="1152"/>
          </w:tcPr>
          <w:p>
            <w:r>
              <w:rPr>
                <w:sz w:val="18"/>
              </w:rPr>
              <w:t>+2,491</w:t>
            </w:r>
          </w:p>
        </w:tc>
        <w:tc>
          <w:tcPr>
            <w:tcW w:type="dxa" w:w="1152"/>
          </w:tcPr>
          <w:p>
            <w:r>
              <w:rPr>
                <w:sz w:val="18"/>
              </w:rPr>
              <w:t>-1,459</w:t>
            </w:r>
          </w:p>
        </w:tc>
        <w:tc>
          <w:tcPr>
            <w:tcW w:type="dxa" w:w="1152"/>
          </w:tcPr>
          <w:p>
            <w:r>
              <w:rPr>
                <w:sz w:val="18"/>
              </w:rPr>
              <w:t>-4,836</w:t>
            </w:r>
          </w:p>
        </w:tc>
        <w:tc>
          <w:tcPr>
            <w:tcW w:type="dxa" w:w="1152"/>
          </w:tcPr>
          <w:p>
            <w:r>
              <w:rPr>
                <w:sz w:val="18"/>
              </w:rPr>
              <w:t>-7,447</w:t>
            </w:r>
          </w:p>
        </w:tc>
        <w:tc>
          <w:tcPr>
            <w:tcW w:type="dxa" w:w="1152"/>
          </w:tcPr>
          <w:p>
            <w:r>
              <w:rPr>
                <w:sz w:val="18"/>
              </w:rPr>
              <w:t>-5,888</w:t>
            </w:r>
          </w:p>
        </w:tc>
      </w:tr>
      <w:tr>
        <w:tc>
          <w:tcPr>
            <w:tcW w:type="dxa" w:w="2880"/>
          </w:tcPr>
          <w:p>
            <w:r>
              <w:rPr>
                <w:sz w:val="18"/>
              </w:rPr>
              <w:t>Net ΔCash $m</w:t>
            </w:r>
          </w:p>
        </w:tc>
        <w:tc>
          <w:tcPr>
            <w:tcW w:type="dxa" w:w="1152"/>
          </w:tcPr>
          <w:p>
            <w:r>
              <w:rPr>
                <w:sz w:val="18"/>
              </w:rPr>
              <w:t>+1,632</w:t>
            </w:r>
          </w:p>
        </w:tc>
        <w:tc>
          <w:tcPr>
            <w:tcW w:type="dxa" w:w="1152"/>
          </w:tcPr>
          <w:p>
            <w:r>
              <w:rPr>
                <w:sz w:val="18"/>
              </w:rPr>
              <w:t>+3,882</w:t>
            </w:r>
          </w:p>
        </w:tc>
        <w:tc>
          <w:tcPr>
            <w:tcW w:type="dxa" w:w="1152"/>
          </w:tcPr>
          <w:p>
            <w:r>
              <w:rPr>
                <w:sz w:val="18"/>
              </w:rPr>
              <w:t>+1,541</w:t>
            </w:r>
          </w:p>
        </w:tc>
        <w:tc>
          <w:tcPr>
            <w:tcW w:type="dxa" w:w="1152"/>
          </w:tcPr>
          <w:p>
            <w:r>
              <w:rPr>
                <w:sz w:val="18"/>
              </w:rPr>
              <w:t>-1,315</w:t>
            </w:r>
          </w:p>
        </w:tc>
        <w:tc>
          <w:tcPr>
            <w:tcW w:type="dxa" w:w="1152"/>
          </w:tcPr>
          <w:p>
            <w:r>
              <w:rPr>
                <w:sz w:val="18"/>
              </w:rPr>
              <w:t>-1,133</w:t>
            </w:r>
          </w:p>
        </w:tc>
        <w:tc>
          <w:tcPr>
            <w:tcW w:type="dxa" w:w="1152"/>
          </w:tcPr>
          <w:p>
            <w:r>
              <w:rPr>
                <w:sz w:val="18"/>
              </w:rPr>
              <w:t>+2,419</w:t>
            </w:r>
          </w:p>
        </w:tc>
      </w:tr>
      <w:tr>
        <w:tc>
          <w:tcPr>
            <w:tcW w:type="dxa" w:w="2880"/>
          </w:tcPr>
          <w:p>
            <w:r>
              <w:rPr>
                <w:sz w:val="18"/>
              </w:rPr>
              <w:t>Cash interest paid $m</w:t>
            </w:r>
          </w:p>
        </w:tc>
        <w:tc>
          <w:tcPr>
            <w:tcW w:type="dxa" w:w="1152"/>
          </w:tcPr>
          <w:p>
            <w:r>
              <w:rPr>
                <w:sz w:val="18"/>
              </w:rPr>
              <w:t>53</w:t>
            </w:r>
          </w:p>
        </w:tc>
        <w:tc>
          <w:tcPr>
            <w:tcW w:type="dxa" w:w="1152"/>
          </w:tcPr>
          <w:p>
            <w:r>
              <w:rPr>
                <w:sz w:val="18"/>
              </w:rPr>
              <w:t>140</w:t>
            </w:r>
          </w:p>
        </w:tc>
        <w:tc>
          <w:tcPr>
            <w:tcW w:type="dxa" w:w="1152"/>
          </w:tcPr>
          <w:p>
            <w:r>
              <w:rPr>
                <w:sz w:val="18"/>
              </w:rPr>
              <w:t>293</w:t>
            </w:r>
          </w:p>
        </w:tc>
        <w:tc>
          <w:tcPr>
            <w:tcW w:type="dxa" w:w="1152"/>
          </w:tcPr>
          <w:p>
            <w:r>
              <w:rPr>
                <w:sz w:val="18"/>
              </w:rPr>
              <w:t>290</w:t>
            </w:r>
          </w:p>
        </w:tc>
        <w:tc>
          <w:tcPr>
            <w:tcW w:type="dxa" w:w="1152"/>
          </w:tcPr>
          <w:p>
            <w:r>
              <w:rPr>
                <w:sz w:val="18"/>
              </w:rPr>
              <w:t>347</w:t>
            </w:r>
          </w:p>
        </w:tc>
        <w:tc>
          <w:tcPr>
            <w:tcW w:type="dxa" w:w="1152"/>
          </w:tcPr>
          <w:p>
            <w:r>
              <w:rPr>
                <w:sz w:val="18"/>
              </w:rPr>
              <w:t>381</w:t>
            </w:r>
          </w:p>
        </w:tc>
      </w:tr>
      <w:tr>
        <w:tc>
          <w:tcPr>
            <w:tcW w:type="dxa" w:w="2880"/>
          </w:tcPr>
          <w:p>
            <w:r>
              <w:rPr>
                <w:sz w:val="18"/>
              </w:rPr>
              <w:t>Cash taxes paid $m</w:t>
            </w:r>
          </w:p>
        </w:tc>
        <w:tc>
          <w:tcPr>
            <w:tcW w:type="dxa" w:w="1152"/>
          </w:tcPr>
          <w:p>
            <w:r>
              <w:rPr>
                <w:sz w:val="18"/>
              </w:rPr>
              <w:t>1,262</w:t>
            </w:r>
          </w:p>
        </w:tc>
        <w:tc>
          <w:tcPr>
            <w:tcW w:type="dxa" w:w="1152"/>
          </w:tcPr>
          <w:p>
            <w:r>
              <w:rPr>
                <w:sz w:val="18"/>
              </w:rPr>
              <w:t>1,028</w:t>
            </w:r>
          </w:p>
        </w:tc>
        <w:tc>
          <w:tcPr>
            <w:tcW w:type="dxa" w:w="1152"/>
          </w:tcPr>
          <w:p>
            <w:r>
              <w:rPr>
                <w:sz w:val="18"/>
              </w:rPr>
              <w:t>1,177</w:t>
            </w:r>
          </w:p>
        </w:tc>
        <w:tc>
          <w:tcPr>
            <w:tcW w:type="dxa" w:w="1152"/>
          </w:tcPr>
          <w:p>
            <w:r>
              <w:rPr>
                <w:sz w:val="18"/>
              </w:rPr>
              <w:t>1,231</w:t>
            </w:r>
          </w:p>
        </w:tc>
        <w:tc>
          <w:tcPr>
            <w:tcW w:type="dxa" w:w="1152"/>
          </w:tcPr>
          <w:p>
            <w:r>
              <w:rPr>
                <w:sz w:val="18"/>
              </w:rPr>
              <w:t>1,517</w:t>
            </w:r>
          </w:p>
        </w:tc>
        <w:tc>
          <w:tcPr>
            <w:tcW w:type="dxa" w:w="1152"/>
          </w:tcPr>
          <w:p>
            <w:r>
              <w:rPr>
                <w:sz w:val="18"/>
              </w:rPr>
              <w:t>1,299</w:t>
            </w:r>
          </w:p>
        </w:tc>
      </w:tr>
      <w:tr>
        <w:tc>
          <w:tcPr>
            <w:tcW w:type="dxa" w:w="2880"/>
          </w:tcPr>
          <w:p>
            <w:r>
              <w:rPr>
                <w:sz w:val="18"/>
              </w:rPr>
              <w:t>Total buybacks $m</w:t>
            </w:r>
          </w:p>
        </w:tc>
        <w:tc>
          <w:tcPr>
            <w:tcW w:type="dxa" w:w="1152"/>
          </w:tcPr>
          <w:p>
            <w:r>
              <w:rPr>
                <w:sz w:val="18"/>
              </w:rPr>
              <w:t>-2,534</w:t>
            </w:r>
          </w:p>
        </w:tc>
        <w:tc>
          <w:tcPr>
            <w:tcW w:type="dxa" w:w="1152"/>
          </w:tcPr>
          <w:p>
            <w:r>
              <w:rPr>
                <w:sz w:val="18"/>
              </w:rPr>
              <w:t>-3,067</w:t>
            </w:r>
          </w:p>
        </w:tc>
        <w:tc>
          <w:tcPr>
            <w:tcW w:type="dxa" w:w="1152"/>
          </w:tcPr>
          <w:p>
            <w:r>
              <w:rPr>
                <w:sz w:val="18"/>
              </w:rPr>
              <w:t>-608</w:t>
            </w:r>
          </w:p>
        </w:tc>
        <w:tc>
          <w:tcPr>
            <w:tcW w:type="dxa" w:w="1152"/>
          </w:tcPr>
          <w:p>
            <w:r>
              <w:rPr>
                <w:sz w:val="18"/>
              </w:rPr>
              <w:t>-4,014</w:t>
            </w:r>
          </w:p>
        </w:tc>
        <w:tc>
          <w:tcPr>
            <w:tcW w:type="dxa" w:w="1152"/>
          </w:tcPr>
          <w:p>
            <w:r>
              <w:rPr>
                <w:sz w:val="18"/>
              </w:rPr>
              <w:t>-5,480</w:t>
            </w:r>
          </w:p>
        </w:tc>
        <w:tc>
          <w:tcPr>
            <w:tcW w:type="dxa" w:w="1152"/>
          </w:tcPr>
          <w:p>
            <w:r>
              <w:rPr>
                <w:sz w:val="18"/>
              </w:rPr>
              <w:t>-4,250</w:t>
            </w:r>
          </w:p>
        </w:tc>
      </w:tr>
      <w:tr>
        <w:tc>
          <w:tcPr>
            <w:tcW w:type="dxa" w:w="2880"/>
          </w:tcPr>
          <w:p>
            <w:r>
              <w:rPr>
                <w:sz w:val="18"/>
              </w:rPr>
              <w:t>Total dividends $m</w:t>
            </w:r>
          </w:p>
        </w:tc>
        <w:tc>
          <w:tcPr>
            <w:tcW w:type="dxa" w:w="1152"/>
          </w:tcPr>
          <w:p>
            <w:r>
              <w:rPr>
                <w:sz w:val="18"/>
              </w:rPr>
              <w:t>-899</w:t>
            </w:r>
          </w:p>
        </w:tc>
        <w:tc>
          <w:tcPr>
            <w:tcW w:type="dxa" w:w="1152"/>
          </w:tcPr>
          <w:p>
            <w:r>
              <w:rPr>
                <w:sz w:val="18"/>
              </w:rPr>
              <w:t>-1,452</w:t>
            </w:r>
          </w:p>
        </w:tc>
        <w:tc>
          <w:tcPr>
            <w:tcW w:type="dxa" w:w="1152"/>
          </w:tcPr>
          <w:p>
            <w:r>
              <w:rPr>
                <w:sz w:val="18"/>
              </w:rPr>
              <w:t>-1,638</w:t>
            </w:r>
          </w:p>
        </w:tc>
        <w:tc>
          <w:tcPr>
            <w:tcW w:type="dxa" w:w="1152"/>
          </w:tcPr>
          <w:p>
            <w:r>
              <w:rPr>
                <w:sz w:val="18"/>
              </w:rPr>
              <w:t>-1,837</w:t>
            </w:r>
          </w:p>
        </w:tc>
        <w:tc>
          <w:tcPr>
            <w:tcW w:type="dxa" w:w="1152"/>
          </w:tcPr>
          <w:p>
            <w:r>
              <w:rPr>
                <w:sz w:val="18"/>
              </w:rPr>
              <w:t>-2,012</w:t>
            </w:r>
          </w:p>
        </w:tc>
        <w:tc>
          <w:tcPr>
            <w:tcW w:type="dxa" w:w="1152"/>
          </w:tcPr>
          <w:p>
            <w:r>
              <w:rPr>
                <w:sz w:val="18"/>
              </w:rPr>
              <w:t>-2,169</w:t>
            </w:r>
          </w:p>
        </w:tc>
      </w:tr>
    </w:tbl>
    <w:p/>
    <w:p>
      <w:pPr>
        <w:pStyle w:val="Heading2"/>
      </w:pPr>
      <w:r>
        <w:t>12.3  Balance Sheet Summary</w:t>
      </w:r>
    </w:p>
    <w:tbl>
      <w:tblPr>
        <w:tblStyle w:val="LightList-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2880"/>
          </w:tcPr>
          <w:p>
            <w:r>
              <w:rPr>
                <w:b/>
                <w:sz w:val="18"/>
              </w:rPr>
              <w:t>Item</w:t>
            </w:r>
          </w:p>
        </w:tc>
        <w:tc>
          <w:tcPr>
            <w:tcW w:type="dxa" w:w="1152"/>
          </w:tcPr>
          <w:p>
            <w:r>
              <w:rPr>
                <w:b/>
                <w:sz w:val="18"/>
              </w:rPr>
              <w:t>FY15</w:t>
            </w:r>
          </w:p>
        </w:tc>
        <w:tc>
          <w:tcPr>
            <w:tcW w:type="dxa" w:w="1152"/>
          </w:tcPr>
          <w:p>
            <w:r>
              <w:rPr>
                <w:b/>
                <w:sz w:val="18"/>
              </w:rPr>
              <w:t>FY19</w:t>
            </w:r>
          </w:p>
        </w:tc>
        <w:tc>
          <w:tcPr>
            <w:tcW w:type="dxa" w:w="1152"/>
          </w:tcPr>
          <w:p>
            <w:r>
              <w:rPr>
                <w:b/>
                <w:sz w:val="18"/>
              </w:rPr>
              <w:t>FY20</w:t>
            </w:r>
          </w:p>
        </w:tc>
        <w:tc>
          <w:tcPr>
            <w:tcW w:type="dxa" w:w="1152"/>
          </w:tcPr>
          <w:p>
            <w:r>
              <w:rPr>
                <w:b/>
                <w:sz w:val="18"/>
              </w:rPr>
              <w:t>FY22</w:t>
            </w:r>
          </w:p>
        </w:tc>
        <w:tc>
          <w:tcPr>
            <w:tcW w:type="dxa" w:w="1152"/>
          </w:tcPr>
          <w:p>
            <w:r>
              <w:rPr>
                <w:b/>
                <w:sz w:val="18"/>
              </w:rPr>
              <w:t>FY23</w:t>
            </w:r>
          </w:p>
        </w:tc>
        <w:tc>
          <w:tcPr>
            <w:tcW w:type="dxa" w:w="1152"/>
          </w:tcPr>
          <w:p>
            <w:r>
              <w:rPr>
                <w:b/>
                <w:sz w:val="18"/>
              </w:rPr>
              <w:t>FY24</w:t>
            </w:r>
          </w:p>
        </w:tc>
      </w:tr>
      <w:tr>
        <w:tc>
          <w:tcPr>
            <w:tcW w:type="dxa" w:w="2880"/>
          </w:tcPr>
          <w:p/>
        </w:tc>
        <w:tc>
          <w:tcPr>
            <w:tcW w:type="dxa" w:w="1152"/>
          </w:tcPr>
          <w:p/>
        </w:tc>
        <w:tc>
          <w:tcPr>
            <w:tcW w:type="dxa" w:w="1152"/>
          </w:tcPr>
          <w:p/>
        </w:tc>
        <w:tc>
          <w:tcPr>
            <w:tcW w:type="dxa" w:w="1152"/>
          </w:tcPr>
          <w:p/>
        </w:tc>
        <w:tc>
          <w:tcPr>
            <w:tcW w:type="dxa" w:w="1152"/>
          </w:tcPr>
          <w:p/>
        </w:tc>
        <w:tc>
          <w:tcPr>
            <w:tcW w:type="dxa" w:w="1152"/>
          </w:tcPr>
          <w:p/>
        </w:tc>
        <w:tc>
          <w:tcPr>
            <w:tcW w:type="dxa" w:w="1152"/>
          </w:tcPr>
          <w:p/>
        </w:tc>
      </w:tr>
      <w:tr>
        <w:tc>
          <w:tcPr>
            <w:tcW w:type="dxa" w:w="2880"/>
          </w:tcPr>
          <w:p/>
        </w:tc>
        <w:tc>
          <w:tcPr>
            <w:tcW w:type="dxa" w:w="1152"/>
          </w:tcPr>
          <w:p/>
        </w:tc>
        <w:tc>
          <w:tcPr>
            <w:tcW w:type="dxa" w:w="1152"/>
          </w:tcPr>
          <w:p/>
        </w:tc>
        <w:tc>
          <w:tcPr>
            <w:tcW w:type="dxa" w:w="1152"/>
          </w:tcPr>
          <w:p/>
        </w:tc>
        <w:tc>
          <w:tcPr>
            <w:tcW w:type="dxa" w:w="1152"/>
          </w:tcPr>
          <w:p/>
        </w:tc>
        <w:tc>
          <w:tcPr>
            <w:tcW w:type="dxa" w:w="1152"/>
          </w:tcPr>
          <w:p/>
        </w:tc>
        <w:tc>
          <w:tcPr>
            <w:tcW w:type="dxa" w:w="1152"/>
          </w:tcPr>
          <w:p/>
        </w:tc>
      </w:tr>
      <w:tr>
        <w:tc>
          <w:tcPr>
            <w:tcW w:type="dxa" w:w="2880"/>
          </w:tcPr>
          <w:p/>
        </w:tc>
        <w:tc>
          <w:tcPr>
            <w:tcW w:type="dxa" w:w="1152"/>
          </w:tcPr>
          <w:p/>
        </w:tc>
        <w:tc>
          <w:tcPr>
            <w:tcW w:type="dxa" w:w="1152"/>
          </w:tcPr>
          <w:p/>
        </w:tc>
        <w:tc>
          <w:tcPr>
            <w:tcW w:type="dxa" w:w="1152"/>
          </w:tcPr>
          <w:p/>
        </w:tc>
        <w:tc>
          <w:tcPr>
            <w:tcW w:type="dxa" w:w="1152"/>
          </w:tcPr>
          <w:p/>
        </w:tc>
        <w:tc>
          <w:tcPr>
            <w:tcW w:type="dxa" w:w="1152"/>
          </w:tcPr>
          <w:p/>
        </w:tc>
        <w:tc>
          <w:tcPr>
            <w:tcW w:type="dxa" w:w="1152"/>
          </w:tcPr>
          <w:p/>
        </w:tc>
      </w:tr>
      <w:tr>
        <w:tc>
          <w:tcPr>
            <w:tcW w:type="dxa" w:w="2880"/>
          </w:tcPr>
          <w:p/>
        </w:tc>
        <w:tc>
          <w:tcPr>
            <w:tcW w:type="dxa" w:w="1152"/>
          </w:tcPr>
          <w:p/>
        </w:tc>
        <w:tc>
          <w:tcPr>
            <w:tcW w:type="dxa" w:w="1152"/>
          </w:tcPr>
          <w:p/>
        </w:tc>
        <w:tc>
          <w:tcPr>
            <w:tcW w:type="dxa" w:w="1152"/>
          </w:tcPr>
          <w:p/>
        </w:tc>
        <w:tc>
          <w:tcPr>
            <w:tcW w:type="dxa" w:w="1152"/>
          </w:tcPr>
          <w:p/>
        </w:tc>
        <w:tc>
          <w:tcPr>
            <w:tcW w:type="dxa" w:w="1152"/>
          </w:tcPr>
          <w:p/>
        </w:tc>
        <w:tc>
          <w:tcPr>
            <w:tcW w:type="dxa" w:w="1152"/>
          </w:tcPr>
          <w:p/>
        </w:tc>
      </w:tr>
      <w:tr>
        <w:tc>
          <w:tcPr>
            <w:tcW w:type="dxa" w:w="2880"/>
          </w:tcPr>
          <w:p/>
        </w:tc>
        <w:tc>
          <w:tcPr>
            <w:tcW w:type="dxa" w:w="1152"/>
          </w:tcPr>
          <w:p/>
        </w:tc>
        <w:tc>
          <w:tcPr>
            <w:tcW w:type="dxa" w:w="1152"/>
          </w:tcPr>
          <w:p/>
        </w:tc>
        <w:tc>
          <w:tcPr>
            <w:tcW w:type="dxa" w:w="1152"/>
          </w:tcPr>
          <w:p/>
        </w:tc>
        <w:tc>
          <w:tcPr>
            <w:tcW w:type="dxa" w:w="1152"/>
          </w:tcPr>
          <w:p/>
        </w:tc>
        <w:tc>
          <w:tcPr>
            <w:tcW w:type="dxa" w:w="1152"/>
          </w:tcPr>
          <w:p/>
        </w:tc>
        <w:tc>
          <w:tcPr>
            <w:tcW w:type="dxa" w:w="1152"/>
          </w:tcPr>
          <w:p/>
        </w:tc>
      </w:tr>
      <w:tr>
        <w:tc>
          <w:tcPr>
            <w:tcW w:type="dxa" w:w="2880"/>
          </w:tcPr>
          <w:p/>
        </w:tc>
        <w:tc>
          <w:tcPr>
            <w:tcW w:type="dxa" w:w="1152"/>
          </w:tcPr>
          <w:p/>
        </w:tc>
        <w:tc>
          <w:tcPr>
            <w:tcW w:type="dxa" w:w="1152"/>
          </w:tcPr>
          <w:p/>
        </w:tc>
        <w:tc>
          <w:tcPr>
            <w:tcW w:type="dxa" w:w="1152"/>
          </w:tcPr>
          <w:p/>
        </w:tc>
        <w:tc>
          <w:tcPr>
            <w:tcW w:type="dxa" w:w="1152"/>
          </w:tcPr>
          <w:p/>
        </w:tc>
        <w:tc>
          <w:tcPr>
            <w:tcW w:type="dxa" w:w="1152"/>
          </w:tcPr>
          <w:p/>
        </w:tc>
        <w:tc>
          <w:tcPr>
            <w:tcW w:type="dxa" w:w="1152"/>
          </w:tcPr>
          <w:p/>
        </w:tc>
      </w:tr>
      <w:tr>
        <w:tc>
          <w:tcPr>
            <w:tcW w:type="dxa" w:w="2880"/>
          </w:tcPr>
          <w:p/>
        </w:tc>
        <w:tc>
          <w:tcPr>
            <w:tcW w:type="dxa" w:w="1152"/>
          </w:tcPr>
          <w:p/>
        </w:tc>
        <w:tc>
          <w:tcPr>
            <w:tcW w:type="dxa" w:w="1152"/>
          </w:tcPr>
          <w:p/>
        </w:tc>
        <w:tc>
          <w:tcPr>
            <w:tcW w:type="dxa" w:w="1152"/>
          </w:tcPr>
          <w:p/>
        </w:tc>
        <w:tc>
          <w:tcPr>
            <w:tcW w:type="dxa" w:w="1152"/>
          </w:tcPr>
          <w:p/>
        </w:tc>
        <w:tc>
          <w:tcPr>
            <w:tcW w:type="dxa" w:w="1152"/>
          </w:tcPr>
          <w:p/>
        </w:tc>
        <w:tc>
          <w:tcPr>
            <w:tcW w:type="dxa" w:w="1152"/>
          </w:tcPr>
          <w:p/>
        </w:tc>
      </w:tr>
      <w:tr>
        <w:tc>
          <w:tcPr>
            <w:tcW w:type="dxa" w:w="2880"/>
          </w:tcPr>
          <w:p/>
        </w:tc>
        <w:tc>
          <w:tcPr>
            <w:tcW w:type="dxa" w:w="1152"/>
          </w:tcPr>
          <w:p/>
        </w:tc>
        <w:tc>
          <w:tcPr>
            <w:tcW w:type="dxa" w:w="1152"/>
          </w:tcPr>
          <w:p/>
        </w:tc>
        <w:tc>
          <w:tcPr>
            <w:tcW w:type="dxa" w:w="1152"/>
          </w:tcPr>
          <w:p/>
        </w:tc>
        <w:tc>
          <w:tcPr>
            <w:tcW w:type="dxa" w:w="1152"/>
          </w:tcPr>
          <w:p/>
        </w:tc>
        <w:tc>
          <w:tcPr>
            <w:tcW w:type="dxa" w:w="1152"/>
          </w:tcPr>
          <w:p/>
        </w:tc>
        <w:tc>
          <w:tcPr>
            <w:tcW w:type="dxa" w:w="1152"/>
          </w:tcPr>
          <w:p/>
        </w:tc>
      </w:tr>
      <w:tr>
        <w:tc>
          <w:tcPr>
            <w:tcW w:type="dxa" w:w="2880"/>
          </w:tcPr>
          <w:p/>
        </w:tc>
        <w:tc>
          <w:tcPr>
            <w:tcW w:type="dxa" w:w="1152"/>
          </w:tcPr>
          <w:p/>
        </w:tc>
        <w:tc>
          <w:tcPr>
            <w:tcW w:type="dxa" w:w="1152"/>
          </w:tcPr>
          <w:p/>
        </w:tc>
        <w:tc>
          <w:tcPr>
            <w:tcW w:type="dxa" w:w="1152"/>
          </w:tcPr>
          <w:p/>
        </w:tc>
        <w:tc>
          <w:tcPr>
            <w:tcW w:type="dxa" w:w="1152"/>
          </w:tcPr>
          <w:p/>
        </w:tc>
        <w:tc>
          <w:tcPr>
            <w:tcW w:type="dxa" w:w="1152"/>
          </w:tcPr>
          <w:p/>
        </w:tc>
        <w:tc>
          <w:tcPr>
            <w:tcW w:type="dxa" w:w="1152"/>
          </w:tcPr>
          <w:p/>
        </w:tc>
      </w:tr>
      <w:tr>
        <w:tc>
          <w:tcPr>
            <w:tcW w:type="dxa" w:w="2880"/>
          </w:tcPr>
          <w:p>
            <w:r>
              <w:rPr>
                <w:sz w:val="18"/>
              </w:rPr>
              <w:t>Cash+ST Investments $m</w:t>
            </w:r>
          </w:p>
        </w:tc>
        <w:tc>
          <w:tcPr>
            <w:tcW w:type="dxa" w:w="1152"/>
          </w:tcPr>
          <w:p>
            <w:r>
              <w:rPr>
                <w:sz w:val="18"/>
              </w:rPr>
              <w:t>6,002</w:t>
            </w:r>
          </w:p>
        </w:tc>
        <w:tc>
          <w:tcPr>
            <w:tcW w:type="dxa" w:w="1152"/>
          </w:tcPr>
          <w:p>
            <w:r>
              <w:rPr>
                <w:sz w:val="18"/>
              </w:rPr>
              <w:t>4,663</w:t>
            </w:r>
          </w:p>
        </w:tc>
        <w:tc>
          <w:tcPr>
            <w:tcW w:type="dxa" w:w="1152"/>
          </w:tcPr>
          <w:p>
            <w:r>
              <w:rPr>
                <w:sz w:val="18"/>
              </w:rPr>
              <w:t>8,787</w:t>
            </w:r>
          </w:p>
        </w:tc>
        <w:tc>
          <w:tcPr>
            <w:tcW w:type="dxa" w:w="1152"/>
          </w:tcPr>
          <w:p>
            <w:r>
              <w:rPr>
                <w:sz w:val="18"/>
              </w:rPr>
              <w:t>12,997</w:t>
            </w:r>
          </w:p>
        </w:tc>
        <w:tc>
          <w:tcPr>
            <w:tcW w:type="dxa" w:w="1152"/>
          </w:tcPr>
          <w:p>
            <w:r>
              <w:rPr>
                <w:sz w:val="18"/>
              </w:rPr>
              <w:t>10,675</w:t>
            </w:r>
          </w:p>
        </w:tc>
        <w:tc>
          <w:tcPr>
            <w:tcW w:type="dxa" w:w="1152"/>
          </w:tcPr>
          <w:p>
            <w:r>
              <w:rPr>
                <w:sz w:val="18"/>
              </w:rPr>
              <w:t>11,582</w:t>
            </w:r>
          </w:p>
        </w:tc>
      </w:tr>
      <w:tr>
        <w:tc>
          <w:tcPr>
            <w:tcW w:type="dxa" w:w="2880"/>
          </w:tcPr>
          <w:p>
            <w:r>
              <w:rPr>
                <w:sz w:val="18"/>
              </w:rPr>
              <w:t>Total Current Assets $m</w:t>
            </w:r>
          </w:p>
        </w:tc>
        <w:tc>
          <w:tcPr>
            <w:tcW w:type="dxa" w:w="1152"/>
          </w:tcPr>
          <w:p>
            <w:r>
              <w:rPr>
                <w:sz w:val="18"/>
              </w:rPr>
              <w:t>15,587</w:t>
            </w:r>
          </w:p>
        </w:tc>
        <w:tc>
          <w:tcPr>
            <w:tcW w:type="dxa" w:w="1152"/>
          </w:tcPr>
          <w:p>
            <w:r>
              <w:rPr>
                <w:sz w:val="18"/>
              </w:rPr>
              <w:t>16,525</w:t>
            </w:r>
          </w:p>
        </w:tc>
        <w:tc>
          <w:tcPr>
            <w:tcW w:type="dxa" w:w="1152"/>
          </w:tcPr>
          <w:p>
            <w:r>
              <w:rPr>
                <w:sz w:val="18"/>
              </w:rPr>
              <w:t>20,556</w:t>
            </w:r>
          </w:p>
        </w:tc>
        <w:tc>
          <w:tcPr>
            <w:tcW w:type="dxa" w:w="1152"/>
          </w:tcPr>
          <w:p>
            <w:r>
              <w:rPr>
                <w:sz w:val="18"/>
              </w:rPr>
              <w:t>28,213</w:t>
            </w:r>
          </w:p>
        </w:tc>
        <w:tc>
          <w:tcPr>
            <w:tcW w:type="dxa" w:w="1152"/>
          </w:tcPr>
          <w:p>
            <w:r>
              <w:rPr>
                <w:sz w:val="18"/>
              </w:rPr>
              <w:t>25,202</w:t>
            </w:r>
          </w:p>
        </w:tc>
        <w:tc>
          <w:tcPr>
            <w:tcW w:type="dxa" w:w="1152"/>
          </w:tcPr>
          <w:p>
            <w:r>
              <w:rPr>
                <w:sz w:val="18"/>
              </w:rPr>
              <w:t>25,382</w:t>
            </w:r>
          </w:p>
        </w:tc>
      </w:tr>
      <w:tr>
        <w:tc>
          <w:tcPr>
            <w:tcW w:type="dxa" w:w="2880"/>
          </w:tcPr>
          <w:p>
            <w:r>
              <w:rPr>
                <w:sz w:val="18"/>
              </w:rPr>
              <w:t>Net PP&amp;E $m</w:t>
            </w:r>
          </w:p>
        </w:tc>
        <w:tc>
          <w:tcPr>
            <w:tcW w:type="dxa" w:w="1152"/>
          </w:tcPr>
          <w:p>
            <w:r>
              <w:rPr>
                <w:sz w:val="18"/>
              </w:rPr>
              <w:t>3,011</w:t>
            </w:r>
          </w:p>
        </w:tc>
        <w:tc>
          <w:tcPr>
            <w:tcW w:type="dxa" w:w="1152"/>
          </w:tcPr>
          <w:p>
            <w:r>
              <w:rPr>
                <w:sz w:val="18"/>
              </w:rPr>
              <w:t>4,744</w:t>
            </w:r>
          </w:p>
        </w:tc>
        <w:tc>
          <w:tcPr>
            <w:tcW w:type="dxa" w:w="1152"/>
          </w:tcPr>
          <w:p>
            <w:r>
              <w:rPr>
                <w:sz w:val="18"/>
              </w:rPr>
              <w:t>7,963</w:t>
            </w:r>
          </w:p>
        </w:tc>
        <w:tc>
          <w:tcPr>
            <w:tcW w:type="dxa" w:w="1152"/>
          </w:tcPr>
          <w:p>
            <w:r>
              <w:rPr>
                <w:sz w:val="18"/>
              </w:rPr>
              <w:t>7,717</w:t>
            </w:r>
          </w:p>
        </w:tc>
        <w:tc>
          <w:tcPr>
            <w:tcW w:type="dxa" w:w="1152"/>
          </w:tcPr>
          <w:p>
            <w:r>
              <w:rPr>
                <w:sz w:val="18"/>
              </w:rPr>
              <w:t>8,004</w:t>
            </w:r>
          </w:p>
        </w:tc>
        <w:tc>
          <w:tcPr>
            <w:tcW w:type="dxa" w:w="1152"/>
          </w:tcPr>
          <w:p>
            <w:r>
              <w:rPr>
                <w:sz w:val="18"/>
              </w:rPr>
              <w:t>7,718</w:t>
            </w:r>
          </w:p>
        </w:tc>
      </w:tr>
      <w:tr>
        <w:tc>
          <w:tcPr>
            <w:tcW w:type="dxa" w:w="2880"/>
          </w:tcPr>
          <w:p>
            <w:r>
              <w:rPr>
                <w:sz w:val="18"/>
              </w:rPr>
              <w:t>Total Assets $m</w:t>
            </w:r>
          </w:p>
        </w:tc>
        <w:tc>
          <w:tcPr>
            <w:tcW w:type="dxa" w:w="1152"/>
          </w:tcPr>
          <w:p>
            <w:r>
              <w:rPr>
                <w:sz w:val="18"/>
              </w:rPr>
              <w:t>21,597</w:t>
            </w:r>
          </w:p>
        </w:tc>
        <w:tc>
          <w:tcPr>
            <w:tcW w:type="dxa" w:w="1152"/>
          </w:tcPr>
          <w:p>
            <w:r>
              <w:rPr>
                <w:sz w:val="18"/>
              </w:rPr>
              <w:t>23,717</w:t>
            </w:r>
          </w:p>
        </w:tc>
        <w:tc>
          <w:tcPr>
            <w:tcW w:type="dxa" w:w="1152"/>
          </w:tcPr>
          <w:p>
            <w:r>
              <w:rPr>
                <w:sz w:val="18"/>
              </w:rPr>
              <w:t>31,342</w:t>
            </w:r>
          </w:p>
        </w:tc>
        <w:tc>
          <w:tcPr>
            <w:tcW w:type="dxa" w:w="1152"/>
          </w:tcPr>
          <w:p>
            <w:r>
              <w:rPr>
                <w:sz w:val="18"/>
              </w:rPr>
              <w:t>40,321</w:t>
            </w:r>
          </w:p>
        </w:tc>
        <w:tc>
          <w:tcPr>
            <w:tcW w:type="dxa" w:w="1152"/>
          </w:tcPr>
          <w:p>
            <w:r>
              <w:rPr>
                <w:sz w:val="18"/>
              </w:rPr>
              <w:t>37,531</w:t>
            </w:r>
          </w:p>
        </w:tc>
        <w:tc>
          <w:tcPr>
            <w:tcW w:type="dxa" w:w="1152"/>
          </w:tcPr>
          <w:p>
            <w:r>
              <w:rPr>
                <w:sz w:val="18"/>
              </w:rPr>
              <w:t>38,110</w:t>
            </w:r>
          </w:p>
        </w:tc>
      </w:tr>
      <w:tr>
        <w:tc>
          <w:tcPr>
            <w:tcW w:type="dxa" w:w="2880"/>
          </w:tcPr>
          <w:p>
            <w:r>
              <w:rPr>
                <w:sz w:val="18"/>
              </w:rPr>
              <w:t>Total Current Liabilities $m</w:t>
            </w:r>
          </w:p>
        </w:tc>
        <w:tc>
          <w:tcPr>
            <w:tcW w:type="dxa" w:w="1152"/>
          </w:tcPr>
          <w:p>
            <w:r>
              <w:rPr>
                <w:sz w:val="18"/>
              </w:rPr>
              <w:t>6,332</w:t>
            </w:r>
          </w:p>
        </w:tc>
        <w:tc>
          <w:tcPr>
            <w:tcW w:type="dxa" w:w="1152"/>
          </w:tcPr>
          <w:p>
            <w:r>
              <w:rPr>
                <w:sz w:val="18"/>
              </w:rPr>
              <w:t>7,866</w:t>
            </w:r>
          </w:p>
        </w:tc>
        <w:tc>
          <w:tcPr>
            <w:tcW w:type="dxa" w:w="1152"/>
          </w:tcPr>
          <w:p>
            <w:r>
              <w:rPr>
                <w:sz w:val="18"/>
              </w:rPr>
              <w:t>8,284</w:t>
            </w:r>
          </w:p>
        </w:tc>
        <w:tc>
          <w:tcPr>
            <w:tcW w:type="dxa" w:w="1152"/>
          </w:tcPr>
          <w:p>
            <w:r>
              <w:rPr>
                <w:sz w:val="18"/>
              </w:rPr>
              <w:t>10,730</w:t>
            </w:r>
          </w:p>
        </w:tc>
        <w:tc>
          <w:tcPr>
            <w:tcW w:type="dxa" w:w="1152"/>
          </w:tcPr>
          <w:p>
            <w:r>
              <w:rPr>
                <w:sz w:val="18"/>
              </w:rPr>
              <w:t>9,256</w:t>
            </w:r>
          </w:p>
        </w:tc>
        <w:tc>
          <w:tcPr>
            <w:tcW w:type="dxa" w:w="1152"/>
          </w:tcPr>
          <w:p>
            <w:r>
              <w:rPr>
                <w:sz w:val="18"/>
              </w:rPr>
              <w:t>10,593</w:t>
            </w:r>
          </w:p>
        </w:tc>
      </w:tr>
      <w:tr>
        <w:tc>
          <w:tcPr>
            <w:tcW w:type="dxa" w:w="2880"/>
          </w:tcPr>
          <w:p>
            <w:r>
              <w:rPr>
                <w:sz w:val="18"/>
              </w:rPr>
              <w:t>Long-term Debt $m</w:t>
            </w:r>
          </w:p>
        </w:tc>
        <w:tc>
          <w:tcPr>
            <w:tcW w:type="dxa" w:w="1152"/>
          </w:tcPr>
          <w:p>
            <w:r>
              <w:rPr>
                <w:sz w:val="18"/>
              </w:rPr>
              <w:t>1,079</w:t>
            </w:r>
          </w:p>
        </w:tc>
        <w:tc>
          <w:tcPr>
            <w:tcW w:type="dxa" w:w="1152"/>
          </w:tcPr>
          <w:p>
            <w:r>
              <w:rPr>
                <w:sz w:val="18"/>
              </w:rPr>
              <w:t>3,464</w:t>
            </w:r>
          </w:p>
        </w:tc>
        <w:tc>
          <w:tcPr>
            <w:tcW w:type="dxa" w:w="1152"/>
          </w:tcPr>
          <w:p>
            <w:r>
              <w:rPr>
                <w:sz w:val="18"/>
              </w:rPr>
              <w:t>9,406</w:t>
            </w:r>
          </w:p>
        </w:tc>
        <w:tc>
          <w:tcPr>
            <w:tcW w:type="dxa" w:w="1152"/>
          </w:tcPr>
          <w:p>
            <w:r>
              <w:rPr>
                <w:sz w:val="18"/>
              </w:rPr>
              <w:t>8,920</w:t>
            </w:r>
          </w:p>
        </w:tc>
        <w:tc>
          <w:tcPr>
            <w:tcW w:type="dxa" w:w="1152"/>
          </w:tcPr>
          <w:p>
            <w:r>
              <w:rPr>
                <w:sz w:val="18"/>
              </w:rPr>
              <w:t>8,927</w:t>
            </w:r>
          </w:p>
        </w:tc>
        <w:tc>
          <w:tcPr>
            <w:tcW w:type="dxa" w:w="1152"/>
          </w:tcPr>
          <w:p>
            <w:r>
              <w:rPr>
                <w:sz w:val="18"/>
              </w:rPr>
              <w:t>7,934</w:t>
            </w:r>
          </w:p>
        </w:tc>
      </w:tr>
      <w:tr>
        <w:tc>
          <w:tcPr>
            <w:tcW w:type="dxa" w:w="2880"/>
          </w:tcPr>
          <w:p>
            <w:r>
              <w:rPr>
                <w:sz w:val="18"/>
              </w:rPr>
              <w:t>Long-term Leases $m</w:t>
            </w:r>
          </w:p>
        </w:tc>
        <w:tc>
          <w:tcPr>
            <w:tcW w:type="dxa" w:w="1152"/>
          </w:tcPr>
          <w:p>
            <w:r>
              <w:rPr>
                <w:sz w:val="18"/>
              </w:rPr>
              <w:t>nil</w:t>
            </w:r>
          </w:p>
        </w:tc>
        <w:tc>
          <w:tcPr>
            <w:tcW w:type="dxa" w:w="1152"/>
          </w:tcPr>
          <w:p>
            <w:r>
              <w:rPr>
                <w:sz w:val="18"/>
              </w:rPr>
              <w:t>342</w:t>
            </w:r>
          </w:p>
        </w:tc>
        <w:tc>
          <w:tcPr>
            <w:tcW w:type="dxa" w:w="1152"/>
          </w:tcPr>
          <w:p>
            <w:r>
              <w:rPr>
                <w:sz w:val="18"/>
              </w:rPr>
              <w:t>2,913</w:t>
            </w:r>
          </w:p>
        </w:tc>
        <w:tc>
          <w:tcPr>
            <w:tcW w:type="dxa" w:w="1152"/>
          </w:tcPr>
          <w:p>
            <w:r>
              <w:rPr>
                <w:sz w:val="18"/>
              </w:rPr>
              <w:t>2,777</w:t>
            </w:r>
          </w:p>
        </w:tc>
        <w:tc>
          <w:tcPr>
            <w:tcW w:type="dxa" w:w="1152"/>
          </w:tcPr>
          <w:p>
            <w:r>
              <w:rPr>
                <w:sz w:val="18"/>
              </w:rPr>
              <w:t>2,786</w:t>
            </w:r>
          </w:p>
        </w:tc>
        <w:tc>
          <w:tcPr>
            <w:tcW w:type="dxa" w:w="1152"/>
          </w:tcPr>
          <w:p>
            <w:r>
              <w:rPr>
                <w:sz w:val="18"/>
              </w:rPr>
              <w:t>2,566</w:t>
            </w:r>
          </w:p>
        </w:tc>
      </w:tr>
      <w:tr>
        <w:tc>
          <w:tcPr>
            <w:tcW w:type="dxa" w:w="2880"/>
          </w:tcPr>
          <w:p>
            <w:r>
              <w:rPr>
                <w:sz w:val="18"/>
              </w:rPr>
              <w:t>Total Equity $m</w:t>
            </w:r>
          </w:p>
        </w:tc>
        <w:tc>
          <w:tcPr>
            <w:tcW w:type="dxa" w:w="1152"/>
          </w:tcPr>
          <w:p>
            <w:r>
              <w:rPr>
                <w:sz w:val="18"/>
              </w:rPr>
              <w:t>12,707</w:t>
            </w:r>
          </w:p>
        </w:tc>
        <w:tc>
          <w:tcPr>
            <w:tcW w:type="dxa" w:w="1152"/>
          </w:tcPr>
          <w:p>
            <w:r>
              <w:rPr>
                <w:sz w:val="18"/>
              </w:rPr>
              <w:t>9,040</w:t>
            </w:r>
          </w:p>
        </w:tc>
        <w:tc>
          <w:tcPr>
            <w:tcW w:type="dxa" w:w="1152"/>
          </w:tcPr>
          <w:p>
            <w:r>
              <w:rPr>
                <w:sz w:val="18"/>
              </w:rPr>
              <w:t>8,055</w:t>
            </w:r>
          </w:p>
        </w:tc>
        <w:tc>
          <w:tcPr>
            <w:tcW w:type="dxa" w:w="1152"/>
          </w:tcPr>
          <w:p>
            <w:r>
              <w:rPr>
                <w:sz w:val="18"/>
              </w:rPr>
              <w:t>15,281</w:t>
            </w:r>
          </w:p>
        </w:tc>
        <w:tc>
          <w:tcPr>
            <w:tcW w:type="dxa" w:w="1152"/>
          </w:tcPr>
          <w:p>
            <w:r>
              <w:rPr>
                <w:sz w:val="18"/>
              </w:rPr>
              <w:t>14,004</w:t>
            </w:r>
          </w:p>
        </w:tc>
        <w:tc>
          <w:tcPr>
            <w:tcW w:type="dxa" w:w="1152"/>
          </w:tcPr>
          <w:p>
            <w:r>
              <w:rPr>
                <w:sz w:val="18"/>
              </w:rPr>
              <w:t>14,430</w:t>
            </w:r>
          </w:p>
        </w:tc>
      </w:tr>
      <w:tr>
        <w:tc>
          <w:tcPr>
            <w:tcW w:type="dxa" w:w="2880"/>
          </w:tcPr>
          <w:p>
            <w:r>
              <w:rPr>
                <w:sz w:val="18"/>
              </w:rPr>
              <w:t>Net Debt $m</w:t>
            </w:r>
          </w:p>
        </w:tc>
        <w:tc>
          <w:tcPr>
            <w:tcW w:type="dxa" w:w="1152"/>
          </w:tcPr>
          <w:p>
            <w:r>
              <w:rPr>
                <w:sz w:val="18"/>
              </w:rPr>
              <w:t>-4,742</w:t>
            </w:r>
          </w:p>
        </w:tc>
        <w:tc>
          <w:tcPr>
            <w:tcW w:type="dxa" w:w="1152"/>
          </w:tcPr>
          <w:p>
            <w:r>
              <w:rPr>
                <w:sz w:val="18"/>
              </w:rPr>
              <w:t>-810</w:t>
            </w:r>
          </w:p>
        </w:tc>
        <w:tc>
          <w:tcPr>
            <w:tcW w:type="dxa" w:w="1152"/>
          </w:tcPr>
          <w:p>
            <w:r>
              <w:rPr>
                <w:sz w:val="18"/>
              </w:rPr>
              <w:t>+4,228</w:t>
            </w:r>
          </w:p>
        </w:tc>
        <w:tc>
          <w:tcPr>
            <w:tcW w:type="dxa" w:w="1152"/>
          </w:tcPr>
          <w:p>
            <w:r>
              <w:rPr>
                <w:sz w:val="18"/>
              </w:rPr>
              <w:t>-370</w:t>
            </w:r>
          </w:p>
        </w:tc>
        <w:tc>
          <w:tcPr>
            <w:tcW w:type="dxa" w:w="1152"/>
          </w:tcPr>
          <w:p>
            <w:r>
              <w:rPr>
                <w:sz w:val="18"/>
              </w:rPr>
              <w:t>+1,469</w:t>
            </w:r>
          </w:p>
        </w:tc>
        <w:tc>
          <w:tcPr>
            <w:tcW w:type="dxa" w:w="1152"/>
          </w:tcPr>
          <w:p>
            <w:r>
              <w:rPr>
                <w:sz w:val="18"/>
              </w:rPr>
              <w:t>+401</w:t>
            </w:r>
          </w:p>
        </w:tc>
      </w:tr>
    </w:tbl>
    <w:p/>
    <w:p>
      <w:r>
        <w:br w:type="page"/>
      </w:r>
    </w:p>
    <w:p>
      <w:pPr>
        <w:pStyle w:val="Heading1"/>
      </w:pPr>
      <w:r>
        <w:t>PART XIII — Capital Allocation History</w:t>
      </w:r>
    </w:p>
    <w:p>
      <w:pPr>
        <w:pStyle w:val="Heading2"/>
      </w:pPr>
      <w:r>
        <w:t>13.1  Annual Shareholder Returns</w:t>
      </w:r>
    </w:p>
    <w:tbl>
      <w:tblPr>
        <w:tblStyle w:val="LightList-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152"/>
          </w:tcPr>
          <w:p>
            <w:r>
              <w:rPr>
                <w:b/>
                <w:sz w:val="18"/>
              </w:rPr>
              <w:t>Year</w:t>
            </w:r>
          </w:p>
        </w:tc>
        <w:tc>
          <w:tcPr>
            <w:tcW w:type="dxa" w:w="1008"/>
          </w:tcPr>
          <w:p>
            <w:r>
              <w:rPr>
                <w:b/>
                <w:sz w:val="18"/>
              </w:rPr>
              <w:t>CFO $m</w:t>
            </w:r>
          </w:p>
        </w:tc>
        <w:tc>
          <w:tcPr>
            <w:tcW w:type="dxa" w:w="1008"/>
          </w:tcPr>
          <w:p>
            <w:r>
              <w:rPr>
                <w:b/>
                <w:sz w:val="18"/>
              </w:rPr>
              <w:t>CapEx $m</w:t>
            </w:r>
          </w:p>
        </w:tc>
        <w:tc>
          <w:tcPr>
            <w:tcW w:type="dxa" w:w="1152"/>
          </w:tcPr>
          <w:p>
            <w:r>
              <w:rPr>
                <w:b/>
                <w:sz w:val="18"/>
              </w:rPr>
              <w:t>FCF $m</w:t>
            </w:r>
          </w:p>
        </w:tc>
        <w:tc>
          <w:tcPr>
            <w:tcW w:type="dxa" w:w="1440"/>
          </w:tcPr>
          <w:p>
            <w:r>
              <w:rPr>
                <w:b/>
                <w:sz w:val="18"/>
              </w:rPr>
              <w:t>Buybacks $m</w:t>
            </w:r>
          </w:p>
        </w:tc>
        <w:tc>
          <w:tcPr>
            <w:tcW w:type="dxa" w:w="1728"/>
          </w:tcPr>
          <w:p>
            <w:r>
              <w:rPr>
                <w:b/>
                <w:sz w:val="18"/>
              </w:rPr>
              <w:t>Dividends $m</w:t>
            </w:r>
          </w:p>
        </w:tc>
        <w:tc>
          <w:tcPr>
            <w:tcW w:type="dxa" w:w="1728"/>
          </w:tcPr>
          <w:p>
            <w:r>
              <w:rPr>
                <w:b/>
                <w:sz w:val="18"/>
              </w:rPr>
              <w:t>Total Return $m</w:t>
            </w:r>
          </w:p>
        </w:tc>
        <w:tc>
          <w:tcPr>
            <w:tcW w:type="dxa" w:w="1080"/>
          </w:tcPr>
          <w:p>
            <w:r>
              <w:rPr>
                <w:b/>
                <w:sz w:val="18"/>
              </w:rPr>
              <w:t>Return/FCF %</w:t>
            </w:r>
          </w:p>
        </w:tc>
      </w:tr>
      <w:tr>
        <w:tc>
          <w:tcPr>
            <w:tcW w:type="dxa" w:w="1152"/>
          </w:tcPr>
          <w:p/>
        </w:tc>
        <w:tc>
          <w:tcPr>
            <w:tcW w:type="dxa" w:w="1008"/>
          </w:tcPr>
          <w:p/>
        </w:tc>
        <w:tc>
          <w:tcPr>
            <w:tcW w:type="dxa" w:w="1008"/>
          </w:tcPr>
          <w:p/>
        </w:tc>
        <w:tc>
          <w:tcPr>
            <w:tcW w:type="dxa" w:w="1152"/>
          </w:tcPr>
          <w:p/>
        </w:tc>
        <w:tc>
          <w:tcPr>
            <w:tcW w:type="dxa" w:w="1440"/>
          </w:tcPr>
          <w:p/>
        </w:tc>
        <w:tc>
          <w:tcPr>
            <w:tcW w:type="dxa" w:w="1728"/>
          </w:tcPr>
          <w:p/>
        </w:tc>
        <w:tc>
          <w:tcPr>
            <w:tcW w:type="dxa" w:w="1728"/>
          </w:tcPr>
          <w:p/>
        </w:tc>
        <w:tc>
          <w:tcPr>
            <w:tcW w:type="dxa" w:w="1080"/>
          </w:tcPr>
          <w:p/>
        </w:tc>
      </w:tr>
      <w:tr>
        <w:tc>
          <w:tcPr>
            <w:tcW w:type="dxa" w:w="1152"/>
          </w:tcPr>
          <w:p/>
        </w:tc>
        <w:tc>
          <w:tcPr>
            <w:tcW w:type="dxa" w:w="1008"/>
          </w:tcPr>
          <w:p/>
        </w:tc>
        <w:tc>
          <w:tcPr>
            <w:tcW w:type="dxa" w:w="1008"/>
          </w:tcPr>
          <w:p/>
        </w:tc>
        <w:tc>
          <w:tcPr>
            <w:tcW w:type="dxa" w:w="1152"/>
          </w:tcPr>
          <w:p/>
        </w:tc>
        <w:tc>
          <w:tcPr>
            <w:tcW w:type="dxa" w:w="1440"/>
          </w:tcPr>
          <w:p/>
        </w:tc>
        <w:tc>
          <w:tcPr>
            <w:tcW w:type="dxa" w:w="1728"/>
          </w:tcPr>
          <w:p/>
        </w:tc>
        <w:tc>
          <w:tcPr>
            <w:tcW w:type="dxa" w:w="1728"/>
          </w:tcPr>
          <w:p/>
        </w:tc>
        <w:tc>
          <w:tcPr>
            <w:tcW w:type="dxa" w:w="1080"/>
          </w:tcPr>
          <w:p/>
        </w:tc>
      </w:tr>
      <w:tr>
        <w:tc>
          <w:tcPr>
            <w:tcW w:type="dxa" w:w="1152"/>
          </w:tcPr>
          <w:p/>
        </w:tc>
        <w:tc>
          <w:tcPr>
            <w:tcW w:type="dxa" w:w="1008"/>
          </w:tcPr>
          <w:p/>
        </w:tc>
        <w:tc>
          <w:tcPr>
            <w:tcW w:type="dxa" w:w="1008"/>
          </w:tcPr>
          <w:p/>
        </w:tc>
        <w:tc>
          <w:tcPr>
            <w:tcW w:type="dxa" w:w="1152"/>
          </w:tcPr>
          <w:p/>
        </w:tc>
        <w:tc>
          <w:tcPr>
            <w:tcW w:type="dxa" w:w="1440"/>
          </w:tcPr>
          <w:p/>
        </w:tc>
        <w:tc>
          <w:tcPr>
            <w:tcW w:type="dxa" w:w="1728"/>
          </w:tcPr>
          <w:p/>
        </w:tc>
        <w:tc>
          <w:tcPr>
            <w:tcW w:type="dxa" w:w="1728"/>
          </w:tcPr>
          <w:p/>
        </w:tc>
        <w:tc>
          <w:tcPr>
            <w:tcW w:type="dxa" w:w="1080"/>
          </w:tcPr>
          <w:p/>
        </w:tc>
      </w:tr>
      <w:tr>
        <w:tc>
          <w:tcPr>
            <w:tcW w:type="dxa" w:w="1152"/>
          </w:tcPr>
          <w:p/>
        </w:tc>
        <w:tc>
          <w:tcPr>
            <w:tcW w:type="dxa" w:w="1008"/>
          </w:tcPr>
          <w:p/>
        </w:tc>
        <w:tc>
          <w:tcPr>
            <w:tcW w:type="dxa" w:w="1008"/>
          </w:tcPr>
          <w:p/>
        </w:tc>
        <w:tc>
          <w:tcPr>
            <w:tcW w:type="dxa" w:w="1152"/>
          </w:tcPr>
          <w:p/>
        </w:tc>
        <w:tc>
          <w:tcPr>
            <w:tcW w:type="dxa" w:w="1440"/>
          </w:tcPr>
          <w:p/>
        </w:tc>
        <w:tc>
          <w:tcPr>
            <w:tcW w:type="dxa" w:w="1728"/>
          </w:tcPr>
          <w:p/>
        </w:tc>
        <w:tc>
          <w:tcPr>
            <w:tcW w:type="dxa" w:w="1728"/>
          </w:tcPr>
          <w:p/>
        </w:tc>
        <w:tc>
          <w:tcPr>
            <w:tcW w:type="dxa" w:w="1080"/>
          </w:tcPr>
          <w:p/>
        </w:tc>
      </w:tr>
      <w:tr>
        <w:tc>
          <w:tcPr>
            <w:tcW w:type="dxa" w:w="1152"/>
          </w:tcPr>
          <w:p/>
        </w:tc>
        <w:tc>
          <w:tcPr>
            <w:tcW w:type="dxa" w:w="1008"/>
          </w:tcPr>
          <w:p/>
        </w:tc>
        <w:tc>
          <w:tcPr>
            <w:tcW w:type="dxa" w:w="1008"/>
          </w:tcPr>
          <w:p/>
        </w:tc>
        <w:tc>
          <w:tcPr>
            <w:tcW w:type="dxa" w:w="1152"/>
          </w:tcPr>
          <w:p/>
        </w:tc>
        <w:tc>
          <w:tcPr>
            <w:tcW w:type="dxa" w:w="1440"/>
          </w:tcPr>
          <w:p/>
        </w:tc>
        <w:tc>
          <w:tcPr>
            <w:tcW w:type="dxa" w:w="1728"/>
          </w:tcPr>
          <w:p/>
        </w:tc>
        <w:tc>
          <w:tcPr>
            <w:tcW w:type="dxa" w:w="1728"/>
          </w:tcPr>
          <w:p/>
        </w:tc>
        <w:tc>
          <w:tcPr>
            <w:tcW w:type="dxa" w:w="1080"/>
          </w:tcPr>
          <w:p/>
        </w:tc>
      </w:tr>
      <w:tr>
        <w:tc>
          <w:tcPr>
            <w:tcW w:type="dxa" w:w="1152"/>
          </w:tcPr>
          <w:p/>
        </w:tc>
        <w:tc>
          <w:tcPr>
            <w:tcW w:type="dxa" w:w="1008"/>
          </w:tcPr>
          <w:p/>
        </w:tc>
        <w:tc>
          <w:tcPr>
            <w:tcW w:type="dxa" w:w="1008"/>
          </w:tcPr>
          <w:p/>
        </w:tc>
        <w:tc>
          <w:tcPr>
            <w:tcW w:type="dxa" w:w="1152"/>
          </w:tcPr>
          <w:p/>
        </w:tc>
        <w:tc>
          <w:tcPr>
            <w:tcW w:type="dxa" w:w="1440"/>
          </w:tcPr>
          <w:p/>
        </w:tc>
        <w:tc>
          <w:tcPr>
            <w:tcW w:type="dxa" w:w="1728"/>
          </w:tcPr>
          <w:p/>
        </w:tc>
        <w:tc>
          <w:tcPr>
            <w:tcW w:type="dxa" w:w="1728"/>
          </w:tcPr>
          <w:p/>
        </w:tc>
        <w:tc>
          <w:tcPr>
            <w:tcW w:type="dxa" w:w="1080"/>
          </w:tcPr>
          <w:p/>
        </w:tc>
      </w:tr>
      <w:tr>
        <w:tc>
          <w:tcPr>
            <w:tcW w:type="dxa" w:w="1152"/>
          </w:tcPr>
          <w:p/>
        </w:tc>
        <w:tc>
          <w:tcPr>
            <w:tcW w:type="dxa" w:w="1008"/>
          </w:tcPr>
          <w:p/>
        </w:tc>
        <w:tc>
          <w:tcPr>
            <w:tcW w:type="dxa" w:w="1008"/>
          </w:tcPr>
          <w:p/>
        </w:tc>
        <w:tc>
          <w:tcPr>
            <w:tcW w:type="dxa" w:w="1152"/>
          </w:tcPr>
          <w:p/>
        </w:tc>
        <w:tc>
          <w:tcPr>
            <w:tcW w:type="dxa" w:w="1440"/>
          </w:tcPr>
          <w:p/>
        </w:tc>
        <w:tc>
          <w:tcPr>
            <w:tcW w:type="dxa" w:w="1728"/>
          </w:tcPr>
          <w:p/>
        </w:tc>
        <w:tc>
          <w:tcPr>
            <w:tcW w:type="dxa" w:w="1728"/>
          </w:tcPr>
          <w:p/>
        </w:tc>
        <w:tc>
          <w:tcPr>
            <w:tcW w:type="dxa" w:w="1080"/>
          </w:tcPr>
          <w:p/>
        </w:tc>
      </w:tr>
      <w:tr>
        <w:tc>
          <w:tcPr>
            <w:tcW w:type="dxa" w:w="1152"/>
          </w:tcPr>
          <w:p/>
        </w:tc>
        <w:tc>
          <w:tcPr>
            <w:tcW w:type="dxa" w:w="1008"/>
          </w:tcPr>
          <w:p/>
        </w:tc>
        <w:tc>
          <w:tcPr>
            <w:tcW w:type="dxa" w:w="1008"/>
          </w:tcPr>
          <w:p/>
        </w:tc>
        <w:tc>
          <w:tcPr>
            <w:tcW w:type="dxa" w:w="1152"/>
          </w:tcPr>
          <w:p/>
        </w:tc>
        <w:tc>
          <w:tcPr>
            <w:tcW w:type="dxa" w:w="1440"/>
          </w:tcPr>
          <w:p/>
        </w:tc>
        <w:tc>
          <w:tcPr>
            <w:tcW w:type="dxa" w:w="1728"/>
          </w:tcPr>
          <w:p/>
        </w:tc>
        <w:tc>
          <w:tcPr>
            <w:tcW w:type="dxa" w:w="1728"/>
          </w:tcPr>
          <w:p/>
        </w:tc>
        <w:tc>
          <w:tcPr>
            <w:tcW w:type="dxa" w:w="1080"/>
          </w:tcPr>
          <w:p/>
        </w:tc>
      </w:tr>
      <w:tr>
        <w:tc>
          <w:tcPr>
            <w:tcW w:type="dxa" w:w="1152"/>
          </w:tcPr>
          <w:p/>
        </w:tc>
        <w:tc>
          <w:tcPr>
            <w:tcW w:type="dxa" w:w="1008"/>
          </w:tcPr>
          <w:p/>
        </w:tc>
        <w:tc>
          <w:tcPr>
            <w:tcW w:type="dxa" w:w="1008"/>
          </w:tcPr>
          <w:p/>
        </w:tc>
        <w:tc>
          <w:tcPr>
            <w:tcW w:type="dxa" w:w="1152"/>
          </w:tcPr>
          <w:p/>
        </w:tc>
        <w:tc>
          <w:tcPr>
            <w:tcW w:type="dxa" w:w="1440"/>
          </w:tcPr>
          <w:p/>
        </w:tc>
        <w:tc>
          <w:tcPr>
            <w:tcW w:type="dxa" w:w="1728"/>
          </w:tcPr>
          <w:p/>
        </w:tc>
        <w:tc>
          <w:tcPr>
            <w:tcW w:type="dxa" w:w="1728"/>
          </w:tcPr>
          <w:p/>
        </w:tc>
        <w:tc>
          <w:tcPr>
            <w:tcW w:type="dxa" w:w="1080"/>
          </w:tcPr>
          <w:p/>
        </w:tc>
      </w:tr>
      <w:tr>
        <w:tc>
          <w:tcPr>
            <w:tcW w:type="dxa" w:w="1152"/>
          </w:tcPr>
          <w:p/>
        </w:tc>
        <w:tc>
          <w:tcPr>
            <w:tcW w:type="dxa" w:w="1008"/>
          </w:tcPr>
          <w:p/>
        </w:tc>
        <w:tc>
          <w:tcPr>
            <w:tcW w:type="dxa" w:w="1008"/>
          </w:tcPr>
          <w:p/>
        </w:tc>
        <w:tc>
          <w:tcPr>
            <w:tcW w:type="dxa" w:w="1152"/>
          </w:tcPr>
          <w:p/>
        </w:tc>
        <w:tc>
          <w:tcPr>
            <w:tcW w:type="dxa" w:w="1440"/>
          </w:tcPr>
          <w:p/>
        </w:tc>
        <w:tc>
          <w:tcPr>
            <w:tcW w:type="dxa" w:w="1728"/>
          </w:tcPr>
          <w:p/>
        </w:tc>
        <w:tc>
          <w:tcPr>
            <w:tcW w:type="dxa" w:w="1728"/>
          </w:tcPr>
          <w:p/>
        </w:tc>
        <w:tc>
          <w:tcPr>
            <w:tcW w:type="dxa" w:w="1080"/>
          </w:tcPr>
          <w:p/>
        </w:tc>
      </w:tr>
      <w:tr>
        <w:tc>
          <w:tcPr>
            <w:tcW w:type="dxa" w:w="1152"/>
          </w:tcPr>
          <w:p>
            <w:r>
              <w:rPr>
                <w:sz w:val="18"/>
              </w:rPr>
              <w:t>FY2015</w:t>
            </w:r>
          </w:p>
        </w:tc>
        <w:tc>
          <w:tcPr>
            <w:tcW w:type="dxa" w:w="1008"/>
          </w:tcPr>
          <w:p>
            <w:r>
              <w:rPr>
                <w:sz w:val="18"/>
              </w:rPr>
              <w:t>4,680</w:t>
            </w:r>
          </w:p>
        </w:tc>
        <w:tc>
          <w:tcPr>
            <w:tcW w:type="dxa" w:w="1008"/>
          </w:tcPr>
          <w:p>
            <w:r>
              <w:rPr>
                <w:sz w:val="18"/>
              </w:rPr>
              <w:t>-963</w:t>
            </w:r>
          </w:p>
        </w:tc>
        <w:tc>
          <w:tcPr>
            <w:tcW w:type="dxa" w:w="1152"/>
          </w:tcPr>
          <w:p>
            <w:r>
              <w:rPr>
                <w:sz w:val="18"/>
              </w:rPr>
              <w:t>3,717</w:t>
            </w:r>
          </w:p>
        </w:tc>
        <w:tc>
          <w:tcPr>
            <w:tcW w:type="dxa" w:w="1440"/>
          </w:tcPr>
          <w:p>
            <w:r>
              <w:rPr>
                <w:sz w:val="18"/>
              </w:rPr>
              <w:t>2,534</w:t>
            </w:r>
          </w:p>
        </w:tc>
        <w:tc>
          <w:tcPr>
            <w:tcW w:type="dxa" w:w="1728"/>
          </w:tcPr>
          <w:p>
            <w:r>
              <w:rPr>
                <w:sz w:val="18"/>
              </w:rPr>
              <w:t>899</w:t>
            </w:r>
          </w:p>
        </w:tc>
        <w:tc>
          <w:tcPr>
            <w:tcW w:type="dxa" w:w="1728"/>
          </w:tcPr>
          <w:p>
            <w:r>
              <w:rPr>
                <w:sz w:val="18"/>
              </w:rPr>
              <w:t>3,433</w:t>
            </w:r>
          </w:p>
        </w:tc>
        <w:tc>
          <w:tcPr>
            <w:tcW w:type="dxa" w:w="1080"/>
          </w:tcPr>
          <w:p>
            <w:r>
              <w:rPr>
                <w:sz w:val="18"/>
              </w:rPr>
              <w:t>92%</w:t>
            </w:r>
          </w:p>
        </w:tc>
      </w:tr>
      <w:tr>
        <w:tc>
          <w:tcPr>
            <w:tcW w:type="dxa" w:w="1152"/>
          </w:tcPr>
          <w:p>
            <w:r>
              <w:rPr>
                <w:sz w:val="18"/>
              </w:rPr>
              <w:t>FY2016</w:t>
            </w:r>
          </w:p>
        </w:tc>
        <w:tc>
          <w:tcPr>
            <w:tcW w:type="dxa" w:w="1008"/>
          </w:tcPr>
          <w:p>
            <w:r>
              <w:rPr>
                <w:sz w:val="18"/>
              </w:rPr>
              <w:t>3,399</w:t>
            </w:r>
          </w:p>
        </w:tc>
        <w:tc>
          <w:tcPr>
            <w:tcW w:type="dxa" w:w="1008"/>
          </w:tcPr>
          <w:p>
            <w:r>
              <w:rPr>
                <w:sz w:val="18"/>
              </w:rPr>
              <w:t>-1,143</w:t>
            </w:r>
          </w:p>
        </w:tc>
        <w:tc>
          <w:tcPr>
            <w:tcW w:type="dxa" w:w="1152"/>
          </w:tcPr>
          <w:p>
            <w:r>
              <w:rPr>
                <w:sz w:val="18"/>
              </w:rPr>
              <w:t>2,256</w:t>
            </w:r>
          </w:p>
        </w:tc>
        <w:tc>
          <w:tcPr>
            <w:tcW w:type="dxa" w:w="1440"/>
          </w:tcPr>
          <w:p>
            <w:r>
              <w:rPr>
                <w:sz w:val="18"/>
              </w:rPr>
              <w:t>3,260</w:t>
            </w:r>
          </w:p>
        </w:tc>
        <w:tc>
          <w:tcPr>
            <w:tcW w:type="dxa" w:w="1728"/>
          </w:tcPr>
          <w:p>
            <w:r>
              <w:rPr>
                <w:sz w:val="18"/>
              </w:rPr>
              <w:t>1,022</w:t>
            </w:r>
          </w:p>
        </w:tc>
        <w:tc>
          <w:tcPr>
            <w:tcW w:type="dxa" w:w="1728"/>
          </w:tcPr>
          <w:p>
            <w:r>
              <w:rPr>
                <w:sz w:val="18"/>
              </w:rPr>
              <w:t>4,282</w:t>
            </w:r>
          </w:p>
        </w:tc>
        <w:tc>
          <w:tcPr>
            <w:tcW w:type="dxa" w:w="1080"/>
          </w:tcPr>
          <w:p>
            <w:r>
              <w:rPr>
                <w:sz w:val="18"/>
              </w:rPr>
              <w:t>190%</w:t>
            </w:r>
          </w:p>
        </w:tc>
      </w:tr>
      <w:tr>
        <w:tc>
          <w:tcPr>
            <w:tcW w:type="dxa" w:w="1152"/>
          </w:tcPr>
          <w:p>
            <w:r>
              <w:rPr>
                <w:sz w:val="18"/>
              </w:rPr>
              <w:t>FY2017</w:t>
            </w:r>
          </w:p>
        </w:tc>
        <w:tc>
          <w:tcPr>
            <w:tcW w:type="dxa" w:w="1008"/>
          </w:tcPr>
          <w:p>
            <w:r>
              <w:rPr>
                <w:sz w:val="18"/>
              </w:rPr>
              <w:t>3,846</w:t>
            </w:r>
          </w:p>
        </w:tc>
        <w:tc>
          <w:tcPr>
            <w:tcW w:type="dxa" w:w="1008"/>
          </w:tcPr>
          <w:p>
            <w:r>
              <w:rPr>
                <w:sz w:val="18"/>
              </w:rPr>
              <w:t>-1,105</w:t>
            </w:r>
          </w:p>
        </w:tc>
        <w:tc>
          <w:tcPr>
            <w:tcW w:type="dxa" w:w="1152"/>
          </w:tcPr>
          <w:p>
            <w:r>
              <w:rPr>
                <w:sz w:val="18"/>
              </w:rPr>
              <w:t>2,741</w:t>
            </w:r>
          </w:p>
        </w:tc>
        <w:tc>
          <w:tcPr>
            <w:tcW w:type="dxa" w:w="1440"/>
          </w:tcPr>
          <w:p>
            <w:r>
              <w:rPr>
                <w:sz w:val="18"/>
              </w:rPr>
              <w:t>3,252</w:t>
            </w:r>
          </w:p>
        </w:tc>
        <w:tc>
          <w:tcPr>
            <w:tcW w:type="dxa" w:w="1728"/>
          </w:tcPr>
          <w:p>
            <w:r>
              <w:rPr>
                <w:sz w:val="18"/>
              </w:rPr>
              <w:t>1,133</w:t>
            </w:r>
          </w:p>
        </w:tc>
        <w:tc>
          <w:tcPr>
            <w:tcW w:type="dxa" w:w="1728"/>
          </w:tcPr>
          <w:p>
            <w:r>
              <w:rPr>
                <w:sz w:val="18"/>
              </w:rPr>
              <w:t>4,385</w:t>
            </w:r>
          </w:p>
        </w:tc>
        <w:tc>
          <w:tcPr>
            <w:tcW w:type="dxa" w:w="1080"/>
          </w:tcPr>
          <w:p>
            <w:r>
              <w:rPr>
                <w:sz w:val="18"/>
              </w:rPr>
              <w:t>160%</w:t>
            </w:r>
          </w:p>
        </w:tc>
      </w:tr>
      <w:tr>
        <w:tc>
          <w:tcPr>
            <w:tcW w:type="dxa" w:w="1152"/>
          </w:tcPr>
          <w:p>
            <w:r>
              <w:rPr>
                <w:sz w:val="18"/>
              </w:rPr>
              <w:t>FY2018</w:t>
            </w:r>
          </w:p>
        </w:tc>
        <w:tc>
          <w:tcPr>
            <w:tcW w:type="dxa" w:w="1008"/>
          </w:tcPr>
          <w:p>
            <w:r>
              <w:rPr>
                <w:sz w:val="18"/>
              </w:rPr>
              <w:t>4,955</w:t>
            </w:r>
          </w:p>
        </w:tc>
        <w:tc>
          <w:tcPr>
            <w:tcW w:type="dxa" w:w="1008"/>
          </w:tcPr>
          <w:p>
            <w:r>
              <w:rPr>
                <w:sz w:val="18"/>
              </w:rPr>
              <w:t>-1,028</w:t>
            </w:r>
          </w:p>
        </w:tc>
        <w:tc>
          <w:tcPr>
            <w:tcW w:type="dxa" w:w="1152"/>
          </w:tcPr>
          <w:p>
            <w:r>
              <w:rPr>
                <w:sz w:val="18"/>
              </w:rPr>
              <w:t>3,927</w:t>
            </w:r>
          </w:p>
        </w:tc>
        <w:tc>
          <w:tcPr>
            <w:tcW w:type="dxa" w:w="1440"/>
          </w:tcPr>
          <w:p>
            <w:r>
              <w:rPr>
                <w:sz w:val="18"/>
              </w:rPr>
              <w:t>4,254</w:t>
            </w:r>
          </w:p>
        </w:tc>
        <w:tc>
          <w:tcPr>
            <w:tcW w:type="dxa" w:w="1728"/>
          </w:tcPr>
          <w:p>
            <w:r>
              <w:rPr>
                <w:sz w:val="18"/>
              </w:rPr>
              <w:t>1,243</w:t>
            </w:r>
          </w:p>
        </w:tc>
        <w:tc>
          <w:tcPr>
            <w:tcW w:type="dxa" w:w="1728"/>
          </w:tcPr>
          <w:p>
            <w:r>
              <w:rPr>
                <w:sz w:val="18"/>
              </w:rPr>
              <w:t>5,497</w:t>
            </w:r>
          </w:p>
        </w:tc>
        <w:tc>
          <w:tcPr>
            <w:tcW w:type="dxa" w:w="1080"/>
          </w:tcPr>
          <w:p>
            <w:r>
              <w:rPr>
                <w:sz w:val="18"/>
              </w:rPr>
              <w:t>140%</w:t>
            </w:r>
          </w:p>
        </w:tc>
      </w:tr>
      <w:tr>
        <w:tc>
          <w:tcPr>
            <w:tcW w:type="dxa" w:w="1152"/>
          </w:tcPr>
          <w:p>
            <w:r>
              <w:rPr>
                <w:sz w:val="18"/>
              </w:rPr>
              <w:t>FY2019</w:t>
            </w:r>
          </w:p>
        </w:tc>
        <w:tc>
          <w:tcPr>
            <w:tcW w:type="dxa" w:w="1008"/>
          </w:tcPr>
          <w:p>
            <w:r>
              <w:rPr>
                <w:sz w:val="18"/>
              </w:rPr>
              <w:t>5,903</w:t>
            </w:r>
          </w:p>
        </w:tc>
        <w:tc>
          <w:tcPr>
            <w:tcW w:type="dxa" w:w="1008"/>
          </w:tcPr>
          <w:p>
            <w:r>
              <w:rPr>
                <w:sz w:val="18"/>
              </w:rPr>
              <w:t>-1,119</w:t>
            </w:r>
          </w:p>
        </w:tc>
        <w:tc>
          <w:tcPr>
            <w:tcW w:type="dxa" w:w="1152"/>
          </w:tcPr>
          <w:p>
            <w:r>
              <w:rPr>
                <w:sz w:val="18"/>
              </w:rPr>
              <w:t>4,784</w:t>
            </w:r>
          </w:p>
        </w:tc>
        <w:tc>
          <w:tcPr>
            <w:tcW w:type="dxa" w:w="1440"/>
          </w:tcPr>
          <w:p>
            <w:r>
              <w:rPr>
                <w:sz w:val="18"/>
              </w:rPr>
              <w:t>4,286</w:t>
            </w:r>
          </w:p>
        </w:tc>
        <w:tc>
          <w:tcPr>
            <w:tcW w:type="dxa" w:w="1728"/>
          </w:tcPr>
          <w:p>
            <w:r>
              <w:rPr>
                <w:sz w:val="18"/>
              </w:rPr>
              <w:t>1,332</w:t>
            </w:r>
          </w:p>
        </w:tc>
        <w:tc>
          <w:tcPr>
            <w:tcW w:type="dxa" w:w="1728"/>
          </w:tcPr>
          <w:p>
            <w:r>
              <w:rPr>
                <w:sz w:val="18"/>
              </w:rPr>
              <w:t>5,618</w:t>
            </w:r>
          </w:p>
        </w:tc>
        <w:tc>
          <w:tcPr>
            <w:tcW w:type="dxa" w:w="1080"/>
          </w:tcPr>
          <w:p>
            <w:r>
              <w:rPr>
                <w:sz w:val="18"/>
              </w:rPr>
              <w:t>117%</w:t>
            </w:r>
          </w:p>
        </w:tc>
      </w:tr>
      <w:tr>
        <w:tc>
          <w:tcPr>
            <w:tcW w:type="dxa" w:w="1152"/>
          </w:tcPr>
          <w:p>
            <w:r>
              <w:rPr>
                <w:sz w:val="18"/>
              </w:rPr>
              <w:t>FY2020</w:t>
            </w:r>
          </w:p>
        </w:tc>
        <w:tc>
          <w:tcPr>
            <w:tcW w:type="dxa" w:w="1008"/>
          </w:tcPr>
          <w:p>
            <w:r>
              <w:rPr>
                <w:sz w:val="18"/>
              </w:rPr>
              <w:t>2,485</w:t>
            </w:r>
          </w:p>
        </w:tc>
        <w:tc>
          <w:tcPr>
            <w:tcW w:type="dxa" w:w="1008"/>
          </w:tcPr>
          <w:p>
            <w:r>
              <w:rPr>
                <w:sz w:val="18"/>
              </w:rPr>
              <w:t>-1,086</w:t>
            </w:r>
          </w:p>
        </w:tc>
        <w:tc>
          <w:tcPr>
            <w:tcW w:type="dxa" w:w="1152"/>
          </w:tcPr>
          <w:p>
            <w:r>
              <w:rPr>
                <w:sz w:val="18"/>
              </w:rPr>
              <w:t>1,399</w:t>
            </w:r>
          </w:p>
        </w:tc>
        <w:tc>
          <w:tcPr>
            <w:tcW w:type="dxa" w:w="1440"/>
          </w:tcPr>
          <w:p>
            <w:r>
              <w:rPr>
                <w:sz w:val="18"/>
              </w:rPr>
              <w:t>3,067</w:t>
            </w:r>
          </w:p>
        </w:tc>
        <w:tc>
          <w:tcPr>
            <w:tcW w:type="dxa" w:w="1728"/>
          </w:tcPr>
          <w:p>
            <w:r>
              <w:rPr>
                <w:sz w:val="18"/>
              </w:rPr>
              <w:t>1,452</w:t>
            </w:r>
          </w:p>
        </w:tc>
        <w:tc>
          <w:tcPr>
            <w:tcW w:type="dxa" w:w="1728"/>
          </w:tcPr>
          <w:p>
            <w:r>
              <w:rPr>
                <w:sz w:val="18"/>
              </w:rPr>
              <w:t>4,519</w:t>
            </w:r>
          </w:p>
        </w:tc>
        <w:tc>
          <w:tcPr>
            <w:tcW w:type="dxa" w:w="1080"/>
          </w:tcPr>
          <w:p>
            <w:r>
              <w:rPr>
                <w:sz w:val="18"/>
              </w:rPr>
              <w:t>323%</w:t>
            </w:r>
          </w:p>
        </w:tc>
      </w:tr>
      <w:tr>
        <w:tc>
          <w:tcPr>
            <w:tcW w:type="dxa" w:w="1152"/>
          </w:tcPr>
          <w:p>
            <w:r>
              <w:rPr>
                <w:sz w:val="18"/>
              </w:rPr>
              <w:t>FY2021</w:t>
            </w:r>
          </w:p>
        </w:tc>
        <w:tc>
          <w:tcPr>
            <w:tcW w:type="dxa" w:w="1008"/>
          </w:tcPr>
          <w:p>
            <w:r>
              <w:rPr>
                <w:sz w:val="18"/>
              </w:rPr>
              <w:t>6,657</w:t>
            </w:r>
          </w:p>
        </w:tc>
        <w:tc>
          <w:tcPr>
            <w:tcW w:type="dxa" w:w="1008"/>
          </w:tcPr>
          <w:p>
            <w:r>
              <w:rPr>
                <w:sz w:val="18"/>
              </w:rPr>
              <w:t>-695</w:t>
            </w:r>
          </w:p>
        </w:tc>
        <w:tc>
          <w:tcPr>
            <w:tcW w:type="dxa" w:w="1152"/>
          </w:tcPr>
          <w:p>
            <w:r>
              <w:rPr>
                <w:sz w:val="18"/>
              </w:rPr>
              <w:t>5,962</w:t>
            </w:r>
          </w:p>
        </w:tc>
        <w:tc>
          <w:tcPr>
            <w:tcW w:type="dxa" w:w="1440"/>
          </w:tcPr>
          <w:p>
            <w:r>
              <w:rPr>
                <w:sz w:val="18"/>
              </w:rPr>
              <w:t>608</w:t>
            </w:r>
          </w:p>
        </w:tc>
        <w:tc>
          <w:tcPr>
            <w:tcW w:type="dxa" w:w="1728"/>
          </w:tcPr>
          <w:p>
            <w:r>
              <w:rPr>
                <w:sz w:val="18"/>
              </w:rPr>
              <w:t>1,638</w:t>
            </w:r>
          </w:p>
        </w:tc>
        <w:tc>
          <w:tcPr>
            <w:tcW w:type="dxa" w:w="1728"/>
          </w:tcPr>
          <w:p>
            <w:r>
              <w:rPr>
                <w:sz w:val="18"/>
              </w:rPr>
              <w:t>2,246</w:t>
            </w:r>
          </w:p>
        </w:tc>
        <w:tc>
          <w:tcPr>
            <w:tcW w:type="dxa" w:w="1080"/>
          </w:tcPr>
          <w:p>
            <w:r>
              <w:rPr>
                <w:sz w:val="18"/>
              </w:rPr>
              <w:t>38%</w:t>
            </w:r>
          </w:p>
        </w:tc>
      </w:tr>
      <w:tr>
        <w:tc>
          <w:tcPr>
            <w:tcW w:type="dxa" w:w="1152"/>
          </w:tcPr>
          <w:p>
            <w:r>
              <w:rPr>
                <w:sz w:val="18"/>
              </w:rPr>
              <w:t>FY2022</w:t>
            </w:r>
          </w:p>
        </w:tc>
        <w:tc>
          <w:tcPr>
            <w:tcW w:type="dxa" w:w="1008"/>
          </w:tcPr>
          <w:p>
            <w:r>
              <w:rPr>
                <w:sz w:val="18"/>
              </w:rPr>
              <w:t>5,188</w:t>
            </w:r>
          </w:p>
        </w:tc>
        <w:tc>
          <w:tcPr>
            <w:tcW w:type="dxa" w:w="1008"/>
          </w:tcPr>
          <w:p>
            <w:r>
              <w:rPr>
                <w:sz w:val="18"/>
              </w:rPr>
              <w:t>-758</w:t>
            </w:r>
          </w:p>
        </w:tc>
        <w:tc>
          <w:tcPr>
            <w:tcW w:type="dxa" w:w="1152"/>
          </w:tcPr>
          <w:p>
            <w:r>
              <w:rPr>
                <w:sz w:val="18"/>
              </w:rPr>
              <w:t>4,430</w:t>
            </w:r>
          </w:p>
        </w:tc>
        <w:tc>
          <w:tcPr>
            <w:tcW w:type="dxa" w:w="1440"/>
          </w:tcPr>
          <w:p>
            <w:r>
              <w:rPr>
                <w:sz w:val="18"/>
              </w:rPr>
              <w:t>4,014</w:t>
            </w:r>
          </w:p>
        </w:tc>
        <w:tc>
          <w:tcPr>
            <w:tcW w:type="dxa" w:w="1728"/>
          </w:tcPr>
          <w:p>
            <w:r>
              <w:rPr>
                <w:sz w:val="18"/>
              </w:rPr>
              <w:t>1,837</w:t>
            </w:r>
          </w:p>
        </w:tc>
        <w:tc>
          <w:tcPr>
            <w:tcW w:type="dxa" w:w="1728"/>
          </w:tcPr>
          <w:p>
            <w:r>
              <w:rPr>
                <w:sz w:val="18"/>
              </w:rPr>
              <w:t>5,851</w:t>
            </w:r>
          </w:p>
        </w:tc>
        <w:tc>
          <w:tcPr>
            <w:tcW w:type="dxa" w:w="1080"/>
          </w:tcPr>
          <w:p>
            <w:r>
              <w:rPr>
                <w:sz w:val="18"/>
              </w:rPr>
              <w:t>132%</w:t>
            </w:r>
          </w:p>
        </w:tc>
      </w:tr>
      <w:tr>
        <w:tc>
          <w:tcPr>
            <w:tcW w:type="dxa" w:w="1152"/>
          </w:tcPr>
          <w:p>
            <w:r>
              <w:rPr>
                <w:sz w:val="18"/>
              </w:rPr>
              <w:t>FY2023</w:t>
            </w:r>
          </w:p>
        </w:tc>
        <w:tc>
          <w:tcPr>
            <w:tcW w:type="dxa" w:w="1008"/>
          </w:tcPr>
          <w:p>
            <w:r>
              <w:rPr>
                <w:sz w:val="18"/>
              </w:rPr>
              <w:t>5,841</w:t>
            </w:r>
          </w:p>
        </w:tc>
        <w:tc>
          <w:tcPr>
            <w:tcW w:type="dxa" w:w="1008"/>
          </w:tcPr>
          <w:p>
            <w:r>
              <w:rPr>
                <w:sz w:val="18"/>
              </w:rPr>
              <w:t>-969</w:t>
            </w:r>
          </w:p>
        </w:tc>
        <w:tc>
          <w:tcPr>
            <w:tcW w:type="dxa" w:w="1152"/>
          </w:tcPr>
          <w:p>
            <w:r>
              <w:rPr>
                <w:sz w:val="18"/>
              </w:rPr>
              <w:t>4,872</w:t>
            </w:r>
          </w:p>
        </w:tc>
        <w:tc>
          <w:tcPr>
            <w:tcW w:type="dxa" w:w="1440"/>
          </w:tcPr>
          <w:p>
            <w:r>
              <w:rPr>
                <w:sz w:val="18"/>
              </w:rPr>
              <w:t>5,480</w:t>
            </w:r>
          </w:p>
        </w:tc>
        <w:tc>
          <w:tcPr>
            <w:tcW w:type="dxa" w:w="1728"/>
          </w:tcPr>
          <w:p>
            <w:r>
              <w:rPr>
                <w:sz w:val="18"/>
              </w:rPr>
              <w:t>2,012</w:t>
            </w:r>
          </w:p>
        </w:tc>
        <w:tc>
          <w:tcPr>
            <w:tcW w:type="dxa" w:w="1728"/>
          </w:tcPr>
          <w:p>
            <w:r>
              <w:rPr>
                <w:sz w:val="18"/>
              </w:rPr>
              <w:t>7,492</w:t>
            </w:r>
          </w:p>
        </w:tc>
        <w:tc>
          <w:tcPr>
            <w:tcW w:type="dxa" w:w="1080"/>
          </w:tcPr>
          <w:p>
            <w:r>
              <w:rPr>
                <w:sz w:val="18"/>
              </w:rPr>
              <w:t>154%</w:t>
            </w:r>
          </w:p>
        </w:tc>
      </w:tr>
      <w:tr>
        <w:tc>
          <w:tcPr>
            <w:tcW w:type="dxa" w:w="1152"/>
          </w:tcPr>
          <w:p>
            <w:r>
              <w:rPr>
                <w:sz w:val="18"/>
              </w:rPr>
              <w:t>FY2024</w:t>
            </w:r>
          </w:p>
        </w:tc>
        <w:tc>
          <w:tcPr>
            <w:tcW w:type="dxa" w:w="1008"/>
          </w:tcPr>
          <w:p>
            <w:r>
              <w:rPr>
                <w:sz w:val="18"/>
              </w:rPr>
              <w:t>7,429</w:t>
            </w:r>
          </w:p>
        </w:tc>
        <w:tc>
          <w:tcPr>
            <w:tcW w:type="dxa" w:w="1008"/>
          </w:tcPr>
          <w:p>
            <w:r>
              <w:rPr>
                <w:sz w:val="18"/>
              </w:rPr>
              <w:t>-812</w:t>
            </w:r>
          </w:p>
        </w:tc>
        <w:tc>
          <w:tcPr>
            <w:tcW w:type="dxa" w:w="1152"/>
          </w:tcPr>
          <w:p>
            <w:r>
              <w:rPr>
                <w:sz w:val="18"/>
              </w:rPr>
              <w:t>6,617</w:t>
            </w:r>
          </w:p>
        </w:tc>
        <w:tc>
          <w:tcPr>
            <w:tcW w:type="dxa" w:w="1440"/>
          </w:tcPr>
          <w:p>
            <w:r>
              <w:rPr>
                <w:sz w:val="18"/>
              </w:rPr>
              <w:t>4,250</w:t>
            </w:r>
          </w:p>
        </w:tc>
        <w:tc>
          <w:tcPr>
            <w:tcW w:type="dxa" w:w="1728"/>
          </w:tcPr>
          <w:p>
            <w:r>
              <w:rPr>
                <w:sz w:val="18"/>
              </w:rPr>
              <w:t>2,169</w:t>
            </w:r>
          </w:p>
        </w:tc>
        <w:tc>
          <w:tcPr>
            <w:tcW w:type="dxa" w:w="1728"/>
          </w:tcPr>
          <w:p>
            <w:r>
              <w:rPr>
                <w:sz w:val="18"/>
              </w:rPr>
              <w:t>6,419</w:t>
            </w:r>
          </w:p>
        </w:tc>
        <w:tc>
          <w:tcPr>
            <w:tcW w:type="dxa" w:w="1080"/>
          </w:tcPr>
          <w:p>
            <w:r>
              <w:rPr>
                <w:sz w:val="18"/>
              </w:rPr>
              <w:t>97%</w:t>
            </w:r>
          </w:p>
        </w:tc>
      </w:tr>
    </w:tbl>
    <w:p/>
    <w:p>
      <w:r>
        <w:rPr>
          <w:b w:val="0"/>
          <w:i w:val="0"/>
          <w:sz w:val="20"/>
        </w:rPr>
        <w:t>NIKE consistently returns 90–160% of FCF to shareholders in most years. FY2020 and FY2016/FY2017 show &gt;100% returns, funded by balance sheet borrowing. FY2021 was the exception: post-COVID buybacks were deliberately reduced (only $608m) as NIKE rebuilt inventory and supply chain flexibility. Cumulative FY2015–FY2024 capital returned: ~$53.6bn ($33.0bn buybacks + $14.7bn dividends).</w:t>
      </w:r>
    </w:p>
    <w:p>
      <w:r>
        <w:br w:type="page"/>
      </w:r>
    </w:p>
    <w:p>
      <w:pPr>
        <w:pStyle w:val="Heading1"/>
      </w:pPr>
      <w:r>
        <w:t>APPENDIX A — Critical Formula Reference</w:t>
      </w:r>
    </w:p>
    <w:p>
      <w:pPr>
        <w:pStyle w:val="Heading2"/>
      </w:pPr>
      <w:r>
        <w:t>A.1  Key Income Statement Formulas</w:t>
      </w:r>
    </w:p>
    <w:tbl>
      <w:tblPr>
        <w:tblStyle w:val="LightList-Accent1"/>
        <w:tblW w:type="auto" w:w="0"/>
        <w:tblLook w:firstColumn="1" w:firstRow="1" w:lastColumn="0" w:lastRow="0" w:noHBand="0" w:noVBand="1" w:val="04A0"/>
      </w:tblPr>
      <w:tblGrid>
        <w:gridCol w:w="2160"/>
        <w:gridCol w:w="2160"/>
        <w:gridCol w:w="2160"/>
        <w:gridCol w:w="2160"/>
      </w:tblGrid>
      <w:tr>
        <w:tc>
          <w:tcPr>
            <w:tcW w:type="dxa" w:w="720"/>
          </w:tcPr>
          <w:p>
            <w:r>
              <w:rPr>
                <w:b/>
                <w:sz w:val="18"/>
              </w:rPr>
              <w:t>Row</w:t>
            </w:r>
          </w:p>
        </w:tc>
        <w:tc>
          <w:tcPr>
            <w:tcW w:type="dxa" w:w="1296"/>
          </w:tcPr>
          <w:p>
            <w:r>
              <w:rPr>
                <w:b/>
                <w:sz w:val="18"/>
              </w:rPr>
              <w:t>Cell (FY2025)</w:t>
            </w:r>
          </w:p>
        </w:tc>
        <w:tc>
          <w:tcPr>
            <w:tcW w:type="dxa" w:w="3600"/>
          </w:tcPr>
          <w:p>
            <w:r>
              <w:rPr>
                <w:b/>
                <w:sz w:val="18"/>
              </w:rPr>
              <w:t>Formula</w:t>
            </w:r>
          </w:p>
        </w:tc>
        <w:tc>
          <w:tcPr>
            <w:tcW w:type="dxa" w:w="3600"/>
          </w:tcPr>
          <w:p>
            <w:r>
              <w:rPr>
                <w:b/>
                <w:sz w:val="18"/>
              </w:rPr>
              <w:t>What It Computes</w:t>
            </w:r>
          </w:p>
        </w:tc>
      </w:tr>
      <w:tr>
        <w:tc>
          <w:tcPr>
            <w:tcW w:type="dxa" w:w="720"/>
          </w:tcPr>
          <w:p/>
        </w:tc>
        <w:tc>
          <w:tcPr>
            <w:tcW w:type="dxa" w:w="1296"/>
          </w:tcPr>
          <w:p/>
        </w:tc>
        <w:tc>
          <w:tcPr>
            <w:tcW w:type="dxa" w:w="3600"/>
          </w:tcPr>
          <w:p/>
        </w:tc>
        <w:tc>
          <w:tcPr>
            <w:tcW w:type="dxa" w:w="3600"/>
          </w:tcPr>
          <w:p/>
        </w:tc>
      </w:tr>
      <w:tr>
        <w:tc>
          <w:tcPr>
            <w:tcW w:type="dxa" w:w="720"/>
          </w:tcPr>
          <w:p/>
        </w:tc>
        <w:tc>
          <w:tcPr>
            <w:tcW w:type="dxa" w:w="1296"/>
          </w:tcPr>
          <w:p/>
        </w:tc>
        <w:tc>
          <w:tcPr>
            <w:tcW w:type="dxa" w:w="3600"/>
          </w:tcPr>
          <w:p/>
        </w:tc>
        <w:tc>
          <w:tcPr>
            <w:tcW w:type="dxa" w:w="3600"/>
          </w:tcPr>
          <w:p/>
        </w:tc>
      </w:tr>
      <w:tr>
        <w:tc>
          <w:tcPr>
            <w:tcW w:type="dxa" w:w="720"/>
          </w:tcPr>
          <w:p/>
        </w:tc>
        <w:tc>
          <w:tcPr>
            <w:tcW w:type="dxa" w:w="1296"/>
          </w:tcPr>
          <w:p/>
        </w:tc>
        <w:tc>
          <w:tcPr>
            <w:tcW w:type="dxa" w:w="3600"/>
          </w:tcPr>
          <w:p/>
        </w:tc>
        <w:tc>
          <w:tcPr>
            <w:tcW w:type="dxa" w:w="3600"/>
          </w:tcPr>
          <w:p/>
        </w:tc>
      </w:tr>
      <w:tr>
        <w:tc>
          <w:tcPr>
            <w:tcW w:type="dxa" w:w="720"/>
          </w:tcPr>
          <w:p/>
        </w:tc>
        <w:tc>
          <w:tcPr>
            <w:tcW w:type="dxa" w:w="1296"/>
          </w:tcPr>
          <w:p/>
        </w:tc>
        <w:tc>
          <w:tcPr>
            <w:tcW w:type="dxa" w:w="3600"/>
          </w:tcPr>
          <w:p/>
        </w:tc>
        <w:tc>
          <w:tcPr>
            <w:tcW w:type="dxa" w:w="3600"/>
          </w:tcPr>
          <w:p/>
        </w:tc>
      </w:tr>
      <w:tr>
        <w:tc>
          <w:tcPr>
            <w:tcW w:type="dxa" w:w="720"/>
          </w:tcPr>
          <w:p/>
        </w:tc>
        <w:tc>
          <w:tcPr>
            <w:tcW w:type="dxa" w:w="1296"/>
          </w:tcPr>
          <w:p/>
        </w:tc>
        <w:tc>
          <w:tcPr>
            <w:tcW w:type="dxa" w:w="3600"/>
          </w:tcPr>
          <w:p/>
        </w:tc>
        <w:tc>
          <w:tcPr>
            <w:tcW w:type="dxa" w:w="3600"/>
          </w:tcPr>
          <w:p/>
        </w:tc>
      </w:tr>
      <w:tr>
        <w:tc>
          <w:tcPr>
            <w:tcW w:type="dxa" w:w="720"/>
          </w:tcPr>
          <w:p/>
        </w:tc>
        <w:tc>
          <w:tcPr>
            <w:tcW w:type="dxa" w:w="1296"/>
          </w:tcPr>
          <w:p/>
        </w:tc>
        <w:tc>
          <w:tcPr>
            <w:tcW w:type="dxa" w:w="3600"/>
          </w:tcPr>
          <w:p/>
        </w:tc>
        <w:tc>
          <w:tcPr>
            <w:tcW w:type="dxa" w:w="3600"/>
          </w:tcPr>
          <w:p/>
        </w:tc>
      </w:tr>
      <w:tr>
        <w:tc>
          <w:tcPr>
            <w:tcW w:type="dxa" w:w="720"/>
          </w:tcPr>
          <w:p/>
        </w:tc>
        <w:tc>
          <w:tcPr>
            <w:tcW w:type="dxa" w:w="1296"/>
          </w:tcPr>
          <w:p/>
        </w:tc>
        <w:tc>
          <w:tcPr>
            <w:tcW w:type="dxa" w:w="3600"/>
          </w:tcPr>
          <w:p/>
        </w:tc>
        <w:tc>
          <w:tcPr>
            <w:tcW w:type="dxa" w:w="3600"/>
          </w:tcPr>
          <w:p/>
        </w:tc>
      </w:tr>
      <w:tr>
        <w:tc>
          <w:tcPr>
            <w:tcW w:type="dxa" w:w="720"/>
          </w:tcPr>
          <w:p/>
        </w:tc>
        <w:tc>
          <w:tcPr>
            <w:tcW w:type="dxa" w:w="1296"/>
          </w:tcPr>
          <w:p/>
        </w:tc>
        <w:tc>
          <w:tcPr>
            <w:tcW w:type="dxa" w:w="3600"/>
          </w:tcPr>
          <w:p/>
        </w:tc>
        <w:tc>
          <w:tcPr>
            <w:tcW w:type="dxa" w:w="3600"/>
          </w:tcPr>
          <w:p/>
        </w:tc>
      </w:tr>
      <w:tr>
        <w:tc>
          <w:tcPr>
            <w:tcW w:type="dxa" w:w="720"/>
          </w:tcPr>
          <w:p/>
        </w:tc>
        <w:tc>
          <w:tcPr>
            <w:tcW w:type="dxa" w:w="1296"/>
          </w:tcPr>
          <w:p/>
        </w:tc>
        <w:tc>
          <w:tcPr>
            <w:tcW w:type="dxa" w:w="3600"/>
          </w:tcPr>
          <w:p/>
        </w:tc>
        <w:tc>
          <w:tcPr>
            <w:tcW w:type="dxa" w:w="3600"/>
          </w:tcPr>
          <w:p/>
        </w:tc>
      </w:tr>
      <w:tr>
        <w:tc>
          <w:tcPr>
            <w:tcW w:type="dxa" w:w="720"/>
          </w:tcPr>
          <w:p/>
        </w:tc>
        <w:tc>
          <w:tcPr>
            <w:tcW w:type="dxa" w:w="1296"/>
          </w:tcPr>
          <w:p/>
        </w:tc>
        <w:tc>
          <w:tcPr>
            <w:tcW w:type="dxa" w:w="3600"/>
          </w:tcPr>
          <w:p/>
        </w:tc>
        <w:tc>
          <w:tcPr>
            <w:tcW w:type="dxa" w:w="3600"/>
          </w:tcPr>
          <w:p/>
        </w:tc>
      </w:tr>
      <w:tr>
        <w:tc>
          <w:tcPr>
            <w:tcW w:type="dxa" w:w="720"/>
          </w:tcPr>
          <w:p>
            <w:r>
              <w:rPr>
                <w:sz w:val="18"/>
              </w:rPr>
              <w:t>338</w:t>
            </w:r>
          </w:p>
        </w:tc>
        <w:tc>
          <w:tcPr>
            <w:tcW w:type="dxa" w:w="1296"/>
          </w:tcPr>
          <w:p>
            <w:r>
              <w:rPr>
                <w:sz w:val="18"/>
              </w:rPr>
              <w:t>L338</w:t>
            </w:r>
          </w:p>
        </w:tc>
        <w:tc>
          <w:tcPr>
            <w:tcW w:type="dxa" w:w="3600"/>
          </w:tcPr>
          <w:p>
            <w:r>
              <w:rPr>
                <w:sz w:val="18"/>
              </w:rPr>
              <w:t>=K338*(1+L320)^1</w:t>
            </w:r>
          </w:p>
        </w:tc>
        <w:tc>
          <w:tcPr>
            <w:tcW w:type="dxa" w:w="3600"/>
          </w:tcPr>
          <w:p>
            <w:r>
              <w:rPr>
                <w:sz w:val="18"/>
              </w:rPr>
              <w:t>Revenue = prior year × (1+growth)</w:t>
            </w:r>
          </w:p>
        </w:tc>
      </w:tr>
      <w:tr>
        <w:tc>
          <w:tcPr>
            <w:tcW w:type="dxa" w:w="720"/>
          </w:tcPr>
          <w:p>
            <w:r>
              <w:rPr>
                <w:sz w:val="18"/>
              </w:rPr>
              <w:t>339</w:t>
            </w:r>
          </w:p>
        </w:tc>
        <w:tc>
          <w:tcPr>
            <w:tcW w:type="dxa" w:w="1296"/>
          </w:tcPr>
          <w:p>
            <w:r>
              <w:rPr>
                <w:sz w:val="18"/>
              </w:rPr>
              <w:t>L339</w:t>
            </w:r>
          </w:p>
        </w:tc>
        <w:tc>
          <w:tcPr>
            <w:tcW w:type="dxa" w:w="3600"/>
          </w:tcPr>
          <w:p>
            <w:r>
              <w:rPr>
                <w:sz w:val="18"/>
              </w:rPr>
              <w:t>=L338*L321</w:t>
            </w:r>
          </w:p>
        </w:tc>
        <w:tc>
          <w:tcPr>
            <w:tcW w:type="dxa" w:w="3600"/>
          </w:tcPr>
          <w:p>
            <w:r>
              <w:rPr>
                <w:sz w:val="18"/>
              </w:rPr>
              <w:t>COGS = Revenue × COGS%</w:t>
            </w:r>
          </w:p>
        </w:tc>
      </w:tr>
      <w:tr>
        <w:tc>
          <w:tcPr>
            <w:tcW w:type="dxa" w:w="720"/>
          </w:tcPr>
          <w:p>
            <w:r>
              <w:rPr>
                <w:sz w:val="18"/>
              </w:rPr>
              <w:t>340</w:t>
            </w:r>
          </w:p>
        </w:tc>
        <w:tc>
          <w:tcPr>
            <w:tcW w:type="dxa" w:w="1296"/>
          </w:tcPr>
          <w:p>
            <w:r>
              <w:rPr>
                <w:sz w:val="18"/>
              </w:rPr>
              <w:t>L340</w:t>
            </w:r>
          </w:p>
        </w:tc>
        <w:tc>
          <w:tcPr>
            <w:tcW w:type="dxa" w:w="3600"/>
          </w:tcPr>
          <w:p>
            <w:r>
              <w:rPr>
                <w:sz w:val="18"/>
              </w:rPr>
              <w:t>=L338-L339</w:t>
            </w:r>
          </w:p>
        </w:tc>
        <w:tc>
          <w:tcPr>
            <w:tcW w:type="dxa" w:w="3600"/>
          </w:tcPr>
          <w:p>
            <w:r>
              <w:rPr>
                <w:sz w:val="18"/>
              </w:rPr>
              <w:t>Gross Profit</w:t>
            </w:r>
          </w:p>
        </w:tc>
      </w:tr>
      <w:tr>
        <w:tc>
          <w:tcPr>
            <w:tcW w:type="dxa" w:w="720"/>
          </w:tcPr>
          <w:p>
            <w:r>
              <w:rPr>
                <w:sz w:val="18"/>
              </w:rPr>
              <w:t>342</w:t>
            </w:r>
          </w:p>
        </w:tc>
        <w:tc>
          <w:tcPr>
            <w:tcW w:type="dxa" w:w="1296"/>
          </w:tcPr>
          <w:p>
            <w:r>
              <w:rPr>
                <w:sz w:val="18"/>
              </w:rPr>
              <w:t>L342</w:t>
            </w:r>
          </w:p>
        </w:tc>
        <w:tc>
          <w:tcPr>
            <w:tcW w:type="dxa" w:w="3600"/>
          </w:tcPr>
          <w:p>
            <w:r>
              <w:rPr>
                <w:sz w:val="18"/>
              </w:rPr>
              <w:t>=(K342/K338)*L338</w:t>
            </w:r>
          </w:p>
        </w:tc>
        <w:tc>
          <w:tcPr>
            <w:tcW w:type="dxa" w:w="3600"/>
          </w:tcPr>
          <w:p>
            <w:r>
              <w:rPr>
                <w:sz w:val="18"/>
              </w:rPr>
              <w:t>SG&amp;A = prior year SG&amp;A% × current revenue</w:t>
            </w:r>
          </w:p>
        </w:tc>
      </w:tr>
      <w:tr>
        <w:tc>
          <w:tcPr>
            <w:tcW w:type="dxa" w:w="720"/>
          </w:tcPr>
          <w:p>
            <w:r>
              <w:rPr>
                <w:sz w:val="18"/>
              </w:rPr>
              <w:t>347</w:t>
            </w:r>
          </w:p>
        </w:tc>
        <w:tc>
          <w:tcPr>
            <w:tcW w:type="dxa" w:w="1296"/>
          </w:tcPr>
          <w:p>
            <w:r>
              <w:rPr>
                <w:sz w:val="18"/>
              </w:rPr>
              <w:t>L347</w:t>
            </w:r>
          </w:p>
        </w:tc>
        <w:tc>
          <w:tcPr>
            <w:tcW w:type="dxa" w:w="3600"/>
          </w:tcPr>
          <w:p>
            <w:r>
              <w:rPr>
                <w:sz w:val="18"/>
              </w:rPr>
              <w:t>=0</w:t>
            </w:r>
          </w:p>
        </w:tc>
        <w:tc>
          <w:tcPr>
            <w:tcW w:type="dxa" w:w="3600"/>
          </w:tcPr>
          <w:p>
            <w:r>
              <w:rPr>
                <w:sz w:val="18"/>
              </w:rPr>
              <w:t>Restructuring (frozen)</w:t>
            </w:r>
          </w:p>
        </w:tc>
      </w:tr>
      <w:tr>
        <w:tc>
          <w:tcPr>
            <w:tcW w:type="dxa" w:w="720"/>
          </w:tcPr>
          <w:p>
            <w:r>
              <w:rPr>
                <w:sz w:val="18"/>
              </w:rPr>
              <w:t>350</w:t>
            </w:r>
          </w:p>
        </w:tc>
        <w:tc>
          <w:tcPr>
            <w:tcW w:type="dxa" w:w="1296"/>
          </w:tcPr>
          <w:p>
            <w:r>
              <w:rPr>
                <w:sz w:val="18"/>
              </w:rPr>
              <w:t>L350</w:t>
            </w:r>
          </w:p>
        </w:tc>
        <w:tc>
          <w:tcPr>
            <w:tcW w:type="dxa" w:w="3600"/>
          </w:tcPr>
          <w:p>
            <w:r>
              <w:rPr>
                <w:sz w:val="18"/>
              </w:rPr>
              <w:t>=L340-L342-L347</w:t>
            </w:r>
          </w:p>
        </w:tc>
        <w:tc>
          <w:tcPr>
            <w:tcW w:type="dxa" w:w="3600"/>
          </w:tcPr>
          <w:p>
            <w:r>
              <w:rPr>
                <w:sz w:val="18"/>
              </w:rPr>
              <w:t>EBIT</w:t>
            </w:r>
          </w:p>
        </w:tc>
      </w:tr>
      <w:tr>
        <w:tc>
          <w:tcPr>
            <w:tcW w:type="dxa" w:w="720"/>
          </w:tcPr>
          <w:p>
            <w:r>
              <w:rPr>
                <w:sz w:val="18"/>
              </w:rPr>
              <w:t>356</w:t>
            </w:r>
          </w:p>
        </w:tc>
        <w:tc>
          <w:tcPr>
            <w:tcW w:type="dxa" w:w="1296"/>
          </w:tcPr>
          <w:p>
            <w:r>
              <w:rPr>
                <w:sz w:val="18"/>
              </w:rPr>
              <w:t>L356</w:t>
            </w:r>
          </w:p>
        </w:tc>
        <w:tc>
          <w:tcPr>
            <w:tcW w:type="dxa" w:w="3600"/>
          </w:tcPr>
          <w:p>
            <w:r>
              <w:rPr>
                <w:sz w:val="18"/>
              </w:rPr>
              <w:t>=-avgIBD*rate</w:t>
            </w:r>
          </w:p>
        </w:tc>
        <w:tc>
          <w:tcPr>
            <w:tcW w:type="dxa" w:w="3600"/>
          </w:tcPr>
          <w:p>
            <w:r>
              <w:rPr>
                <w:sz w:val="18"/>
              </w:rPr>
              <w:t>Interest expense</w:t>
            </w:r>
          </w:p>
        </w:tc>
      </w:tr>
      <w:tr>
        <w:tc>
          <w:tcPr>
            <w:tcW w:type="dxa" w:w="720"/>
          </w:tcPr>
          <w:p>
            <w:r>
              <w:rPr>
                <w:sz w:val="18"/>
              </w:rPr>
              <w:t>355</w:t>
            </w:r>
          </w:p>
        </w:tc>
        <w:tc>
          <w:tcPr>
            <w:tcW w:type="dxa" w:w="1296"/>
          </w:tcPr>
          <w:p>
            <w:r>
              <w:rPr>
                <w:sz w:val="18"/>
              </w:rPr>
              <w:t>L355</w:t>
            </w:r>
          </w:p>
        </w:tc>
        <w:tc>
          <w:tcPr>
            <w:tcW w:type="dxa" w:w="3600"/>
          </w:tcPr>
          <w:p>
            <w:r>
              <w:rPr>
                <w:sz w:val="18"/>
              </w:rPr>
              <w:t>=L350+int_inc-L356</w:t>
            </w:r>
          </w:p>
        </w:tc>
        <w:tc>
          <w:tcPr>
            <w:tcW w:type="dxa" w:w="3600"/>
          </w:tcPr>
          <w:p>
            <w:r>
              <w:rPr>
                <w:sz w:val="18"/>
              </w:rPr>
              <w:t>EBT</w:t>
            </w:r>
          </w:p>
        </w:tc>
      </w:tr>
      <w:tr>
        <w:tc>
          <w:tcPr>
            <w:tcW w:type="dxa" w:w="720"/>
          </w:tcPr>
          <w:p>
            <w:r>
              <w:rPr>
                <w:sz w:val="18"/>
              </w:rPr>
              <w:t>359</w:t>
            </w:r>
          </w:p>
        </w:tc>
        <w:tc>
          <w:tcPr>
            <w:tcW w:type="dxa" w:w="1296"/>
          </w:tcPr>
          <w:p>
            <w:r>
              <w:rPr>
                <w:sz w:val="18"/>
              </w:rPr>
              <w:t>L359</w:t>
            </w:r>
          </w:p>
        </w:tc>
        <w:tc>
          <w:tcPr>
            <w:tcW w:type="dxa" w:w="3600"/>
          </w:tcPr>
          <w:p>
            <w:r>
              <w:rPr>
                <w:sz w:val="18"/>
              </w:rPr>
              <w:t>=L355*taxRate</w:t>
            </w:r>
          </w:p>
        </w:tc>
        <w:tc>
          <w:tcPr>
            <w:tcW w:type="dxa" w:w="3600"/>
          </w:tcPr>
          <w:p>
            <w:r>
              <w:rPr>
                <w:sz w:val="18"/>
              </w:rPr>
              <w:t>Tax provision</w:t>
            </w:r>
          </w:p>
        </w:tc>
      </w:tr>
      <w:tr>
        <w:tc>
          <w:tcPr>
            <w:tcW w:type="dxa" w:w="720"/>
          </w:tcPr>
          <w:p>
            <w:r>
              <w:rPr>
                <w:sz w:val="18"/>
              </w:rPr>
              <w:t>361</w:t>
            </w:r>
          </w:p>
        </w:tc>
        <w:tc>
          <w:tcPr>
            <w:tcW w:type="dxa" w:w="1296"/>
          </w:tcPr>
          <w:p>
            <w:r>
              <w:rPr>
                <w:sz w:val="18"/>
              </w:rPr>
              <w:t>L361</w:t>
            </w:r>
          </w:p>
        </w:tc>
        <w:tc>
          <w:tcPr>
            <w:tcW w:type="dxa" w:w="3600"/>
          </w:tcPr>
          <w:p>
            <w:r>
              <w:rPr>
                <w:sz w:val="18"/>
              </w:rPr>
              <w:t>=L355-L359</w:t>
            </w:r>
          </w:p>
        </w:tc>
        <w:tc>
          <w:tcPr>
            <w:tcW w:type="dxa" w:w="3600"/>
          </w:tcPr>
          <w:p>
            <w:r>
              <w:rPr>
                <w:sz w:val="18"/>
              </w:rPr>
              <w:t>Net Income</w:t>
            </w:r>
          </w:p>
        </w:tc>
      </w:tr>
    </w:tbl>
    <w:p/>
    <w:p>
      <w:pPr>
        <w:pStyle w:val="Heading2"/>
      </w:pPr>
      <w:r>
        <w:t>A.2  Key Balance Sheet Forecast Formulas</w:t>
      </w:r>
    </w:p>
    <w:tbl>
      <w:tblPr>
        <w:tblStyle w:val="LightList-Accent1"/>
        <w:tblW w:type="auto" w:w="0"/>
        <w:tblLook w:firstColumn="1" w:firstRow="1" w:lastColumn="0" w:lastRow="0" w:noHBand="0" w:noVBand="1" w:val="04A0"/>
      </w:tblPr>
      <w:tblGrid>
        <w:gridCol w:w="2160"/>
        <w:gridCol w:w="2160"/>
        <w:gridCol w:w="2160"/>
        <w:gridCol w:w="2160"/>
      </w:tblGrid>
      <w:tr>
        <w:tc>
          <w:tcPr>
            <w:tcW w:type="dxa" w:w="720"/>
          </w:tcPr>
          <w:p>
            <w:r>
              <w:rPr>
                <w:b/>
                <w:sz w:val="18"/>
              </w:rPr>
              <w:t>Row</w:t>
            </w:r>
          </w:p>
        </w:tc>
        <w:tc>
          <w:tcPr>
            <w:tcW w:type="dxa" w:w="1296"/>
          </w:tcPr>
          <w:p>
            <w:r>
              <w:rPr>
                <w:b/>
                <w:sz w:val="18"/>
              </w:rPr>
              <w:t>Cell (FY2025)</w:t>
            </w:r>
          </w:p>
        </w:tc>
        <w:tc>
          <w:tcPr>
            <w:tcW w:type="dxa" w:w="3600"/>
          </w:tcPr>
          <w:p>
            <w:r>
              <w:rPr>
                <w:b/>
                <w:sz w:val="18"/>
              </w:rPr>
              <w:t>Formula</w:t>
            </w:r>
          </w:p>
        </w:tc>
        <w:tc>
          <w:tcPr>
            <w:tcW w:type="dxa" w:w="3600"/>
          </w:tcPr>
          <w:p>
            <w:r>
              <w:rPr>
                <w:b/>
                <w:sz w:val="18"/>
              </w:rPr>
              <w:t>What It Computes</w:t>
            </w:r>
          </w:p>
        </w:tc>
      </w:tr>
      <w:tr>
        <w:tc>
          <w:tcPr>
            <w:tcW w:type="dxa" w:w="720"/>
          </w:tcPr>
          <w:p/>
        </w:tc>
        <w:tc>
          <w:tcPr>
            <w:tcW w:type="dxa" w:w="1296"/>
          </w:tcPr>
          <w:p/>
        </w:tc>
        <w:tc>
          <w:tcPr>
            <w:tcW w:type="dxa" w:w="3600"/>
          </w:tcPr>
          <w:p/>
        </w:tc>
        <w:tc>
          <w:tcPr>
            <w:tcW w:type="dxa" w:w="3600"/>
          </w:tcPr>
          <w:p/>
        </w:tc>
      </w:tr>
      <w:tr>
        <w:tc>
          <w:tcPr>
            <w:tcW w:type="dxa" w:w="720"/>
          </w:tcPr>
          <w:p/>
        </w:tc>
        <w:tc>
          <w:tcPr>
            <w:tcW w:type="dxa" w:w="1296"/>
          </w:tcPr>
          <w:p/>
        </w:tc>
        <w:tc>
          <w:tcPr>
            <w:tcW w:type="dxa" w:w="3600"/>
          </w:tcPr>
          <w:p/>
        </w:tc>
        <w:tc>
          <w:tcPr>
            <w:tcW w:type="dxa" w:w="3600"/>
          </w:tcPr>
          <w:p/>
        </w:tc>
      </w:tr>
      <w:tr>
        <w:tc>
          <w:tcPr>
            <w:tcW w:type="dxa" w:w="720"/>
          </w:tcPr>
          <w:p/>
        </w:tc>
        <w:tc>
          <w:tcPr>
            <w:tcW w:type="dxa" w:w="1296"/>
          </w:tcPr>
          <w:p/>
        </w:tc>
        <w:tc>
          <w:tcPr>
            <w:tcW w:type="dxa" w:w="3600"/>
          </w:tcPr>
          <w:p/>
        </w:tc>
        <w:tc>
          <w:tcPr>
            <w:tcW w:type="dxa" w:w="3600"/>
          </w:tcPr>
          <w:p/>
        </w:tc>
      </w:tr>
      <w:tr>
        <w:tc>
          <w:tcPr>
            <w:tcW w:type="dxa" w:w="720"/>
          </w:tcPr>
          <w:p/>
        </w:tc>
        <w:tc>
          <w:tcPr>
            <w:tcW w:type="dxa" w:w="1296"/>
          </w:tcPr>
          <w:p/>
        </w:tc>
        <w:tc>
          <w:tcPr>
            <w:tcW w:type="dxa" w:w="3600"/>
          </w:tcPr>
          <w:p/>
        </w:tc>
        <w:tc>
          <w:tcPr>
            <w:tcW w:type="dxa" w:w="3600"/>
          </w:tcPr>
          <w:p/>
        </w:tc>
      </w:tr>
      <w:tr>
        <w:tc>
          <w:tcPr>
            <w:tcW w:type="dxa" w:w="720"/>
          </w:tcPr>
          <w:p/>
        </w:tc>
        <w:tc>
          <w:tcPr>
            <w:tcW w:type="dxa" w:w="1296"/>
          </w:tcPr>
          <w:p/>
        </w:tc>
        <w:tc>
          <w:tcPr>
            <w:tcW w:type="dxa" w:w="3600"/>
          </w:tcPr>
          <w:p/>
        </w:tc>
        <w:tc>
          <w:tcPr>
            <w:tcW w:type="dxa" w:w="3600"/>
          </w:tcPr>
          <w:p/>
        </w:tc>
      </w:tr>
      <w:tr>
        <w:tc>
          <w:tcPr>
            <w:tcW w:type="dxa" w:w="720"/>
          </w:tcPr>
          <w:p/>
        </w:tc>
        <w:tc>
          <w:tcPr>
            <w:tcW w:type="dxa" w:w="1296"/>
          </w:tcPr>
          <w:p/>
        </w:tc>
        <w:tc>
          <w:tcPr>
            <w:tcW w:type="dxa" w:w="3600"/>
          </w:tcPr>
          <w:p/>
        </w:tc>
        <w:tc>
          <w:tcPr>
            <w:tcW w:type="dxa" w:w="3600"/>
          </w:tcPr>
          <w:p/>
        </w:tc>
      </w:tr>
      <w:tr>
        <w:tc>
          <w:tcPr>
            <w:tcW w:type="dxa" w:w="720"/>
          </w:tcPr>
          <w:p/>
        </w:tc>
        <w:tc>
          <w:tcPr>
            <w:tcW w:type="dxa" w:w="1296"/>
          </w:tcPr>
          <w:p/>
        </w:tc>
        <w:tc>
          <w:tcPr>
            <w:tcW w:type="dxa" w:w="3600"/>
          </w:tcPr>
          <w:p/>
        </w:tc>
        <w:tc>
          <w:tcPr>
            <w:tcW w:type="dxa" w:w="3600"/>
          </w:tcPr>
          <w:p/>
        </w:tc>
      </w:tr>
      <w:tr>
        <w:tc>
          <w:tcPr>
            <w:tcW w:type="dxa" w:w="720"/>
          </w:tcPr>
          <w:p/>
        </w:tc>
        <w:tc>
          <w:tcPr>
            <w:tcW w:type="dxa" w:w="1296"/>
          </w:tcPr>
          <w:p/>
        </w:tc>
        <w:tc>
          <w:tcPr>
            <w:tcW w:type="dxa" w:w="3600"/>
          </w:tcPr>
          <w:p/>
        </w:tc>
        <w:tc>
          <w:tcPr>
            <w:tcW w:type="dxa" w:w="3600"/>
          </w:tcPr>
          <w:p/>
        </w:tc>
      </w:tr>
      <w:tr>
        <w:tc>
          <w:tcPr>
            <w:tcW w:type="dxa" w:w="720"/>
          </w:tcPr>
          <w:p/>
        </w:tc>
        <w:tc>
          <w:tcPr>
            <w:tcW w:type="dxa" w:w="1296"/>
          </w:tcPr>
          <w:p/>
        </w:tc>
        <w:tc>
          <w:tcPr>
            <w:tcW w:type="dxa" w:w="3600"/>
          </w:tcPr>
          <w:p/>
        </w:tc>
        <w:tc>
          <w:tcPr>
            <w:tcW w:type="dxa" w:w="3600"/>
          </w:tcPr>
          <w:p/>
        </w:tc>
      </w:tr>
      <w:tr>
        <w:tc>
          <w:tcPr>
            <w:tcW w:type="dxa" w:w="720"/>
          </w:tcPr>
          <w:p/>
        </w:tc>
        <w:tc>
          <w:tcPr>
            <w:tcW w:type="dxa" w:w="1296"/>
          </w:tcPr>
          <w:p/>
        </w:tc>
        <w:tc>
          <w:tcPr>
            <w:tcW w:type="dxa" w:w="3600"/>
          </w:tcPr>
          <w:p/>
        </w:tc>
        <w:tc>
          <w:tcPr>
            <w:tcW w:type="dxa" w:w="3600"/>
          </w:tcPr>
          <w:p/>
        </w:tc>
      </w:tr>
      <w:tr>
        <w:tc>
          <w:tcPr>
            <w:tcW w:type="dxa" w:w="720"/>
          </w:tcPr>
          <w:p>
            <w:r>
              <w:rPr>
                <w:sz w:val="18"/>
              </w:rPr>
              <w:t>500</w:t>
            </w:r>
          </w:p>
        </w:tc>
        <w:tc>
          <w:tcPr>
            <w:tcW w:type="dxa" w:w="1296"/>
          </w:tcPr>
          <w:p>
            <w:r>
              <w:rPr>
                <w:sz w:val="18"/>
              </w:rPr>
              <w:t>L500</w:t>
            </w:r>
          </w:p>
        </w:tc>
        <w:tc>
          <w:tcPr>
            <w:tcW w:type="dxa" w:w="3600"/>
          </w:tcPr>
          <w:p>
            <w:r>
              <w:rPr>
                <w:sz w:val="18"/>
              </w:rPr>
              <w:t>=K500+L236</w:t>
            </w:r>
          </w:p>
        </w:tc>
        <w:tc>
          <w:tcPr>
            <w:tcW w:type="dxa" w:w="3600"/>
          </w:tcPr>
          <w:p>
            <w:r>
              <w:rPr>
                <w:sz w:val="18"/>
              </w:rPr>
              <w:t>Cash = prior + ΔCash from model</w:t>
            </w:r>
          </w:p>
        </w:tc>
      </w:tr>
      <w:tr>
        <w:tc>
          <w:tcPr>
            <w:tcW w:type="dxa" w:w="720"/>
          </w:tcPr>
          <w:p>
            <w:r>
              <w:rPr>
                <w:sz w:val="18"/>
              </w:rPr>
              <w:t>501</w:t>
            </w:r>
          </w:p>
        </w:tc>
        <w:tc>
          <w:tcPr>
            <w:tcW w:type="dxa" w:w="1296"/>
          </w:tcPr>
          <w:p>
            <w:r>
              <w:rPr>
                <w:sz w:val="18"/>
              </w:rPr>
              <w:t>L501</w:t>
            </w:r>
          </w:p>
        </w:tc>
        <w:tc>
          <w:tcPr>
            <w:tcW w:type="dxa" w:w="3600"/>
          </w:tcPr>
          <w:p>
            <w:r>
              <w:rPr>
                <w:sz w:val="18"/>
              </w:rPr>
              <w:t>=K501/K338*L338</w:t>
            </w:r>
          </w:p>
        </w:tc>
        <w:tc>
          <w:tcPr>
            <w:tcW w:type="dxa" w:w="3600"/>
          </w:tcPr>
          <w:p>
            <w:r>
              <w:rPr>
                <w:sz w:val="18"/>
              </w:rPr>
              <w:t>ST investments revenue-scaled</w:t>
            </w:r>
          </w:p>
        </w:tc>
      </w:tr>
      <w:tr>
        <w:tc>
          <w:tcPr>
            <w:tcW w:type="dxa" w:w="720"/>
          </w:tcPr>
          <w:p>
            <w:r>
              <w:rPr>
                <w:sz w:val="18"/>
              </w:rPr>
              <w:t>504</w:t>
            </w:r>
          </w:p>
        </w:tc>
        <w:tc>
          <w:tcPr>
            <w:tcW w:type="dxa" w:w="1296"/>
          </w:tcPr>
          <w:p>
            <w:r>
              <w:rPr>
                <w:sz w:val="18"/>
              </w:rPr>
              <w:t>L504</w:t>
            </w:r>
          </w:p>
        </w:tc>
        <w:tc>
          <w:tcPr>
            <w:tcW w:type="dxa" w:w="3600"/>
          </w:tcPr>
          <w:p>
            <w:r>
              <w:rPr>
                <w:sz w:val="18"/>
              </w:rPr>
              <w:t>=K504/K338*L338</w:t>
            </w:r>
          </w:p>
        </w:tc>
        <w:tc>
          <w:tcPr>
            <w:tcW w:type="dxa" w:w="3600"/>
          </w:tcPr>
          <w:p>
            <w:r>
              <w:rPr>
                <w:sz w:val="18"/>
              </w:rPr>
              <w:t>Accounts receivable revenue-scaled</w:t>
            </w:r>
          </w:p>
        </w:tc>
      </w:tr>
      <w:tr>
        <w:tc>
          <w:tcPr>
            <w:tcW w:type="dxa" w:w="720"/>
          </w:tcPr>
          <w:p>
            <w:r>
              <w:rPr>
                <w:sz w:val="18"/>
              </w:rPr>
              <w:t>507</w:t>
            </w:r>
          </w:p>
        </w:tc>
        <w:tc>
          <w:tcPr>
            <w:tcW w:type="dxa" w:w="1296"/>
          </w:tcPr>
          <w:p>
            <w:r>
              <w:rPr>
                <w:sz w:val="18"/>
              </w:rPr>
              <w:t>L507</w:t>
            </w:r>
          </w:p>
        </w:tc>
        <w:tc>
          <w:tcPr>
            <w:tcW w:type="dxa" w:w="3600"/>
          </w:tcPr>
          <w:p>
            <w:r>
              <w:rPr>
                <w:sz w:val="18"/>
              </w:rPr>
              <w:t>=K507/K338*L338</w:t>
            </w:r>
          </w:p>
        </w:tc>
        <w:tc>
          <w:tcPr>
            <w:tcW w:type="dxa" w:w="3600"/>
          </w:tcPr>
          <w:p>
            <w:r>
              <w:rPr>
                <w:sz w:val="18"/>
              </w:rPr>
              <w:t>Inventory revenue-scaled</w:t>
            </w:r>
          </w:p>
        </w:tc>
      </w:tr>
      <w:tr>
        <w:tc>
          <w:tcPr>
            <w:tcW w:type="dxa" w:w="720"/>
          </w:tcPr>
          <w:p>
            <w:r>
              <w:rPr>
                <w:sz w:val="18"/>
              </w:rPr>
              <w:t>513</w:t>
            </w:r>
          </w:p>
        </w:tc>
        <w:tc>
          <w:tcPr>
            <w:tcW w:type="dxa" w:w="1296"/>
          </w:tcPr>
          <w:p>
            <w:r>
              <w:rPr>
                <w:sz w:val="18"/>
              </w:rPr>
              <w:t>L513</w:t>
            </w:r>
          </w:p>
        </w:tc>
        <w:tc>
          <w:tcPr>
            <w:tcW w:type="dxa" w:w="3600"/>
          </w:tcPr>
          <w:p>
            <w:r>
              <w:rPr>
                <w:sz w:val="18"/>
              </w:rPr>
              <w:t>=K513/K338*L338 (M+: hardcode)</w:t>
            </w:r>
          </w:p>
        </w:tc>
        <w:tc>
          <w:tcPr>
            <w:tcW w:type="dxa" w:w="3600"/>
          </w:tcPr>
          <w:p>
            <w:r>
              <w:rPr>
                <w:sz w:val="18"/>
              </w:rPr>
              <w:t>Net PP&amp;E: rev-scaled FY25 then fixed</w:t>
            </w:r>
          </w:p>
        </w:tc>
      </w:tr>
      <w:tr>
        <w:tc>
          <w:tcPr>
            <w:tcW w:type="dxa" w:w="720"/>
          </w:tcPr>
          <w:p>
            <w:r>
              <w:rPr>
                <w:sz w:val="18"/>
              </w:rPr>
              <w:t>514</w:t>
            </w:r>
          </w:p>
        </w:tc>
        <w:tc>
          <w:tcPr>
            <w:tcW w:type="dxa" w:w="1296"/>
          </w:tcPr>
          <w:p>
            <w:r>
              <w:rPr>
                <w:sz w:val="18"/>
              </w:rPr>
              <w:t>L514</w:t>
            </w:r>
          </w:p>
        </w:tc>
        <w:tc>
          <w:tcPr>
            <w:tcW w:type="dxa" w:w="3600"/>
          </w:tcPr>
          <w:p>
            <w:r>
              <w:rPr>
                <w:sz w:val="18"/>
              </w:rPr>
              <w:t>=K514</w:t>
            </w:r>
          </w:p>
        </w:tc>
        <w:tc>
          <w:tcPr>
            <w:tcW w:type="dxa" w:w="3600"/>
          </w:tcPr>
          <w:p>
            <w:r>
              <w:rPr>
                <w:sz w:val="18"/>
              </w:rPr>
              <w:t>Goodwill frozen</w:t>
            </w:r>
          </w:p>
        </w:tc>
      </w:tr>
      <w:tr>
        <w:tc>
          <w:tcPr>
            <w:tcW w:type="dxa" w:w="720"/>
          </w:tcPr>
          <w:p>
            <w:r>
              <w:rPr>
                <w:sz w:val="18"/>
              </w:rPr>
              <w:t>516</w:t>
            </w:r>
          </w:p>
        </w:tc>
        <w:tc>
          <w:tcPr>
            <w:tcW w:type="dxa" w:w="1296"/>
          </w:tcPr>
          <w:p>
            <w:r>
              <w:rPr>
                <w:sz w:val="18"/>
              </w:rPr>
              <w:t>L516</w:t>
            </w:r>
          </w:p>
        </w:tc>
        <w:tc>
          <w:tcPr>
            <w:tcW w:type="dxa" w:w="3600"/>
          </w:tcPr>
          <w:p>
            <w:r>
              <w:rPr>
                <w:sz w:val="18"/>
              </w:rPr>
              <w:t>=K516</w:t>
            </w:r>
          </w:p>
        </w:tc>
        <w:tc>
          <w:tcPr>
            <w:tcW w:type="dxa" w:w="3600"/>
          </w:tcPr>
          <w:p>
            <w:r>
              <w:rPr>
                <w:sz w:val="18"/>
              </w:rPr>
              <w:t>DTA frozen</w:t>
            </w:r>
          </w:p>
        </w:tc>
      </w:tr>
      <w:tr>
        <w:tc>
          <w:tcPr>
            <w:tcW w:type="dxa" w:w="720"/>
          </w:tcPr>
          <w:p>
            <w:r>
              <w:rPr>
                <w:sz w:val="18"/>
              </w:rPr>
              <w:t>528</w:t>
            </w:r>
          </w:p>
        </w:tc>
        <w:tc>
          <w:tcPr>
            <w:tcW w:type="dxa" w:w="1296"/>
          </w:tcPr>
          <w:p>
            <w:r>
              <w:rPr>
                <w:sz w:val="18"/>
              </w:rPr>
              <w:t>L528</w:t>
            </w:r>
          </w:p>
        </w:tc>
        <w:tc>
          <w:tcPr>
            <w:tcW w:type="dxa" w:w="3600"/>
          </w:tcPr>
          <w:p>
            <w:r>
              <w:rPr>
                <w:sz w:val="18"/>
              </w:rPr>
              <w:t>=K518*K323 (BUG: should be L518)</w:t>
            </w:r>
          </w:p>
        </w:tc>
        <w:tc>
          <w:tcPr>
            <w:tcW w:type="dxa" w:w="3600"/>
          </w:tcPr>
          <w:p>
            <w:r>
              <w:rPr>
                <w:sz w:val="18"/>
              </w:rPr>
              <w:t>LT debt = assets × D/TA ratio</w:t>
            </w:r>
          </w:p>
        </w:tc>
      </w:tr>
      <w:tr>
        <w:tc>
          <w:tcPr>
            <w:tcW w:type="dxa" w:w="720"/>
          </w:tcPr>
          <w:p>
            <w:r>
              <w:rPr>
                <w:sz w:val="18"/>
              </w:rPr>
              <w:t>536</w:t>
            </w:r>
          </w:p>
        </w:tc>
        <w:tc>
          <w:tcPr>
            <w:tcW w:type="dxa" w:w="1296"/>
          </w:tcPr>
          <w:p>
            <w:r>
              <w:rPr>
                <w:sz w:val="18"/>
              </w:rPr>
              <w:t>L536</w:t>
            </w:r>
          </w:p>
        </w:tc>
        <w:tc>
          <w:tcPr>
            <w:tcW w:type="dxa" w:w="3600"/>
          </w:tcPr>
          <w:p>
            <w:r>
              <w:rPr>
                <w:sz w:val="18"/>
              </w:rPr>
              <w:t>=K536+L460+L459</w:t>
            </w:r>
          </w:p>
        </w:tc>
        <w:tc>
          <w:tcPr>
            <w:tcW w:type="dxa" w:w="3600"/>
          </w:tcPr>
          <w:p>
            <w:r>
              <w:rPr>
                <w:sz w:val="18"/>
              </w:rPr>
              <w:t>APIC += buybacks + issuances</w:t>
            </w:r>
          </w:p>
        </w:tc>
      </w:tr>
      <w:tr>
        <w:tc>
          <w:tcPr>
            <w:tcW w:type="dxa" w:w="720"/>
          </w:tcPr>
          <w:p>
            <w:r>
              <w:rPr>
                <w:sz w:val="18"/>
              </w:rPr>
              <w:t>537</w:t>
            </w:r>
          </w:p>
        </w:tc>
        <w:tc>
          <w:tcPr>
            <w:tcW w:type="dxa" w:w="1296"/>
          </w:tcPr>
          <w:p>
            <w:r>
              <w:rPr>
                <w:sz w:val="18"/>
              </w:rPr>
              <w:t>L537</w:t>
            </w:r>
          </w:p>
        </w:tc>
        <w:tc>
          <w:tcPr>
            <w:tcW w:type="dxa" w:w="3600"/>
          </w:tcPr>
          <w:p>
            <w:r>
              <w:rPr>
                <w:sz w:val="18"/>
              </w:rPr>
              <w:t>=L361+L464+K537</w:t>
            </w:r>
          </w:p>
        </w:tc>
        <w:tc>
          <w:tcPr>
            <w:tcW w:type="dxa" w:w="3600"/>
          </w:tcPr>
          <w:p>
            <w:r>
              <w:rPr>
                <w:sz w:val="18"/>
              </w:rPr>
              <w:t>RE += NI + dividends + prior RE</w:t>
            </w:r>
          </w:p>
        </w:tc>
      </w:tr>
    </w:tbl>
    <w:p/>
    <w:p>
      <w:pPr>
        <w:pStyle w:val="Heading2"/>
      </w:pPr>
      <w:r>
        <w:t>A.3  Key Cash Flow Forecast Formulas</w:t>
      </w:r>
    </w:p>
    <w:tbl>
      <w:tblPr>
        <w:tblStyle w:val="LightList-Accent1"/>
        <w:tblW w:type="auto" w:w="0"/>
        <w:tblLook w:firstColumn="1" w:firstRow="1" w:lastColumn="0" w:lastRow="0" w:noHBand="0" w:noVBand="1" w:val="04A0"/>
      </w:tblPr>
      <w:tblGrid>
        <w:gridCol w:w="2160"/>
        <w:gridCol w:w="2160"/>
        <w:gridCol w:w="2160"/>
        <w:gridCol w:w="2160"/>
      </w:tblGrid>
      <w:tr>
        <w:tc>
          <w:tcPr>
            <w:tcW w:type="dxa" w:w="720"/>
          </w:tcPr>
          <w:p>
            <w:r>
              <w:rPr>
                <w:b/>
                <w:sz w:val="18"/>
              </w:rPr>
              <w:t>Row</w:t>
            </w:r>
          </w:p>
        </w:tc>
        <w:tc>
          <w:tcPr>
            <w:tcW w:type="dxa" w:w="1296"/>
          </w:tcPr>
          <w:p>
            <w:r>
              <w:rPr>
                <w:b/>
                <w:sz w:val="18"/>
              </w:rPr>
              <w:t>Cell (FY2025)</w:t>
            </w:r>
          </w:p>
        </w:tc>
        <w:tc>
          <w:tcPr>
            <w:tcW w:type="dxa" w:w="3600"/>
          </w:tcPr>
          <w:p>
            <w:r>
              <w:rPr>
                <w:b/>
                <w:sz w:val="18"/>
              </w:rPr>
              <w:t>Formula</w:t>
            </w:r>
          </w:p>
        </w:tc>
        <w:tc>
          <w:tcPr>
            <w:tcW w:type="dxa" w:w="3600"/>
          </w:tcPr>
          <w:p>
            <w:r>
              <w:rPr>
                <w:b/>
                <w:sz w:val="18"/>
              </w:rPr>
              <w:t>What It Computes</w:t>
            </w:r>
          </w:p>
        </w:tc>
      </w:tr>
      <w:tr>
        <w:tc>
          <w:tcPr>
            <w:tcW w:type="dxa" w:w="720"/>
          </w:tcPr>
          <w:p/>
        </w:tc>
        <w:tc>
          <w:tcPr>
            <w:tcW w:type="dxa" w:w="1296"/>
          </w:tcPr>
          <w:p/>
        </w:tc>
        <w:tc>
          <w:tcPr>
            <w:tcW w:type="dxa" w:w="3600"/>
          </w:tcPr>
          <w:p/>
        </w:tc>
        <w:tc>
          <w:tcPr>
            <w:tcW w:type="dxa" w:w="3600"/>
          </w:tcPr>
          <w:p/>
        </w:tc>
      </w:tr>
      <w:tr>
        <w:tc>
          <w:tcPr>
            <w:tcW w:type="dxa" w:w="720"/>
          </w:tcPr>
          <w:p/>
        </w:tc>
        <w:tc>
          <w:tcPr>
            <w:tcW w:type="dxa" w:w="1296"/>
          </w:tcPr>
          <w:p/>
        </w:tc>
        <w:tc>
          <w:tcPr>
            <w:tcW w:type="dxa" w:w="3600"/>
          </w:tcPr>
          <w:p/>
        </w:tc>
        <w:tc>
          <w:tcPr>
            <w:tcW w:type="dxa" w:w="3600"/>
          </w:tcPr>
          <w:p/>
        </w:tc>
      </w:tr>
      <w:tr>
        <w:tc>
          <w:tcPr>
            <w:tcW w:type="dxa" w:w="720"/>
          </w:tcPr>
          <w:p/>
        </w:tc>
        <w:tc>
          <w:tcPr>
            <w:tcW w:type="dxa" w:w="1296"/>
          </w:tcPr>
          <w:p/>
        </w:tc>
        <w:tc>
          <w:tcPr>
            <w:tcW w:type="dxa" w:w="3600"/>
          </w:tcPr>
          <w:p/>
        </w:tc>
        <w:tc>
          <w:tcPr>
            <w:tcW w:type="dxa" w:w="3600"/>
          </w:tcPr>
          <w:p/>
        </w:tc>
      </w:tr>
      <w:tr>
        <w:tc>
          <w:tcPr>
            <w:tcW w:type="dxa" w:w="720"/>
          </w:tcPr>
          <w:p/>
        </w:tc>
        <w:tc>
          <w:tcPr>
            <w:tcW w:type="dxa" w:w="1296"/>
          </w:tcPr>
          <w:p/>
        </w:tc>
        <w:tc>
          <w:tcPr>
            <w:tcW w:type="dxa" w:w="3600"/>
          </w:tcPr>
          <w:p/>
        </w:tc>
        <w:tc>
          <w:tcPr>
            <w:tcW w:type="dxa" w:w="3600"/>
          </w:tcPr>
          <w:p/>
        </w:tc>
      </w:tr>
      <w:tr>
        <w:tc>
          <w:tcPr>
            <w:tcW w:type="dxa" w:w="720"/>
          </w:tcPr>
          <w:p/>
        </w:tc>
        <w:tc>
          <w:tcPr>
            <w:tcW w:type="dxa" w:w="1296"/>
          </w:tcPr>
          <w:p/>
        </w:tc>
        <w:tc>
          <w:tcPr>
            <w:tcW w:type="dxa" w:w="3600"/>
          </w:tcPr>
          <w:p/>
        </w:tc>
        <w:tc>
          <w:tcPr>
            <w:tcW w:type="dxa" w:w="3600"/>
          </w:tcPr>
          <w:p/>
        </w:tc>
      </w:tr>
      <w:tr>
        <w:tc>
          <w:tcPr>
            <w:tcW w:type="dxa" w:w="720"/>
          </w:tcPr>
          <w:p/>
        </w:tc>
        <w:tc>
          <w:tcPr>
            <w:tcW w:type="dxa" w:w="1296"/>
          </w:tcPr>
          <w:p/>
        </w:tc>
        <w:tc>
          <w:tcPr>
            <w:tcW w:type="dxa" w:w="3600"/>
          </w:tcPr>
          <w:p/>
        </w:tc>
        <w:tc>
          <w:tcPr>
            <w:tcW w:type="dxa" w:w="3600"/>
          </w:tcPr>
          <w:p/>
        </w:tc>
      </w:tr>
      <w:tr>
        <w:tc>
          <w:tcPr>
            <w:tcW w:type="dxa" w:w="720"/>
          </w:tcPr>
          <w:p/>
        </w:tc>
        <w:tc>
          <w:tcPr>
            <w:tcW w:type="dxa" w:w="1296"/>
          </w:tcPr>
          <w:p/>
        </w:tc>
        <w:tc>
          <w:tcPr>
            <w:tcW w:type="dxa" w:w="3600"/>
          </w:tcPr>
          <w:p/>
        </w:tc>
        <w:tc>
          <w:tcPr>
            <w:tcW w:type="dxa" w:w="3600"/>
          </w:tcPr>
          <w:p/>
        </w:tc>
      </w:tr>
      <w:tr>
        <w:tc>
          <w:tcPr>
            <w:tcW w:type="dxa" w:w="720"/>
          </w:tcPr>
          <w:p/>
        </w:tc>
        <w:tc>
          <w:tcPr>
            <w:tcW w:type="dxa" w:w="1296"/>
          </w:tcPr>
          <w:p/>
        </w:tc>
        <w:tc>
          <w:tcPr>
            <w:tcW w:type="dxa" w:w="3600"/>
          </w:tcPr>
          <w:p/>
        </w:tc>
        <w:tc>
          <w:tcPr>
            <w:tcW w:type="dxa" w:w="3600"/>
          </w:tcPr>
          <w:p/>
        </w:tc>
      </w:tr>
      <w:tr>
        <w:tc>
          <w:tcPr>
            <w:tcW w:type="dxa" w:w="720"/>
          </w:tcPr>
          <w:p>
            <w:r>
              <w:rPr>
                <w:sz w:val="18"/>
              </w:rPr>
              <w:t>459</w:t>
            </w:r>
          </w:p>
        </w:tc>
        <w:tc>
          <w:tcPr>
            <w:tcW w:type="dxa" w:w="1296"/>
          </w:tcPr>
          <w:p>
            <w:r>
              <w:rPr>
                <w:sz w:val="18"/>
              </w:rPr>
              <w:t>L459</w:t>
            </w:r>
          </w:p>
        </w:tc>
        <w:tc>
          <w:tcPr>
            <w:tcW w:type="dxa" w:w="3600"/>
          </w:tcPr>
          <w:p>
            <w:r>
              <w:rPr>
                <w:sz w:val="18"/>
              </w:rPr>
              <w:t>=K459</w:t>
            </w:r>
          </w:p>
        </w:tc>
        <w:tc>
          <w:tcPr>
            <w:tcW w:type="dxa" w:w="3600"/>
          </w:tcPr>
          <w:p>
            <w:r>
              <w:rPr>
                <w:sz w:val="18"/>
              </w:rPr>
              <w:t>SBC proceeds frozen at FY2024</w:t>
            </w:r>
          </w:p>
        </w:tc>
      </w:tr>
      <w:tr>
        <w:tc>
          <w:tcPr>
            <w:tcW w:type="dxa" w:w="720"/>
          </w:tcPr>
          <w:p>
            <w:r>
              <w:rPr>
                <w:sz w:val="18"/>
              </w:rPr>
              <w:t>460</w:t>
            </w:r>
          </w:p>
        </w:tc>
        <w:tc>
          <w:tcPr>
            <w:tcW w:type="dxa" w:w="1296"/>
          </w:tcPr>
          <w:p>
            <w:r>
              <w:rPr>
                <w:sz w:val="18"/>
              </w:rPr>
              <w:t>L460</w:t>
            </w:r>
          </w:p>
        </w:tc>
        <w:tc>
          <w:tcPr>
            <w:tcW w:type="dxa" w:w="3600"/>
          </w:tcPr>
          <w:p>
            <w:r>
              <w:rPr>
                <w:sz w:val="18"/>
              </w:rPr>
              <w:t>=L361*L324</w:t>
            </w:r>
          </w:p>
        </w:tc>
        <w:tc>
          <w:tcPr>
            <w:tcW w:type="dxa" w:w="3600"/>
          </w:tcPr>
          <w:p>
            <w:r>
              <w:rPr>
                <w:sz w:val="18"/>
              </w:rPr>
              <w:t>Buybacks = NI × payout_ratio (negative)</w:t>
            </w:r>
          </w:p>
        </w:tc>
      </w:tr>
      <w:tr>
        <w:tc>
          <w:tcPr>
            <w:tcW w:type="dxa" w:w="720"/>
          </w:tcPr>
          <w:p>
            <w:r>
              <w:rPr>
                <w:sz w:val="18"/>
              </w:rPr>
              <w:t>464</w:t>
            </w:r>
          </w:p>
        </w:tc>
        <w:tc>
          <w:tcPr>
            <w:tcW w:type="dxa" w:w="1296"/>
          </w:tcPr>
          <w:p>
            <w:r>
              <w:rPr>
                <w:sz w:val="18"/>
              </w:rPr>
              <w:t>L464</w:t>
            </w:r>
          </w:p>
        </w:tc>
        <w:tc>
          <w:tcPr>
            <w:tcW w:type="dxa" w:w="3600"/>
          </w:tcPr>
          <w:p>
            <w:r>
              <w:rPr>
                <w:sz w:val="18"/>
              </w:rPr>
              <w:t>=L460/2</w:t>
            </w:r>
          </w:p>
        </w:tc>
        <w:tc>
          <w:tcPr>
            <w:tcW w:type="dxa" w:w="3600"/>
          </w:tcPr>
          <w:p>
            <w:r>
              <w:rPr>
                <w:sz w:val="18"/>
              </w:rPr>
              <w:t>Dividends = buybacks/2</w:t>
            </w:r>
          </w:p>
        </w:tc>
      </w:tr>
      <w:tr>
        <w:tc>
          <w:tcPr>
            <w:tcW w:type="dxa" w:w="720"/>
          </w:tcPr>
          <w:p>
            <w:r>
              <w:rPr>
                <w:sz w:val="18"/>
              </w:rPr>
              <w:t>464</w:t>
            </w:r>
          </w:p>
        </w:tc>
        <w:tc>
          <w:tcPr>
            <w:tcW w:type="dxa" w:w="1296"/>
          </w:tcPr>
          <w:p>
            <w:r>
              <w:rPr>
                <w:sz w:val="18"/>
              </w:rPr>
              <w:t>M464</w:t>
            </w:r>
          </w:p>
        </w:tc>
        <w:tc>
          <w:tcPr>
            <w:tcW w:type="dxa" w:w="3600"/>
          </w:tcPr>
          <w:p>
            <w:r>
              <w:rPr>
                <w:sz w:val="18"/>
              </w:rPr>
              <w:t>=L464</w:t>
            </w:r>
          </w:p>
        </w:tc>
        <w:tc>
          <w:tcPr>
            <w:tcW w:type="dxa" w:w="3600"/>
          </w:tcPr>
          <w:p>
            <w:r>
              <w:rPr>
                <w:sz w:val="18"/>
              </w:rPr>
              <w:t>Dividends frozen from FY2026 onwards</w:t>
            </w:r>
          </w:p>
        </w:tc>
      </w:tr>
      <w:tr>
        <w:tc>
          <w:tcPr>
            <w:tcW w:type="dxa" w:w="720"/>
          </w:tcPr>
          <w:p>
            <w:r>
              <w:rPr>
                <w:sz w:val="18"/>
              </w:rPr>
              <w:t>445</w:t>
            </w:r>
          </w:p>
        </w:tc>
        <w:tc>
          <w:tcPr>
            <w:tcW w:type="dxa" w:w="1296"/>
          </w:tcPr>
          <w:p>
            <w:r>
              <w:rPr>
                <w:sz w:val="18"/>
              </w:rPr>
              <w:t>L445</w:t>
            </w:r>
          </w:p>
        </w:tc>
        <w:tc>
          <w:tcPr>
            <w:tcW w:type="dxa" w:w="3600"/>
          </w:tcPr>
          <w:p>
            <w:r>
              <w:rPr>
                <w:sz w:val="18"/>
              </w:rPr>
              <w:t>=L233</w:t>
            </w:r>
          </w:p>
        </w:tc>
        <w:tc>
          <w:tcPr>
            <w:tcW w:type="dxa" w:w="3600"/>
          </w:tcPr>
          <w:p>
            <w:r>
              <w:rPr>
                <w:sz w:val="18"/>
              </w:rPr>
              <w:t>CF from Ops link to model</w:t>
            </w:r>
          </w:p>
        </w:tc>
      </w:tr>
      <w:tr>
        <w:tc>
          <w:tcPr>
            <w:tcW w:type="dxa" w:w="720"/>
          </w:tcPr>
          <w:p>
            <w:r>
              <w:rPr>
                <w:sz w:val="18"/>
              </w:rPr>
              <w:t>451</w:t>
            </w:r>
          </w:p>
        </w:tc>
        <w:tc>
          <w:tcPr>
            <w:tcW w:type="dxa" w:w="1296"/>
          </w:tcPr>
          <w:p>
            <w:r>
              <w:rPr>
                <w:sz w:val="18"/>
              </w:rPr>
              <w:t>L451</w:t>
            </w:r>
          </w:p>
        </w:tc>
        <w:tc>
          <w:tcPr>
            <w:tcW w:type="dxa" w:w="3600"/>
          </w:tcPr>
          <w:p>
            <w:r>
              <w:rPr>
                <w:sz w:val="18"/>
              </w:rPr>
              <w:t>=L234</w:t>
            </w:r>
          </w:p>
        </w:tc>
        <w:tc>
          <w:tcPr>
            <w:tcW w:type="dxa" w:w="3600"/>
          </w:tcPr>
          <w:p>
            <w:r>
              <w:rPr>
                <w:sz w:val="18"/>
              </w:rPr>
              <w:t>CF from Investing link to model</w:t>
            </w:r>
          </w:p>
        </w:tc>
      </w:tr>
      <w:tr>
        <w:tc>
          <w:tcPr>
            <w:tcW w:type="dxa" w:w="720"/>
          </w:tcPr>
          <w:p>
            <w:r>
              <w:rPr>
                <w:sz w:val="18"/>
              </w:rPr>
              <w:t>466</w:t>
            </w:r>
          </w:p>
        </w:tc>
        <w:tc>
          <w:tcPr>
            <w:tcW w:type="dxa" w:w="1296"/>
          </w:tcPr>
          <w:p>
            <w:r>
              <w:rPr>
                <w:sz w:val="18"/>
              </w:rPr>
              <w:t>L466</w:t>
            </w:r>
          </w:p>
        </w:tc>
        <w:tc>
          <w:tcPr>
            <w:tcW w:type="dxa" w:w="3600"/>
          </w:tcPr>
          <w:p>
            <w:r>
              <w:rPr>
                <w:sz w:val="18"/>
              </w:rPr>
              <w:t>=L235</w:t>
            </w:r>
          </w:p>
        </w:tc>
        <w:tc>
          <w:tcPr>
            <w:tcW w:type="dxa" w:w="3600"/>
          </w:tcPr>
          <w:p>
            <w:r>
              <w:rPr>
                <w:sz w:val="18"/>
              </w:rPr>
              <w:t>CF from Financing link to model</w:t>
            </w:r>
          </w:p>
        </w:tc>
      </w:tr>
      <w:tr>
        <w:tc>
          <w:tcPr>
            <w:tcW w:type="dxa" w:w="720"/>
          </w:tcPr>
          <w:p>
            <w:r>
              <w:rPr>
                <w:sz w:val="18"/>
              </w:rPr>
              <w:t>469</w:t>
            </w:r>
          </w:p>
        </w:tc>
        <w:tc>
          <w:tcPr>
            <w:tcW w:type="dxa" w:w="1296"/>
          </w:tcPr>
          <w:p>
            <w:r>
              <w:rPr>
                <w:sz w:val="18"/>
              </w:rPr>
              <w:t>L469</w:t>
            </w:r>
          </w:p>
        </w:tc>
        <w:tc>
          <w:tcPr>
            <w:tcW w:type="dxa" w:w="3600"/>
          </w:tcPr>
          <w:p>
            <w:r>
              <w:rPr>
                <w:sz w:val="18"/>
              </w:rPr>
              <w:t>=L445+L451+L466+L468</w:t>
            </w:r>
          </w:p>
        </w:tc>
        <w:tc>
          <w:tcPr>
            <w:tcW w:type="dxa" w:w="3600"/>
          </w:tcPr>
          <w:p>
            <w:r>
              <w:rPr>
                <w:sz w:val="18"/>
              </w:rPr>
              <w:t>Net ΔCash (L468=0)</w:t>
            </w:r>
          </w:p>
        </w:tc>
      </w:tr>
    </w:tbl>
    <w:p/>
    <w:p>
      <w:r>
        <w:br w:type="page"/>
      </w:r>
    </w:p>
    <w:p>
      <w:pPr>
        <w:pStyle w:val="Heading1"/>
      </w:pPr>
      <w:r>
        <w:t>APPENDIX B — Modelling Assumptions and Limitations</w:t>
      </w:r>
    </w:p>
    <w:p>
      <w:pPr>
        <w:pStyle w:val="Heading2"/>
      </w:pPr>
      <w:r>
        <w:t>B.1  Key Assumptions</w:t>
      </w:r>
    </w:p>
    <w:tbl>
      <w:tblPr>
        <w:tblStyle w:val="LightList-Accent1"/>
        <w:tblW w:type="auto" w:w="0"/>
        <w:tblLook w:firstColumn="1" w:firstRow="1" w:lastColumn="0" w:lastRow="0" w:noHBand="0" w:noVBand="1" w:val="04A0"/>
      </w:tblPr>
      <w:tblGrid>
        <w:gridCol w:w="2880"/>
        <w:gridCol w:w="2880"/>
        <w:gridCol w:w="2880"/>
      </w:tblGrid>
      <w:tr>
        <w:tc>
          <w:tcPr>
            <w:tcW w:type="dxa" w:w="3600"/>
          </w:tcPr>
          <w:p>
            <w:r>
              <w:rPr>
                <w:b/>
                <w:sz w:val="18"/>
              </w:rPr>
              <w:t>Assumption</w:t>
            </w:r>
          </w:p>
        </w:tc>
        <w:tc>
          <w:tcPr>
            <w:tcW w:type="dxa" w:w="2592"/>
          </w:tcPr>
          <w:p>
            <w:r>
              <w:rPr>
                <w:b/>
                <w:sz w:val="18"/>
              </w:rPr>
              <w:t>Value / Approach</w:t>
            </w:r>
          </w:p>
        </w:tc>
        <w:tc>
          <w:tcPr>
            <w:tcW w:type="dxa" w:w="3600"/>
          </w:tcPr>
          <w:p>
            <w:r>
              <w:rPr>
                <w:b/>
                <w:sz w:val="18"/>
              </w:rPr>
              <w:t>Comment</w:t>
            </w:r>
          </w:p>
        </w:tc>
      </w:tr>
      <w:tr>
        <w:tc>
          <w:tcPr>
            <w:tcW w:type="dxa" w:w="3600"/>
          </w:tcPr>
          <w:p/>
        </w:tc>
        <w:tc>
          <w:tcPr>
            <w:tcW w:type="dxa" w:w="2592"/>
          </w:tcPr>
          <w:p/>
        </w:tc>
        <w:tc>
          <w:tcPr>
            <w:tcW w:type="dxa" w:w="3600"/>
          </w:tcPr>
          <w:p/>
        </w:tc>
      </w:tr>
      <w:tr>
        <w:tc>
          <w:tcPr>
            <w:tcW w:type="dxa" w:w="3600"/>
          </w:tcPr>
          <w:p/>
        </w:tc>
        <w:tc>
          <w:tcPr>
            <w:tcW w:type="dxa" w:w="2592"/>
          </w:tcPr>
          <w:p/>
        </w:tc>
        <w:tc>
          <w:tcPr>
            <w:tcW w:type="dxa" w:w="3600"/>
          </w:tcPr>
          <w:p/>
        </w:tc>
      </w:tr>
      <w:tr>
        <w:tc>
          <w:tcPr>
            <w:tcW w:type="dxa" w:w="3600"/>
          </w:tcPr>
          <w:p/>
        </w:tc>
        <w:tc>
          <w:tcPr>
            <w:tcW w:type="dxa" w:w="2592"/>
          </w:tcPr>
          <w:p/>
        </w:tc>
        <w:tc>
          <w:tcPr>
            <w:tcW w:type="dxa" w:w="3600"/>
          </w:tcPr>
          <w:p/>
        </w:tc>
      </w:tr>
      <w:tr>
        <w:tc>
          <w:tcPr>
            <w:tcW w:type="dxa" w:w="3600"/>
          </w:tcPr>
          <w:p/>
        </w:tc>
        <w:tc>
          <w:tcPr>
            <w:tcW w:type="dxa" w:w="2592"/>
          </w:tcPr>
          <w:p/>
        </w:tc>
        <w:tc>
          <w:tcPr>
            <w:tcW w:type="dxa" w:w="3600"/>
          </w:tcPr>
          <w:p/>
        </w:tc>
      </w:tr>
      <w:tr>
        <w:tc>
          <w:tcPr>
            <w:tcW w:type="dxa" w:w="3600"/>
          </w:tcPr>
          <w:p/>
        </w:tc>
        <w:tc>
          <w:tcPr>
            <w:tcW w:type="dxa" w:w="2592"/>
          </w:tcPr>
          <w:p/>
        </w:tc>
        <w:tc>
          <w:tcPr>
            <w:tcW w:type="dxa" w:w="3600"/>
          </w:tcPr>
          <w:p/>
        </w:tc>
      </w:tr>
      <w:tr>
        <w:tc>
          <w:tcPr>
            <w:tcW w:type="dxa" w:w="3600"/>
          </w:tcPr>
          <w:p/>
        </w:tc>
        <w:tc>
          <w:tcPr>
            <w:tcW w:type="dxa" w:w="2592"/>
          </w:tcPr>
          <w:p/>
        </w:tc>
        <w:tc>
          <w:tcPr>
            <w:tcW w:type="dxa" w:w="3600"/>
          </w:tcPr>
          <w:p/>
        </w:tc>
      </w:tr>
      <w:tr>
        <w:tc>
          <w:tcPr>
            <w:tcW w:type="dxa" w:w="3600"/>
          </w:tcPr>
          <w:p/>
        </w:tc>
        <w:tc>
          <w:tcPr>
            <w:tcW w:type="dxa" w:w="2592"/>
          </w:tcPr>
          <w:p/>
        </w:tc>
        <w:tc>
          <w:tcPr>
            <w:tcW w:type="dxa" w:w="3600"/>
          </w:tcPr>
          <w:p/>
        </w:tc>
      </w:tr>
      <w:tr>
        <w:tc>
          <w:tcPr>
            <w:tcW w:type="dxa" w:w="3600"/>
          </w:tcPr>
          <w:p/>
        </w:tc>
        <w:tc>
          <w:tcPr>
            <w:tcW w:type="dxa" w:w="2592"/>
          </w:tcPr>
          <w:p/>
        </w:tc>
        <w:tc>
          <w:tcPr>
            <w:tcW w:type="dxa" w:w="3600"/>
          </w:tcPr>
          <w:p/>
        </w:tc>
      </w:tr>
      <w:tr>
        <w:tc>
          <w:tcPr>
            <w:tcW w:type="dxa" w:w="3600"/>
          </w:tcPr>
          <w:p/>
        </w:tc>
        <w:tc>
          <w:tcPr>
            <w:tcW w:type="dxa" w:w="2592"/>
          </w:tcPr>
          <w:p/>
        </w:tc>
        <w:tc>
          <w:tcPr>
            <w:tcW w:type="dxa" w:w="3600"/>
          </w:tcPr>
          <w:p/>
        </w:tc>
      </w:tr>
      <w:tr>
        <w:tc>
          <w:tcPr>
            <w:tcW w:type="dxa" w:w="3600"/>
          </w:tcPr>
          <w:p/>
        </w:tc>
        <w:tc>
          <w:tcPr>
            <w:tcW w:type="dxa" w:w="2592"/>
          </w:tcPr>
          <w:p/>
        </w:tc>
        <w:tc>
          <w:tcPr>
            <w:tcW w:type="dxa" w:w="3600"/>
          </w:tcPr>
          <w:p/>
        </w:tc>
      </w:tr>
      <w:tr>
        <w:tc>
          <w:tcPr>
            <w:tcW w:type="dxa" w:w="3600"/>
          </w:tcPr>
          <w:p/>
        </w:tc>
        <w:tc>
          <w:tcPr>
            <w:tcW w:type="dxa" w:w="2592"/>
          </w:tcPr>
          <w:p/>
        </w:tc>
        <w:tc>
          <w:tcPr>
            <w:tcW w:type="dxa" w:w="3600"/>
          </w:tcPr>
          <w:p/>
        </w:tc>
      </w:tr>
      <w:tr>
        <w:tc>
          <w:tcPr>
            <w:tcW w:type="dxa" w:w="3600"/>
          </w:tcPr>
          <w:p/>
        </w:tc>
        <w:tc>
          <w:tcPr>
            <w:tcW w:type="dxa" w:w="2592"/>
          </w:tcPr>
          <w:p/>
        </w:tc>
        <w:tc>
          <w:tcPr>
            <w:tcW w:type="dxa" w:w="3600"/>
          </w:tcPr>
          <w:p/>
        </w:tc>
      </w:tr>
      <w:tr>
        <w:tc>
          <w:tcPr>
            <w:tcW w:type="dxa" w:w="3600"/>
          </w:tcPr>
          <w:p/>
        </w:tc>
        <w:tc>
          <w:tcPr>
            <w:tcW w:type="dxa" w:w="2592"/>
          </w:tcPr>
          <w:p/>
        </w:tc>
        <w:tc>
          <w:tcPr>
            <w:tcW w:type="dxa" w:w="3600"/>
          </w:tcPr>
          <w:p/>
        </w:tc>
      </w:tr>
      <w:tr>
        <w:tc>
          <w:tcPr>
            <w:tcW w:type="dxa" w:w="3600"/>
          </w:tcPr>
          <w:p/>
        </w:tc>
        <w:tc>
          <w:tcPr>
            <w:tcW w:type="dxa" w:w="2592"/>
          </w:tcPr>
          <w:p/>
        </w:tc>
        <w:tc>
          <w:tcPr>
            <w:tcW w:type="dxa" w:w="3600"/>
          </w:tcPr>
          <w:p/>
        </w:tc>
      </w:tr>
      <w:tr>
        <w:tc>
          <w:tcPr>
            <w:tcW w:type="dxa" w:w="3600"/>
          </w:tcPr>
          <w:p/>
        </w:tc>
        <w:tc>
          <w:tcPr>
            <w:tcW w:type="dxa" w:w="2592"/>
          </w:tcPr>
          <w:p/>
        </w:tc>
        <w:tc>
          <w:tcPr>
            <w:tcW w:type="dxa" w:w="3600"/>
          </w:tcPr>
          <w:p/>
        </w:tc>
      </w:tr>
      <w:tr>
        <w:tc>
          <w:tcPr>
            <w:tcW w:type="dxa" w:w="3600"/>
          </w:tcPr>
          <w:p>
            <w:r>
              <w:rPr>
                <w:sz w:val="18"/>
              </w:rPr>
              <w:t>Revenue growth rate (FY2025+)</w:t>
            </w:r>
          </w:p>
        </w:tc>
        <w:tc>
          <w:tcPr>
            <w:tcW w:type="dxa" w:w="2592"/>
          </w:tcPr>
          <w:p>
            <w:r>
              <w:rPr>
                <w:sz w:val="18"/>
              </w:rPr>
              <w:t>Driven by row 320; ~5-7% base case</w:t>
            </w:r>
          </w:p>
        </w:tc>
        <w:tc>
          <w:tcPr>
            <w:tcW w:type="dxa" w:w="3600"/>
          </w:tcPr>
          <w:p>
            <w:r>
              <w:rPr>
                <w:sz w:val="18"/>
              </w:rPr>
              <w:t>No geographic or segment detail</w:t>
            </w:r>
          </w:p>
        </w:tc>
      </w:tr>
      <w:tr>
        <w:tc>
          <w:tcPr>
            <w:tcW w:type="dxa" w:w="3600"/>
          </w:tcPr>
          <w:p>
            <w:r>
              <w:rPr>
                <w:sz w:val="18"/>
              </w:rPr>
              <w:t>COGS % of revenue</w:t>
            </w:r>
          </w:p>
        </w:tc>
        <w:tc>
          <w:tcPr>
            <w:tcW w:type="dxa" w:w="2592"/>
          </w:tcPr>
          <w:p>
            <w:r>
              <w:rPr>
                <w:sz w:val="18"/>
              </w:rPr>
              <w:t>~56.4% (FY2024 level)</w:t>
            </w:r>
          </w:p>
        </w:tc>
        <w:tc>
          <w:tcPr>
            <w:tcW w:type="dxa" w:w="3600"/>
          </w:tcPr>
          <w:p>
            <w:r>
              <w:rPr>
                <w:sz w:val="18"/>
              </w:rPr>
              <w:t>No margin expansion modelled</w:t>
            </w:r>
          </w:p>
        </w:tc>
      </w:tr>
      <w:tr>
        <w:tc>
          <w:tcPr>
            <w:tcW w:type="dxa" w:w="3600"/>
          </w:tcPr>
          <w:p>
            <w:r>
              <w:rPr>
                <w:sz w:val="18"/>
              </w:rPr>
              <w:t>SG&amp;A % of revenue</w:t>
            </w:r>
          </w:p>
        </w:tc>
        <w:tc>
          <w:tcPr>
            <w:tcW w:type="dxa" w:w="2592"/>
          </w:tcPr>
          <w:p>
            <w:r>
              <w:rPr>
                <w:sz w:val="18"/>
              </w:rPr>
              <w:t>~30.8% (FY2024 level)</w:t>
            </w:r>
          </w:p>
        </w:tc>
        <w:tc>
          <w:tcPr>
            <w:tcW w:type="dxa" w:w="3600"/>
          </w:tcPr>
          <w:p>
            <w:r>
              <w:rPr>
                <w:sz w:val="18"/>
              </w:rPr>
              <w:t>Including marketing and D&amp;A</w:t>
            </w:r>
          </w:p>
        </w:tc>
      </w:tr>
      <w:tr>
        <w:tc>
          <w:tcPr>
            <w:tcW w:type="dxa" w:w="3600"/>
          </w:tcPr>
          <w:p>
            <w:r>
              <w:rPr>
                <w:sz w:val="18"/>
              </w:rPr>
              <w:t>Restructuring charges</w:t>
            </w:r>
          </w:p>
        </w:tc>
        <w:tc>
          <w:tcPr>
            <w:tcW w:type="dxa" w:w="2592"/>
          </w:tcPr>
          <w:p>
            <w:r>
              <w:rPr>
                <w:sz w:val="18"/>
              </w:rPr>
              <w:t>Zero from FY2025</w:t>
            </w:r>
          </w:p>
        </w:tc>
        <w:tc>
          <w:tcPr>
            <w:tcW w:type="dxa" w:w="3600"/>
          </w:tcPr>
          <w:p>
            <w:r>
              <w:rPr>
                <w:sz w:val="18"/>
              </w:rPr>
              <w:t>May be optimistic if restructuring continues</w:t>
            </w:r>
          </w:p>
        </w:tc>
      </w:tr>
      <w:tr>
        <w:tc>
          <w:tcPr>
            <w:tcW w:type="dxa" w:w="3600"/>
          </w:tcPr>
          <w:p>
            <w:r>
              <w:rPr>
                <w:sz w:val="18"/>
              </w:rPr>
              <w:t>CapEx / Revenue</w:t>
            </w:r>
          </w:p>
        </w:tc>
        <w:tc>
          <w:tcPr>
            <w:tcW w:type="dxa" w:w="2592"/>
          </w:tcPr>
          <w:p>
            <w:r>
              <w:rPr>
                <w:sz w:val="18"/>
              </w:rPr>
              <w:t>~3.2%</w:t>
            </w:r>
          </w:p>
        </w:tc>
        <w:tc>
          <w:tcPr>
            <w:tcW w:type="dxa" w:w="3600"/>
          </w:tcPr>
          <w:p>
            <w:r>
              <w:rPr>
                <w:sz w:val="18"/>
              </w:rPr>
              <w:t>Below historical peak; assumes mature investment cycle</w:t>
            </w:r>
          </w:p>
        </w:tc>
      </w:tr>
      <w:tr>
        <w:tc>
          <w:tcPr>
            <w:tcW w:type="dxa" w:w="3600"/>
          </w:tcPr>
          <w:p>
            <w:r>
              <w:rPr>
                <w:sz w:val="18"/>
              </w:rPr>
              <w:t>D&amp;A / Revenue</w:t>
            </w:r>
          </w:p>
        </w:tc>
        <w:tc>
          <w:tcPr>
            <w:tcW w:type="dxa" w:w="2592"/>
          </w:tcPr>
          <w:p>
            <w:r>
              <w:rPr>
                <w:sz w:val="18"/>
              </w:rPr>
              <w:t>~2.0%</w:t>
            </w:r>
          </w:p>
        </w:tc>
        <w:tc>
          <w:tcPr>
            <w:tcW w:type="dxa" w:w="3600"/>
          </w:tcPr>
          <w:p>
            <w:r>
              <w:rPr>
                <w:sz w:val="18"/>
              </w:rPr>
              <w:t>Consistent with recent years</w:t>
            </w:r>
          </w:p>
        </w:tc>
      </w:tr>
      <w:tr>
        <w:tc>
          <w:tcPr>
            <w:tcW w:type="dxa" w:w="3600"/>
          </w:tcPr>
          <w:p>
            <w:r>
              <w:rPr>
                <w:sz w:val="18"/>
              </w:rPr>
              <w:t>Tax rate</w:t>
            </w:r>
          </w:p>
        </w:tc>
        <w:tc>
          <w:tcPr>
            <w:tcW w:type="dxa" w:w="2592"/>
          </w:tcPr>
          <w:p>
            <w:r>
              <w:rPr>
                <w:sz w:val="18"/>
              </w:rPr>
              <w:t>~18% (post-TCJA normalised)</w:t>
            </w:r>
          </w:p>
        </w:tc>
        <w:tc>
          <w:tcPr>
            <w:tcW w:type="dxa" w:w="3600"/>
          </w:tcPr>
          <w:p>
            <w:r>
              <w:rPr>
                <w:sz w:val="18"/>
              </w:rPr>
              <w:t>Excludes SBC windfall effects</w:t>
            </w:r>
          </w:p>
        </w:tc>
      </w:tr>
      <w:tr>
        <w:tc>
          <w:tcPr>
            <w:tcW w:type="dxa" w:w="3600"/>
          </w:tcPr>
          <w:p>
            <w:r>
              <w:rPr>
                <w:sz w:val="18"/>
              </w:rPr>
              <w:t>Buyback payout ratio</w:t>
            </w:r>
          </w:p>
        </w:tc>
        <w:tc>
          <w:tcPr>
            <w:tcW w:type="dxa" w:w="2592"/>
          </w:tcPr>
          <w:p>
            <w:r>
              <w:rPr>
                <w:sz w:val="18"/>
              </w:rPr>
              <w:t>~40% of NI (row 324 = -0.4)</w:t>
            </w:r>
          </w:p>
        </w:tc>
        <w:tc>
          <w:tcPr>
            <w:tcW w:type="dxa" w:w="3600"/>
          </w:tcPr>
          <w:p>
            <w:r>
              <w:rPr>
                <w:sz w:val="18"/>
              </w:rPr>
              <w:t>Historical average; could be revised down</w:t>
            </w:r>
          </w:p>
        </w:tc>
      </w:tr>
      <w:tr>
        <w:tc>
          <w:tcPr>
            <w:tcW w:type="dxa" w:w="3600"/>
          </w:tcPr>
          <w:p>
            <w:r>
              <w:rPr>
                <w:sz w:val="18"/>
              </w:rPr>
              <w:t>Dividend policy</w:t>
            </w:r>
          </w:p>
        </w:tc>
        <w:tc>
          <w:tcPr>
            <w:tcW w:type="dxa" w:w="2592"/>
          </w:tcPr>
          <w:p>
            <w:r>
              <w:rPr>
                <w:sz w:val="18"/>
              </w:rPr>
              <w:t>= buybacks/2 in FY2025, frozen thereafter</w:t>
            </w:r>
          </w:p>
        </w:tc>
        <w:tc>
          <w:tcPr>
            <w:tcW w:type="dxa" w:w="3600"/>
          </w:tcPr>
          <w:p>
            <w:r>
              <w:rPr>
                <w:sz w:val="18"/>
              </w:rPr>
              <w:t>Oversimplification; dividends should grow</w:t>
            </w:r>
          </w:p>
        </w:tc>
      </w:tr>
      <w:tr>
        <w:tc>
          <w:tcPr>
            <w:tcW w:type="dxa" w:w="3600"/>
          </w:tcPr>
          <w:p>
            <w:r>
              <w:rPr>
                <w:sz w:val="18"/>
              </w:rPr>
              <w:t>WACC</w:t>
            </w:r>
          </w:p>
        </w:tc>
        <w:tc>
          <w:tcPr>
            <w:tcW w:type="dxa" w:w="2592"/>
          </w:tcPr>
          <w:p>
            <w:r>
              <w:rPr>
                <w:sz w:val="18"/>
              </w:rPr>
              <w:t>~10.43%</w:t>
            </w:r>
          </w:p>
        </w:tc>
        <w:tc>
          <w:tcPr>
            <w:tcW w:type="dxa" w:w="3600"/>
          </w:tcPr>
          <w:p>
            <w:r>
              <w:rPr>
                <w:sz w:val="18"/>
              </w:rPr>
              <w:t>Base case; see sensitivity table (Section 6.2)</w:t>
            </w:r>
          </w:p>
        </w:tc>
      </w:tr>
      <w:tr>
        <w:tc>
          <w:tcPr>
            <w:tcW w:type="dxa" w:w="3600"/>
          </w:tcPr>
          <w:p>
            <w:r>
              <w:rPr>
                <w:sz w:val="18"/>
              </w:rPr>
              <w:t>Terminal growth rate</w:t>
            </w:r>
          </w:p>
        </w:tc>
        <w:tc>
          <w:tcPr>
            <w:tcW w:type="dxa" w:w="2592"/>
          </w:tcPr>
          <w:p>
            <w:r>
              <w:rPr>
                <w:sz w:val="18"/>
              </w:rPr>
              <w:t>~4.0%</w:t>
            </w:r>
          </w:p>
        </w:tc>
        <w:tc>
          <w:tcPr>
            <w:tcW w:type="dxa" w:w="3600"/>
          </w:tcPr>
          <w:p>
            <w:r>
              <w:rPr>
                <w:sz w:val="18"/>
              </w:rPr>
              <w:t>Aggressive; equals long-term nominal GDP growth</w:t>
            </w:r>
          </w:p>
        </w:tc>
      </w:tr>
      <w:tr>
        <w:tc>
          <w:tcPr>
            <w:tcW w:type="dxa" w:w="3600"/>
          </w:tcPr>
          <w:p>
            <w:r>
              <w:rPr>
                <w:sz w:val="18"/>
              </w:rPr>
              <w:t>Net PP&amp;E</w:t>
            </w:r>
          </w:p>
        </w:tc>
        <w:tc>
          <w:tcPr>
            <w:tcW w:type="dxa" w:w="2592"/>
          </w:tcPr>
          <w:p>
            <w:r>
              <w:rPr>
                <w:sz w:val="18"/>
              </w:rPr>
              <w:t>Frozen at $7,885m from FY2026</w:t>
            </w:r>
          </w:p>
        </w:tc>
        <w:tc>
          <w:tcPr>
            <w:tcW w:type="dxa" w:w="3600"/>
          </w:tcPr>
          <w:p>
            <w:r>
              <w:rPr>
                <w:sz w:val="18"/>
              </w:rPr>
              <w:t>Assumes maintenance capex replaces all D&amp;A</w:t>
            </w:r>
          </w:p>
        </w:tc>
      </w:tr>
      <w:tr>
        <w:tc>
          <w:tcPr>
            <w:tcW w:type="dxa" w:w="3600"/>
          </w:tcPr>
          <w:p>
            <w:r>
              <w:rPr>
                <w:sz w:val="18"/>
              </w:rPr>
              <w:t>Goodwill</w:t>
            </w:r>
          </w:p>
        </w:tc>
        <w:tc>
          <w:tcPr>
            <w:tcW w:type="dxa" w:w="2592"/>
          </w:tcPr>
          <w:p>
            <w:r>
              <w:rPr>
                <w:sz w:val="18"/>
              </w:rPr>
              <w:t>Frozen at $240m</w:t>
            </w:r>
          </w:p>
        </w:tc>
        <w:tc>
          <w:tcPr>
            <w:tcW w:type="dxa" w:w="3600"/>
          </w:tcPr>
          <w:p>
            <w:r>
              <w:rPr>
                <w:sz w:val="18"/>
              </w:rPr>
              <w:t>No acquisitions</w:t>
            </w:r>
          </w:p>
        </w:tc>
      </w:tr>
      <w:tr>
        <w:tc>
          <w:tcPr>
            <w:tcW w:type="dxa" w:w="3600"/>
          </w:tcPr>
          <w:p>
            <w:r>
              <w:rPr>
                <w:sz w:val="18"/>
              </w:rPr>
              <w:t>FX impact</w:t>
            </w:r>
          </w:p>
        </w:tc>
        <w:tc>
          <w:tcPr>
            <w:tcW w:type="dxa" w:w="2592"/>
          </w:tcPr>
          <w:p>
            <w:r>
              <w:rPr>
                <w:sz w:val="18"/>
              </w:rPr>
              <w:t>Zero</w:t>
            </w:r>
          </w:p>
        </w:tc>
        <w:tc>
          <w:tcPr>
            <w:tcW w:type="dxa" w:w="3600"/>
          </w:tcPr>
          <w:p>
            <w:r>
              <w:rPr>
                <w:sz w:val="18"/>
              </w:rPr>
              <w:t>USD-only model</w:t>
            </w:r>
          </w:p>
        </w:tc>
      </w:tr>
      <w:tr>
        <w:tc>
          <w:tcPr>
            <w:tcW w:type="dxa" w:w="3600"/>
          </w:tcPr>
          <w:p>
            <w:r>
              <w:rPr>
                <w:sz w:val="18"/>
              </w:rPr>
              <w:t>Lease obligations</w:t>
            </w:r>
          </w:p>
        </w:tc>
        <w:tc>
          <w:tcPr>
            <w:tcW w:type="dxa" w:w="2592"/>
          </w:tcPr>
          <w:p>
            <w:r>
              <w:rPr>
                <w:sz w:val="18"/>
              </w:rPr>
              <w:t>Revenue-scaled</w:t>
            </w:r>
          </w:p>
        </w:tc>
        <w:tc>
          <w:tcPr>
            <w:tcW w:type="dxa" w:w="3600"/>
          </w:tcPr>
          <w:p>
            <w:r>
              <w:rPr>
                <w:sz w:val="18"/>
              </w:rPr>
              <w:t>Proportional to store count / revenue</w:t>
            </w:r>
          </w:p>
        </w:tc>
      </w:tr>
    </w:tbl>
    <w:p/>
    <w:p>
      <w:pPr>
        <w:pStyle w:val="Heading2"/>
      </w:pPr>
      <w:r>
        <w:t>B.2  Key Limitations</w:t>
      </w:r>
    </w:p>
    <w:p>
      <w:r>
        <w:rPr>
          <w:b w:val="0"/>
          <w:i w:val="0"/>
          <w:sz w:val="20"/>
        </w:rPr>
        <w:t>1. NO SEGMENT ANALYSIS: NIKE reports four geographic segments (North America, EMEA, Greater China, APAC) plus NIKE Direct vs wholesale. The model aggregates these; margin differences across segments are lost.</w:t>
        <w:br/>
        <w:br/>
        <w:t>2. NO PRODUCT MIX: Footwear (55% of revenue, ~45% margin) vs apparel (30%, ~35% margin) vs equipment (5%+). Mix shift toward DTC/direct has margin implications not captured.</w:t>
        <w:br/>
        <w:br/>
        <w:t>3. CONSTANT MARGINS: Holding COGS% and SG&amp;A% flat ignores NIKE's publicised margin recovery program (target: gross margin back to 46%+). If achieved, NPV would be materially higher.</w:t>
        <w:br/>
        <w:br/>
        <w:t>4. SINGLE WACC: The model uses one WACC for the entire forecast period, ignoring potential capital structure changes as NIKE repays debt.</w:t>
        <w:br/>
        <w:br/>
        <w:t>5. CFADS HISTORICAL BUG: 8 of 10 historical CFADS years are incorrect (zero tax) due to non-absolute cell references (see Section 5.2). Historical coverage analysis should not use these figures.</w:t>
        <w:br/>
        <w:br/>
        <w:t>6. SENSITIVITY GRID COVERAGE: WACC range 7.5%–16% and g range 1%–9% is very wide; the economic g range for a mature company is 0%–5%. The upper scenarios are not realistic.</w:t>
        <w:br/>
        <w:br/>
        <w:t>7. NORMALISED EPS NOT USED IN DCF: The model forecasts NI without restructuring charges (frozen to zero) which means forecast NI is already effectively 'normalised' — but FY2024 base year NI includes $443m restructuring which suppresses the base. This creates a built-in growth effect in FY2025 that is partly mechanical rather than operational.</w:t>
      </w:r>
    </w:p>
    <w:p>
      <w:pPr>
        <w:pStyle w:val="Heading2"/>
      </w:pPr>
      <w:r>
        <w:t>B.3  Data Quality Notes</w:t>
      </w:r>
    </w:p>
    <w:p>
      <w:r>
        <w:rPr>
          <w:b w:val="0"/>
          <w:i w:val="0"/>
          <w:sz w:val="20"/>
        </w:rPr>
        <w:t xml:space="preserve">  • FY2016 and FY2017 CF statement data: Marked 'RS' (restated) by CIQ. The restatements relate to NIKE's retrospective adoption of ASU 2016-09 (SBC tax benefits reclassified from financing to operating activities). The restated figures show higher historical CFO than originally reported.</w:t>
        <w:br/>
        <w:br/>
        <w:t xml:space="preserve">  • FY2015–FY2017 balance sheet data: Also marked 'RS' or 'RUP' (rolled-up). Some items may be regrouped vs original 10-K filings.</w:t>
        <w:br/>
        <w:br/>
        <w:t xml:space="preserve">  • Stock option data availability: Only FY2015–FY2016 (rows 403–407). Post-FY2017 options data is not separately disclosed by CIQ.</w:t>
        <w:br/>
        <w:br/>
        <w:t xml:space="preserve">  • SBC tax effect: Only available FY2017–FY2022 (rows 411–412).</w:t>
        <w:br/>
        <w:br/>
        <w:t xml:space="preserve">  • FIN 48 interest and penalties: Only disclosed for FY2024 ($332m).</w:t>
        <w:br/>
        <w:br/>
        <w:t xml:space="preserve">  • Inventory breakdown (finished goods vs other): Only available FY2021–FY2023 in the CIQ dataset (rows 552–553).</w:t>
      </w:r>
    </w:p>
    <w:p>
      <w:pPr>
        <w:pStyle w:val="Heading1"/>
      </w:pPr>
      <w:r>
        <w:t>APPENDIX C — Glossary</w:t>
      </w:r>
    </w:p>
    <w:tbl>
      <w:tblPr>
        <w:tblStyle w:val="LightList-Accent1"/>
        <w:tblW w:type="auto" w:w="0"/>
        <w:tblLook w:firstColumn="1" w:firstRow="1" w:lastColumn="0" w:lastRow="0" w:noHBand="0" w:noVBand="1" w:val="04A0"/>
      </w:tblPr>
      <w:tblGrid>
        <w:gridCol w:w="4320"/>
        <w:gridCol w:w="4320"/>
      </w:tblGrid>
      <w:tr>
        <w:tc>
          <w:tcPr>
            <w:tcW w:type="dxa" w:w="2160"/>
          </w:tcPr>
          <w:p>
            <w:r>
              <w:rPr>
                <w:b/>
                <w:sz w:val="18"/>
              </w:rPr>
              <w:t>Term</w:t>
            </w:r>
          </w:p>
        </w:tc>
        <w:tc>
          <w:tcPr>
            <w:tcW w:type="dxa" w:w="7920"/>
          </w:tcPr>
          <w:p>
            <w:r>
              <w:rPr>
                <w:b/>
                <w:sz w:val="18"/>
              </w:rPr>
              <w:t>Definition</w:t>
            </w: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tc>
        <w:tc>
          <w:tcPr>
            <w:tcW w:type="dxa" w:w="7920"/>
          </w:tcPr>
          <w:p/>
        </w:tc>
      </w:tr>
      <w:tr>
        <w:tc>
          <w:tcPr>
            <w:tcW w:type="dxa" w:w="2160"/>
          </w:tcPr>
          <w:p>
            <w:r>
              <w:rPr>
                <w:sz w:val="18"/>
              </w:rPr>
              <w:t>APIC</w:t>
            </w:r>
          </w:p>
        </w:tc>
        <w:tc>
          <w:tcPr>
            <w:tcW w:type="dxa" w:w="7920"/>
          </w:tcPr>
          <w:p>
            <w:r>
              <w:rPr>
                <w:sz w:val="18"/>
              </w:rPr>
              <w:t>Additional Paid-In Capital; equity contributed above par value from share issuances and SBC exercises</w:t>
            </w:r>
          </w:p>
        </w:tc>
      </w:tr>
      <w:tr>
        <w:tc>
          <w:tcPr>
            <w:tcW w:type="dxa" w:w="2160"/>
          </w:tcPr>
          <w:p>
            <w:r>
              <w:rPr>
                <w:sz w:val="18"/>
              </w:rPr>
              <w:t>APV</w:t>
            </w:r>
          </w:p>
        </w:tc>
        <w:tc>
          <w:tcPr>
            <w:tcW w:type="dxa" w:w="7920"/>
          </w:tcPr>
          <w:p>
            <w:r>
              <w:rPr>
                <w:sz w:val="18"/>
              </w:rPr>
              <w:t>Adjusted Present Value; firm value = unlevered value + PV of tax shields</w:t>
            </w:r>
          </w:p>
        </w:tc>
      </w:tr>
      <w:tr>
        <w:tc>
          <w:tcPr>
            <w:tcW w:type="dxa" w:w="2160"/>
          </w:tcPr>
          <w:p>
            <w:r>
              <w:rPr>
                <w:sz w:val="18"/>
              </w:rPr>
              <w:t>ASC 842</w:t>
            </w:r>
          </w:p>
        </w:tc>
        <w:tc>
          <w:tcPr>
            <w:tcW w:type="dxa" w:w="7920"/>
          </w:tcPr>
          <w:p>
            <w:r>
              <w:rPr>
                <w:sz w:val="18"/>
              </w:rPr>
              <w:t>US GAAP lease accounting standard effective 2019; requires operating leases on balance sheet</w:t>
            </w:r>
          </w:p>
        </w:tc>
      </w:tr>
      <w:tr>
        <w:tc>
          <w:tcPr>
            <w:tcW w:type="dxa" w:w="2160"/>
          </w:tcPr>
          <w:p>
            <w:r>
              <w:rPr>
                <w:sz w:val="18"/>
              </w:rPr>
              <w:t>CFADS</w:t>
            </w:r>
          </w:p>
        </w:tc>
        <w:tc>
          <w:tcPr>
            <w:tcW w:type="dxa" w:w="7920"/>
          </w:tcPr>
          <w:p>
            <w:r>
              <w:rPr>
                <w:sz w:val="18"/>
              </w:rPr>
              <w:t>Cash Flow Available for Debt Service; pre-financing, pre-tax-shield measure of debt capacity</w:t>
            </w:r>
          </w:p>
        </w:tc>
      </w:tr>
      <w:tr>
        <w:tc>
          <w:tcPr>
            <w:tcW w:type="dxa" w:w="2160"/>
          </w:tcPr>
          <w:p>
            <w:r>
              <w:rPr>
                <w:sz w:val="18"/>
              </w:rPr>
              <w:t>CIQ</w:t>
            </w:r>
          </w:p>
        </w:tc>
        <w:tc>
          <w:tcPr>
            <w:tcW w:type="dxa" w:w="7920"/>
          </w:tcPr>
          <w:p>
            <w:r>
              <w:rPr>
                <w:sz w:val="18"/>
              </w:rPr>
              <w:t>S&amp;P Capital IQ; the financial data provider whose raw export forms the model's historical data</w:t>
            </w:r>
          </w:p>
        </w:tc>
      </w:tr>
      <w:tr>
        <w:tc>
          <w:tcPr>
            <w:tcW w:type="dxa" w:w="2160"/>
          </w:tcPr>
          <w:p>
            <w:r>
              <w:rPr>
                <w:sz w:val="18"/>
              </w:rPr>
              <w:t>CIP</w:t>
            </w:r>
          </w:p>
        </w:tc>
        <w:tc>
          <w:tcPr>
            <w:tcW w:type="dxa" w:w="7920"/>
          </w:tcPr>
          <w:p>
            <w:r>
              <w:rPr>
                <w:sz w:val="18"/>
              </w:rPr>
              <w:t>Construction in Progress; PP&amp;E not yet placed in service</w:t>
            </w:r>
          </w:p>
        </w:tc>
      </w:tr>
      <w:tr>
        <w:tc>
          <w:tcPr>
            <w:tcW w:type="dxa" w:w="2160"/>
          </w:tcPr>
          <w:p>
            <w:r>
              <w:rPr>
                <w:sz w:val="18"/>
              </w:rPr>
              <w:t>DIO</w:t>
            </w:r>
          </w:p>
        </w:tc>
        <w:tc>
          <w:tcPr>
            <w:tcW w:type="dxa" w:w="7920"/>
          </w:tcPr>
          <w:p>
            <w:r>
              <w:rPr>
                <w:sz w:val="18"/>
              </w:rPr>
              <w:t>Days Inventory Outstanding; inventory / COGS × 365</w:t>
            </w:r>
          </w:p>
        </w:tc>
      </w:tr>
      <w:tr>
        <w:tc>
          <w:tcPr>
            <w:tcW w:type="dxa" w:w="2160"/>
          </w:tcPr>
          <w:p>
            <w:r>
              <w:rPr>
                <w:sz w:val="18"/>
              </w:rPr>
              <w:t>DPO</w:t>
            </w:r>
          </w:p>
        </w:tc>
        <w:tc>
          <w:tcPr>
            <w:tcW w:type="dxa" w:w="7920"/>
          </w:tcPr>
          <w:p>
            <w:r>
              <w:rPr>
                <w:sz w:val="18"/>
              </w:rPr>
              <w:t>Days Payable Outstanding; AP / COGS × 365</w:t>
            </w:r>
          </w:p>
        </w:tc>
      </w:tr>
      <w:tr>
        <w:tc>
          <w:tcPr>
            <w:tcW w:type="dxa" w:w="2160"/>
          </w:tcPr>
          <w:p>
            <w:r>
              <w:rPr>
                <w:sz w:val="18"/>
              </w:rPr>
              <w:t>DSO</w:t>
            </w:r>
          </w:p>
        </w:tc>
        <w:tc>
          <w:tcPr>
            <w:tcW w:type="dxa" w:w="7920"/>
          </w:tcPr>
          <w:p>
            <w:r>
              <w:rPr>
                <w:sz w:val="18"/>
              </w:rPr>
              <w:t>Days Sales Outstanding; AR / Revenue × 365</w:t>
            </w:r>
          </w:p>
        </w:tc>
      </w:tr>
      <w:tr>
        <w:tc>
          <w:tcPr>
            <w:tcW w:type="dxa" w:w="2160"/>
          </w:tcPr>
          <w:p>
            <w:r>
              <w:rPr>
                <w:sz w:val="18"/>
              </w:rPr>
              <w:t>DTA/DTL</w:t>
            </w:r>
          </w:p>
        </w:tc>
        <w:tc>
          <w:tcPr>
            <w:tcW w:type="dxa" w:w="7920"/>
          </w:tcPr>
          <w:p>
            <w:r>
              <w:rPr>
                <w:sz w:val="18"/>
              </w:rPr>
              <w:t>Deferred Tax Asset / Deferred Tax Liability; timing differences between tax and book accounting</w:t>
            </w:r>
          </w:p>
        </w:tc>
      </w:tr>
      <w:tr>
        <w:tc>
          <w:tcPr>
            <w:tcW w:type="dxa" w:w="2160"/>
          </w:tcPr>
          <w:p>
            <w:r>
              <w:rPr>
                <w:sz w:val="18"/>
              </w:rPr>
              <w:t>EFCF</w:t>
            </w:r>
          </w:p>
        </w:tc>
        <w:tc>
          <w:tcPr>
            <w:tcW w:type="dxa" w:w="7920"/>
          </w:tcPr>
          <w:p>
            <w:r>
              <w:rPr>
                <w:sz w:val="18"/>
              </w:rPr>
              <w:t>Equity Free Cash Flow; FCF attributable to equity holders after debt service</w:t>
            </w:r>
          </w:p>
        </w:tc>
      </w:tr>
      <w:tr>
        <w:tc>
          <w:tcPr>
            <w:tcW w:type="dxa" w:w="2160"/>
          </w:tcPr>
          <w:p>
            <w:r>
              <w:rPr>
                <w:sz w:val="18"/>
              </w:rPr>
              <w:t>EBITDAR</w:t>
            </w:r>
          </w:p>
        </w:tc>
        <w:tc>
          <w:tcPr>
            <w:tcW w:type="dxa" w:w="7920"/>
          </w:tcPr>
          <w:p>
            <w:r>
              <w:rPr>
                <w:sz w:val="18"/>
              </w:rPr>
              <w:t>EBITDA before Rent; adds back operating lease costs; relevant for retail comparisons</w:t>
            </w:r>
          </w:p>
        </w:tc>
      </w:tr>
      <w:tr>
        <w:tc>
          <w:tcPr>
            <w:tcW w:type="dxa" w:w="2160"/>
          </w:tcPr>
          <w:p>
            <w:r>
              <w:rPr>
                <w:sz w:val="18"/>
              </w:rPr>
              <w:t>ETR</w:t>
            </w:r>
          </w:p>
        </w:tc>
        <w:tc>
          <w:tcPr>
            <w:tcW w:type="dxa" w:w="7920"/>
          </w:tcPr>
          <w:p>
            <w:r>
              <w:rPr>
                <w:sz w:val="18"/>
              </w:rPr>
              <w:t>Effective Tax Rate; income tax provision / pre-tax income</w:t>
            </w:r>
          </w:p>
        </w:tc>
      </w:tr>
      <w:tr>
        <w:tc>
          <w:tcPr>
            <w:tcW w:type="dxa" w:w="2160"/>
          </w:tcPr>
          <w:p>
            <w:r>
              <w:rPr>
                <w:sz w:val="18"/>
              </w:rPr>
              <w:t>FIN 48 / ASC 740-10</w:t>
            </w:r>
          </w:p>
        </w:tc>
        <w:tc>
          <w:tcPr>
            <w:tcW w:type="dxa" w:w="7920"/>
          </w:tcPr>
          <w:p>
            <w:r>
              <w:rPr>
                <w:sz w:val="18"/>
              </w:rPr>
              <w:t>US GAAP standard requiring disclosure of uncertain tax positions (UTBs)</w:t>
            </w:r>
          </w:p>
        </w:tc>
      </w:tr>
      <w:tr>
        <w:tc>
          <w:tcPr>
            <w:tcW w:type="dxa" w:w="2160"/>
          </w:tcPr>
          <w:p>
            <w:r>
              <w:rPr>
                <w:sz w:val="18"/>
              </w:rPr>
              <w:t>FY</w:t>
            </w:r>
          </w:p>
        </w:tc>
        <w:tc>
          <w:tcPr>
            <w:tcW w:type="dxa" w:w="7920"/>
          </w:tcPr>
          <w:p>
            <w:r>
              <w:rPr>
                <w:sz w:val="18"/>
              </w:rPr>
              <w:t>Fiscal Year; NIKE's FY ends 31 May each year (e.g. FY2024 = June 2023 to May 2024)</w:t>
            </w:r>
          </w:p>
        </w:tc>
      </w:tr>
      <w:tr>
        <w:tc>
          <w:tcPr>
            <w:tcW w:type="dxa" w:w="2160"/>
          </w:tcPr>
          <w:p>
            <w:r>
              <w:rPr>
                <w:sz w:val="18"/>
              </w:rPr>
              <w:t>IBD</w:t>
            </w:r>
          </w:p>
        </w:tc>
        <w:tc>
          <w:tcPr>
            <w:tcW w:type="dxa" w:w="7920"/>
          </w:tcPr>
          <w:p>
            <w:r>
              <w:rPr>
                <w:sz w:val="18"/>
              </w:rPr>
              <w:t>Interest-Bearing Debt; rows annotated 'IBD' in column S of the model</w:t>
            </w:r>
          </w:p>
        </w:tc>
      </w:tr>
      <w:tr>
        <w:tc>
          <w:tcPr>
            <w:tcW w:type="dxa" w:w="2160"/>
          </w:tcPr>
          <w:p>
            <w:r>
              <w:rPr>
                <w:sz w:val="18"/>
              </w:rPr>
              <w:t>IRR</w:t>
            </w:r>
          </w:p>
        </w:tc>
        <w:tc>
          <w:tcPr>
            <w:tcW w:type="dxa" w:w="7920"/>
          </w:tcPr>
          <w:p>
            <w:r>
              <w:rPr>
                <w:sz w:val="18"/>
              </w:rPr>
              <w:t>Internal Rate of Return; discount rate that makes NPV of FCF = 0</w:t>
            </w:r>
          </w:p>
        </w:tc>
      </w:tr>
      <w:tr>
        <w:tc>
          <w:tcPr>
            <w:tcW w:type="dxa" w:w="2160"/>
          </w:tcPr>
          <w:p>
            <w:r>
              <w:rPr>
                <w:sz w:val="18"/>
              </w:rPr>
              <w:t>ITS</w:t>
            </w:r>
          </w:p>
        </w:tc>
        <w:tc>
          <w:tcPr>
            <w:tcW w:type="dxa" w:w="7920"/>
          </w:tcPr>
          <w:p>
            <w:r>
              <w:rPr>
                <w:sz w:val="18"/>
              </w:rPr>
              <w:t>Interest Tax Shield; PV of tax savings from debt deductions</w:t>
            </w:r>
          </w:p>
        </w:tc>
      </w:tr>
      <w:tr>
        <w:tc>
          <w:tcPr>
            <w:tcW w:type="dxa" w:w="2160"/>
          </w:tcPr>
          <w:p>
            <w:r>
              <w:rPr>
                <w:sz w:val="18"/>
              </w:rPr>
              <w:t>LFCF</w:t>
            </w:r>
          </w:p>
        </w:tc>
        <w:tc>
          <w:tcPr>
            <w:tcW w:type="dxa" w:w="7920"/>
          </w:tcPr>
          <w:p>
            <w:r>
              <w:rPr>
                <w:sz w:val="18"/>
              </w:rPr>
              <w:t>Levered Free Cash Flow; CFO − CapEx (after interest)</w:t>
            </w:r>
          </w:p>
        </w:tc>
      </w:tr>
      <w:tr>
        <w:tc>
          <w:tcPr>
            <w:tcW w:type="dxa" w:w="2160"/>
          </w:tcPr>
          <w:p>
            <w:r>
              <w:rPr>
                <w:sz w:val="18"/>
              </w:rPr>
              <w:t>NOL</w:t>
            </w:r>
          </w:p>
        </w:tc>
        <w:tc>
          <w:tcPr>
            <w:tcW w:type="dxa" w:w="7920"/>
          </w:tcPr>
          <w:p>
            <w:r>
              <w:rPr>
                <w:sz w:val="18"/>
              </w:rPr>
              <w:t>Net Operating Loss carryforward; prior year tax losses used to offset future taxable income</w:t>
            </w:r>
          </w:p>
        </w:tc>
      </w:tr>
      <w:tr>
        <w:tc>
          <w:tcPr>
            <w:tcW w:type="dxa" w:w="2160"/>
          </w:tcPr>
          <w:p>
            <w:r>
              <w:rPr>
                <w:sz w:val="18"/>
              </w:rPr>
              <w:t>NOPAT</w:t>
            </w:r>
          </w:p>
        </w:tc>
        <w:tc>
          <w:tcPr>
            <w:tcW w:type="dxa" w:w="7920"/>
          </w:tcPr>
          <w:p>
            <w:r>
              <w:rPr>
                <w:sz w:val="18"/>
              </w:rPr>
              <w:t>Net Operating Profit After Tax; EBIT × (1 − tax rate)</w:t>
            </w:r>
          </w:p>
        </w:tc>
      </w:tr>
      <w:tr>
        <w:tc>
          <w:tcPr>
            <w:tcW w:type="dxa" w:w="2160"/>
          </w:tcPr>
          <w:p>
            <w:r>
              <w:rPr>
                <w:sz w:val="18"/>
              </w:rPr>
              <w:t>NOWC</w:t>
            </w:r>
          </w:p>
        </w:tc>
        <w:tc>
          <w:tcPr>
            <w:tcW w:type="dxa" w:w="7920"/>
          </w:tcPr>
          <w:p>
            <w:r>
              <w:rPr>
                <w:sz w:val="18"/>
              </w:rPr>
              <w:t>Net Operating Working Capital; current operating assets minus current operating liabilities</w:t>
            </w:r>
          </w:p>
        </w:tc>
      </w:tr>
      <w:tr>
        <w:tc>
          <w:tcPr>
            <w:tcW w:type="dxa" w:w="2160"/>
          </w:tcPr>
          <w:p>
            <w:r>
              <w:rPr>
                <w:sz w:val="18"/>
              </w:rPr>
              <w:t>OCI/AOCI</w:t>
            </w:r>
          </w:p>
        </w:tc>
        <w:tc>
          <w:tcPr>
            <w:tcW w:type="dxa" w:w="7920"/>
          </w:tcPr>
          <w:p>
            <w:r>
              <w:rPr>
                <w:sz w:val="18"/>
              </w:rPr>
              <w:t>Other Comprehensive Income / Accumulated OCI; items bypassing income statement (FX, hedges)</w:t>
            </w:r>
          </w:p>
        </w:tc>
      </w:tr>
      <w:tr>
        <w:tc>
          <w:tcPr>
            <w:tcW w:type="dxa" w:w="2160"/>
          </w:tcPr>
          <w:p>
            <w:r>
              <w:rPr>
                <w:sz w:val="18"/>
              </w:rPr>
              <w:t>PP&amp;E</w:t>
            </w:r>
          </w:p>
        </w:tc>
        <w:tc>
          <w:tcPr>
            <w:tcW w:type="dxa" w:w="7920"/>
          </w:tcPr>
          <w:p>
            <w:r>
              <w:rPr>
                <w:sz w:val="18"/>
              </w:rPr>
              <w:t>Property, Plant &amp; Equipment</w:t>
            </w:r>
          </w:p>
        </w:tc>
      </w:tr>
      <w:tr>
        <w:tc>
          <w:tcPr>
            <w:tcW w:type="dxa" w:w="2160"/>
          </w:tcPr>
          <w:p>
            <w:r>
              <w:rPr>
                <w:sz w:val="18"/>
              </w:rPr>
              <w:t>ROU</w:t>
            </w:r>
          </w:p>
        </w:tc>
        <w:tc>
          <w:tcPr>
            <w:tcW w:type="dxa" w:w="7920"/>
          </w:tcPr>
          <w:p>
            <w:r>
              <w:rPr>
                <w:sz w:val="18"/>
              </w:rPr>
              <w:t>Right-of-Use asset; on-balance-sheet lease asset under ASC 842</w:t>
            </w:r>
          </w:p>
        </w:tc>
      </w:tr>
      <w:tr>
        <w:tc>
          <w:tcPr>
            <w:tcW w:type="dxa" w:w="2160"/>
          </w:tcPr>
          <w:p>
            <w:r>
              <w:rPr>
                <w:sz w:val="18"/>
              </w:rPr>
              <w:t>RSU</w:t>
            </w:r>
          </w:p>
        </w:tc>
        <w:tc>
          <w:tcPr>
            <w:tcW w:type="dxa" w:w="7920"/>
          </w:tcPr>
          <w:p>
            <w:r>
              <w:rPr>
                <w:sz w:val="18"/>
              </w:rPr>
              <w:t>Restricted Stock Unit; equity award that vests on schedule</w:t>
            </w:r>
          </w:p>
        </w:tc>
      </w:tr>
      <w:tr>
        <w:tc>
          <w:tcPr>
            <w:tcW w:type="dxa" w:w="2160"/>
          </w:tcPr>
          <w:p>
            <w:r>
              <w:rPr>
                <w:sz w:val="18"/>
              </w:rPr>
              <w:t>SBC</w:t>
            </w:r>
          </w:p>
        </w:tc>
        <w:tc>
          <w:tcPr>
            <w:tcW w:type="dxa" w:w="7920"/>
          </w:tcPr>
          <w:p>
            <w:r>
              <w:rPr>
                <w:sz w:val="18"/>
              </w:rPr>
              <w:t>Stock-Based Compensation; non-cash expense for equity grants to employees</w:t>
            </w:r>
          </w:p>
        </w:tc>
      </w:tr>
      <w:tr>
        <w:tc>
          <w:tcPr>
            <w:tcW w:type="dxa" w:w="2160"/>
          </w:tcPr>
          <w:p>
            <w:r>
              <w:rPr>
                <w:sz w:val="18"/>
              </w:rPr>
              <w:t>TCJA</w:t>
            </w:r>
          </w:p>
        </w:tc>
        <w:tc>
          <w:tcPr>
            <w:tcW w:type="dxa" w:w="7920"/>
          </w:tcPr>
          <w:p>
            <w:r>
              <w:rPr>
                <w:sz w:val="18"/>
              </w:rPr>
              <w:t>Tax Cuts and Jobs Act of 2017; reduced US corporate rate from 35% to 21%</w:t>
            </w:r>
          </w:p>
        </w:tc>
      </w:tr>
      <w:tr>
        <w:tc>
          <w:tcPr>
            <w:tcW w:type="dxa" w:w="2160"/>
          </w:tcPr>
          <w:p>
            <w:r>
              <w:rPr>
                <w:sz w:val="18"/>
              </w:rPr>
              <w:t>ULFCF</w:t>
            </w:r>
          </w:p>
        </w:tc>
        <w:tc>
          <w:tcPr>
            <w:tcW w:type="dxa" w:w="7920"/>
          </w:tcPr>
          <w:p>
            <w:r>
              <w:rPr>
                <w:sz w:val="18"/>
              </w:rPr>
              <w:t>Unlevered Free Cash Flow; FCF before interest payments (pre-financing)</w:t>
            </w:r>
          </w:p>
        </w:tc>
      </w:tr>
      <w:tr>
        <w:tc>
          <w:tcPr>
            <w:tcW w:type="dxa" w:w="2160"/>
          </w:tcPr>
          <w:p>
            <w:r>
              <w:rPr>
                <w:sz w:val="18"/>
              </w:rPr>
              <w:t>UTB</w:t>
            </w:r>
          </w:p>
        </w:tc>
        <w:tc>
          <w:tcPr>
            <w:tcW w:type="dxa" w:w="7920"/>
          </w:tcPr>
          <w:p>
            <w:r>
              <w:rPr>
                <w:sz w:val="18"/>
              </w:rPr>
              <w:t>Unrecognised Tax Benefit; tax position taken in a return but not sustained under audit (FIN 48)</w:t>
            </w:r>
          </w:p>
        </w:tc>
      </w:tr>
      <w:tr>
        <w:tc>
          <w:tcPr>
            <w:tcW w:type="dxa" w:w="2160"/>
          </w:tcPr>
          <w:p>
            <w:r>
              <w:rPr>
                <w:sz w:val="18"/>
              </w:rPr>
              <w:t>WACC</w:t>
            </w:r>
          </w:p>
        </w:tc>
        <w:tc>
          <w:tcPr>
            <w:tcW w:type="dxa" w:w="7920"/>
          </w:tcPr>
          <w:p>
            <w:r>
              <w:rPr>
                <w:sz w:val="18"/>
              </w:rPr>
              <w:t>Weighted Average Cost of Capital; blended required return on debt + equity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9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9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9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