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NIKE, Inc. — Full Valuation Model: Complete Deep-Dive Explanation</w:t>
      </w:r>
    </w:p>
    <w:p>
      <w:r>
        <w:t>This document explains every formula, driver, linkage, and design decision inside the Excel file 'NIKE Valuation strategy.xlsx'. It covers all 10 question-sections of the model, leaving no calculation unexplained.</w:t>
      </w:r>
    </w:p>
    <w:p>
      <w:r>
        <w:t>All monetary figures are in USD thousands (000s) unless stated otherwise. Historical period: FY2015–FY2024 (columns B–K). Forecast period: FY2025–FY2031 (columns L–R).</w:t>
      </w:r>
    </w:p>
    <w:p>
      <w:r>
        <w:br w:type="page"/>
      </w:r>
    </w:p>
    <w:p>
      <w:pPr>
        <w:pStyle w:val="Heading1"/>
      </w:pPr>
      <w:r>
        <w:rPr>
          <w:color w:val="1F497D"/>
        </w:rPr>
        <w:t>Part 1: Structure and Navigation of the Spreadsheet</w:t>
      </w:r>
    </w:p>
    <w:p>
      <w:pPr>
        <w:pStyle w:val="Heading2"/>
      </w:pPr>
      <w:r>
        <w:rPr>
          <w:color w:val="2E74B5"/>
        </w:rPr>
        <w:t>1.1  The Three Sheets</w:t>
      </w:r>
    </w:p>
    <w:p>
      <w:r>
        <w:t>The workbook has three sheets:</w:t>
      </w:r>
    </w:p>
    <w:p>
      <w:pPr>
        <w:pStyle w:val="ListBullet"/>
      </w:pPr>
      <w:r>
        <w:t>'instructions' — course guidance only, no live formulas.</w:t>
      </w:r>
    </w:p>
    <w:p>
      <w:pPr>
        <w:pStyle w:val="ListBullet"/>
      </w:pPr>
      <w:r>
        <w:t>'valuatione' — the full working model (5,000+ non-empty cells). All analysis, forecasting, and valuation is here.</w:t>
      </w:r>
    </w:p>
    <w:p>
      <w:pPr>
        <w:pStyle w:val="ListBullet"/>
      </w:pPr>
      <w:r>
        <w:t>'Sheet1' — a raw Capital IQ data export containing comparable-company financial data used in the multiples section.</w:t>
      </w:r>
    </w:p>
    <w:p>
      <w:pPr>
        <w:pStyle w:val="Heading2"/>
      </w:pPr>
      <w:r>
        <w:rPr>
          <w:color w:val="2E74B5"/>
        </w:rPr>
        <w:t>1.2  The Time Axis (Rows 1–3)</w:t>
      </w:r>
    </w:p>
    <w:p>
      <w:r>
        <w:t>Row 1 stores dates (May 31 of each year, matching NIKE's fiscal year end). Row 2 stores a numeric time index: K2 = 0 (base year FY2024), L2 = 1, M2 = 2, …, R2 = 7. Historical years count backwards: J2 = −1, I2 = −2, etc. Row 3 labels columns as 'Historical' or 'Forecast'.</w:t>
      </w:r>
    </w:p>
    <w:p>
      <w:r>
        <w:t>The time index in row 2 is critical: it is used as the DCF discount exponent in every present-value formula.</w:t>
      </w:r>
    </w:p>
    <w:p>
      <w:pPr>
        <w:pStyle w:val="Heading2"/>
      </w:pPr>
      <w:r>
        <w:rPr>
          <w:color w:val="2E74B5"/>
        </w:rPr>
        <w:t>1.3  The Two Distinct 'Zones' in the Sheet</w:t>
      </w:r>
    </w:p>
    <w:p>
      <w:r>
        <w:t>Rows 1–295: The active model (DCF, comparables, sensitivity, DuPont, cash flow derivation, ratios, ITS, CFADS).</w:t>
      </w:r>
    </w:p>
    <w:p>
      <w:r>
        <w:t>Rows 301–590: Raw Capital IQ data dumps — Income Statement (rows 301–412), Cash Flow Statement (rows 415–478), Balance Sheet (rows 480–590). These are the source of truth for all historical hard-coded numbers.</w:t>
      </w:r>
    </w:p>
    <w:p>
      <w:r>
        <w:t>Rows 320–327: A compact 'drivers table' that contains both the historical observations and the key forecast assumptions. This is where the analyst inputs their assumptions, and every forecast formula throughout the model references back to this table.</w:t>
      </w:r>
    </w:p>
    <w:p>
      <w:pPr>
        <w:pStyle w:val="Heading2"/>
      </w:pPr>
      <w:r>
        <w:rPr>
          <w:color w:val="2E74B5"/>
        </w:rPr>
        <w:t>1.4  The Drivers Table (Rows 320–327)</w:t>
      </w:r>
    </w:p>
    <w:p>
      <w:r>
        <w:t>This is the control panel for the entire forecast. The historical columns (B–K) contain formulas that calculate observed ratios from the raw data. The forecast columns (L–R) contain the analyst's assumptions, either hard-coded or formula-driven glide paths. Every forecast line-item in the Income Statement and Balance Sheet references exactly one of these rows.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Row</w:t>
            </w:r>
          </w:p>
        </w:tc>
        <w:tc>
          <w:tcPr>
            <w:tcW w:type="dxa" w:w="2880"/>
          </w:tcPr>
          <w:p>
            <w:r>
              <w:rPr>
                <w:b/>
              </w:rPr>
              <w:t>Name</w:t>
            </w:r>
          </w:p>
        </w:tc>
        <w:tc>
          <w:tcPr>
            <w:tcW w:type="dxa" w:w="2880"/>
          </w:tcPr>
          <w:p>
            <w:r>
              <w:rPr>
                <w:b/>
              </w:rPr>
              <w:t>Detail</w:t>
            </w:r>
          </w:p>
        </w:tc>
      </w:tr>
      <w:tr>
        <w:tc>
          <w:tcPr>
            <w:tcW w:type="dxa" w:w="2880"/>
          </w:tcPr>
          <w:p>
            <w:r>
              <w:t>Row 320</w:t>
            </w:r>
          </w:p>
        </w:tc>
        <w:tc>
          <w:tcPr>
            <w:tcW w:type="dxa" w:w="2880"/>
          </w:tcPr>
          <w:p>
            <w:r>
              <w:t>Revenue growth rate</w:t>
            </w:r>
          </w:p>
        </w:tc>
        <w:tc>
          <w:tcPr>
            <w:tcW w:type="dxa" w:w="2880"/>
          </w:tcPr>
          <w:p>
            <w:r>
              <w:t>Historical: = this year revenue / last year revenue − 1</w:t>
              <w:br/>
              <w:t>Forecast: glide path from K320 (FY2024 growth) linearly toward R320 = 4% over 7 years.</w:t>
              <w:br/>
              <w:t>Formula: L320 = K320 − (K320 − R320) / 7, M320 = L320 − (K320 − R320) / 7, etc.</w:t>
            </w:r>
          </w:p>
        </w:tc>
      </w:tr>
      <w:tr>
        <w:tc>
          <w:tcPr>
            <w:tcW w:type="dxa" w:w="2880"/>
          </w:tcPr>
          <w:p>
            <w:r>
              <w:t>Row 321</w:t>
            </w:r>
          </w:p>
        </w:tc>
        <w:tc>
          <w:tcPr>
            <w:tcW w:type="dxa" w:w="2880"/>
          </w:tcPr>
          <w:p>
            <w:r>
              <w:t>COGS / Sales ratio</w:t>
            </w:r>
          </w:p>
        </w:tc>
        <w:tc>
          <w:tcPr>
            <w:tcW w:type="dxa" w:w="2880"/>
          </w:tcPr>
          <w:p>
            <w:r>
              <w:t>Historical: = COGS / Revenue</w:t>
              <w:br/>
              <w:t>Forecast: glide path from K321 toward R321 = 51% terminal. Same linear interpolation.</w:t>
            </w:r>
          </w:p>
        </w:tc>
      </w:tr>
      <w:tr>
        <w:tc>
          <w:tcPr>
            <w:tcW w:type="dxa" w:w="2880"/>
          </w:tcPr>
          <w:p>
            <w:r>
              <w:t>Row 322</w:t>
            </w:r>
          </w:p>
        </w:tc>
        <w:tc>
          <w:tcPr>
            <w:tcW w:type="dxa" w:w="2880"/>
          </w:tcPr>
          <w:p>
            <w:r>
              <w:t>Effective corporate tax rate</w:t>
            </w:r>
          </w:p>
        </w:tc>
        <w:tc>
          <w:tcPr>
            <w:tcW w:type="dxa" w:w="2880"/>
          </w:tcPr>
          <w:p>
            <w:r>
              <w:t>Historical: = Income Tax Expense / EBT Incl. Unusual Items</w:t>
              <w:br/>
              <w:t>Forecast: locked at $R$25 = 21% for all years.</w:t>
            </w:r>
          </w:p>
        </w:tc>
      </w:tr>
      <w:tr>
        <w:tc>
          <w:tcPr>
            <w:tcW w:type="dxa" w:w="2880"/>
          </w:tcPr>
          <w:p>
            <w:r>
              <w:t>Row 323</w:t>
            </w:r>
          </w:p>
        </w:tc>
        <w:tc>
          <w:tcPr>
            <w:tcW w:type="dxa" w:w="2880"/>
          </w:tcPr>
          <w:p>
            <w:r>
              <w:t>Book long-term debt to assets ratio</w:t>
            </w:r>
          </w:p>
        </w:tc>
        <w:tc>
          <w:tcPr>
            <w:tcW w:type="dxa" w:w="2880"/>
          </w:tcPr>
          <w:p>
            <w:r>
              <w:t>Historical: = Long-term Debt / Total Assets</w:t>
              <w:br/>
              <w:t>Forecast: hard-coded at 21% for L323:R323. This is the target leverage constraint.</w:t>
            </w:r>
          </w:p>
        </w:tc>
      </w:tr>
      <w:tr>
        <w:tc>
          <w:tcPr>
            <w:tcW w:type="dxa" w:w="2880"/>
          </w:tcPr>
          <w:p>
            <w:r>
              <w:t>Row 324</w:t>
            </w:r>
          </w:p>
        </w:tc>
        <w:tc>
          <w:tcPr>
            <w:tcW w:type="dxa" w:w="2880"/>
          </w:tcPr>
          <w:p>
            <w:r>
              <w:t>Dividend payout %</w:t>
            </w:r>
          </w:p>
        </w:tc>
        <w:tc>
          <w:tcPr>
            <w:tcW w:type="dxa" w:w="2880"/>
          </w:tcPr>
          <w:p>
            <w:r>
              <w:t>Historical: = Total Dividends Paid / Net Income (negative / positive = negative ratio)</w:t>
              <w:br/>
              <w:t>Forecast: hard-coded at −40% (L324:R324 = −0.4). Buybacks = net income × (−40%), and dividends = half of buybacks.</w:t>
            </w:r>
          </w:p>
        </w:tc>
      </w:tr>
      <w:tr>
        <w:tc>
          <w:tcPr>
            <w:tcW w:type="dxa" w:w="2880"/>
          </w:tcPr>
          <w:p>
            <w:r>
              <w:t>Row 325</w:t>
            </w:r>
          </w:p>
        </w:tc>
        <w:tc>
          <w:tcPr>
            <w:tcW w:type="dxa" w:w="2880"/>
          </w:tcPr>
          <w:p>
            <w:r>
              <w:t>Average revenue growth rate</w:t>
            </w:r>
          </w:p>
        </w:tc>
        <w:tc>
          <w:tcPr>
            <w:tcW w:type="dxa" w:w="2880"/>
          </w:tcPr>
          <w:p>
            <w:r>
              <w:t>Observational — AVERAGE(F320:K320). Used for reference only, not in forecast formulas.</w:t>
            </w:r>
          </w:p>
        </w:tc>
      </w:tr>
      <w:tr>
        <w:tc>
          <w:tcPr>
            <w:tcW w:type="dxa" w:w="2880"/>
          </w:tcPr>
          <w:p>
            <w:r>
              <w:t>Row 326</w:t>
            </w:r>
          </w:p>
        </w:tc>
        <w:tc>
          <w:tcPr>
            <w:tcW w:type="dxa" w:w="2880"/>
          </w:tcPr>
          <w:p>
            <w:r>
              <w:t>Average tax rate</w:t>
            </w:r>
          </w:p>
        </w:tc>
        <w:tc>
          <w:tcPr>
            <w:tcW w:type="dxa" w:w="2880"/>
          </w:tcPr>
          <w:p>
            <w:r>
              <w:t>Observational — AVERAGE(F322:K322). Used for reference only.</w:t>
            </w:r>
          </w:p>
        </w:tc>
      </w:tr>
      <w:tr>
        <w:tc>
          <w:tcPr>
            <w:tcW w:type="dxa" w:w="2880"/>
          </w:tcPr>
          <w:p>
            <w:r>
              <w:t>Row 327</w:t>
            </w:r>
          </w:p>
        </w:tc>
        <w:tc>
          <w:tcPr>
            <w:tcW w:type="dxa" w:w="2880"/>
          </w:tcPr>
          <w:p>
            <w:r>
              <w:t>Interest expense as % of IBD</w:t>
            </w:r>
          </w:p>
        </w:tc>
        <w:tc>
          <w:tcPr>
            <w:tcW w:type="dxa" w:w="2880"/>
          </w:tcPr>
          <w:p>
            <w:r>
              <w:t>Historical: = Interest Expense / IBD. All forecast values are hard-coded as −0.02352 (≈ −2.35%). This is NOT used in the forecast interest expense formula — the forecast uses the cost of debt in R26 (4.8%) instead.</w:t>
            </w:r>
          </w:p>
        </w:tc>
      </w:tr>
    </w:tbl>
    <w:p/>
    <w:p>
      <w:r>
        <w:br w:type="page"/>
      </w:r>
    </w:p>
    <w:p>
      <w:pPr>
        <w:pStyle w:val="Heading1"/>
      </w:pPr>
      <w:r>
        <w:rPr>
          <w:color w:val="1F497D"/>
        </w:rPr>
        <w:t>Part 2: The Income Statement Forecast (Rows 337–364)</w:t>
      </w:r>
    </w:p>
    <w:p>
      <w:pPr>
        <w:pStyle w:val="Heading2"/>
      </w:pPr>
      <w:r>
        <w:rPr>
          <w:color w:val="2E74B5"/>
        </w:rPr>
        <w:t>2.1  Revenue (Row 338)</w:t>
      </w:r>
    </w:p>
    <w:p>
      <w:r>
        <w:t>Historical FY2015–FY2024: hard-coded values from Capital IQ (rows 337–338). NIKE's revenue grew from $30.6bn in FY2015 to $51.4bn in FY2024, a CAGR of approximately 5.9%. FY2020 was a notable dip (COVID: $37.4bn vs $39.1bn in FY2019).</w:t>
      </w:r>
    </w:p>
    <w:p>
      <w:r>
        <w:t>Forecast formula for column L: = K338 × (1 + L320). Each forecast year compounds the previous year's revenue by that year's growth rate. Because L320 through R320 form a linear glide path from the FY2024 growth rate down to 4% terminal, revenue growth decelerates smoothly over the 7-year horizon.</w:t>
      </w:r>
    </w:p>
    <w:p>
      <w:r>
        <w:t>Important note: rows 315–317 contain a separate copy of revenue expressed in millions (as downloaded from Capital IQ). Rows 337–338 express the same figures in thousands — the raw data in row 316 is multiplied by 1,000 in row 317 to achieve the conversion.</w:t>
      </w:r>
    </w:p>
    <w:p>
      <w:pPr>
        <w:pStyle w:val="Heading2"/>
      </w:pPr>
      <w:r>
        <w:rPr>
          <w:color w:val="2E74B5"/>
        </w:rPr>
        <w:t>2.2  Cost of Goods Sold (Row 339)</w:t>
      </w:r>
    </w:p>
    <w:p>
      <w:r>
        <w:t>COGS is the largest income statement cost (~54% of revenue historically). Formula: = L321 × L338. The COGS/Sales ratio glides from the FY2024 level (~55.3%) to the terminal assumption of 51% over 7 years, reflecting an assumed margin recovery.</w:t>
      </w:r>
    </w:p>
    <w:p>
      <w:pPr>
        <w:pStyle w:val="Heading2"/>
      </w:pPr>
      <w:r>
        <w:rPr>
          <w:color w:val="2E74B5"/>
        </w:rPr>
        <w:t>2.3  Gross Profit (Row 340)</w:t>
      </w:r>
    </w:p>
    <w:p>
      <w:r>
        <w:t>= Total Revenue − COGS. In the terminal year, gross margin reaches 49% (100% − 51%).</w:t>
      </w:r>
    </w:p>
    <w:p>
      <w:pPr>
        <w:pStyle w:val="Heading2"/>
      </w:pPr>
      <w:r>
        <w:rPr>
          <w:color w:val="2E74B5"/>
        </w:rPr>
        <w:t>2.4  SG&amp;A Excluding Depreciation (Row 342)</w:t>
      </w:r>
    </w:p>
    <w:p>
      <w:r>
        <w:t>This covers all selling, general and administrative expenses excluding D&amp;A — NIKE's second largest cost ($15.4bn in FY2024, 30.0% of revenue). Forecast formula: = K342/K338 × L338. This holds SG&amp;A as a fixed percentage of revenue at the FY2024 ratio and scales it with revenue. There is no glide-path assumption — the SG&amp;A margin is assumed to remain constant at its FY2024 level.</w:t>
      </w:r>
    </w:p>
    <w:p>
      <w:pPr>
        <w:pStyle w:val="Heading2"/>
      </w:pPr>
      <w:r>
        <w:rPr>
          <w:color w:val="2E74B5"/>
        </w:rPr>
        <w:t>2.5  Depreciation and Amortisation (Row 344)</w:t>
      </w:r>
    </w:p>
    <w:p>
      <w:r>
        <w:t>Row 344 pulls its historical values directly from row 437 (the Capital IQ cash flow statement's 'Depreciation &amp; Amort., Total' which includes both regular D&amp;A and goodwill amortisation: FY2024 = $796m). Forecast formula: = K344/K338 × L338 — i.e., D&amp;A is also scaled as a fixed % of revenue from the FY2024 ratio (1.55%).</w:t>
      </w:r>
    </w:p>
    <w:p>
      <w:r>
        <w:t>This same D&amp;A figure (row 344) feeds into: (1) the FCF build-up as the 'Add: D&amp;A' item, (2) the CapEx derivation, and (3) the CFADS calculations.</w:t>
      </w:r>
    </w:p>
    <w:p>
      <w:pPr>
        <w:pStyle w:val="Heading2"/>
      </w:pPr>
      <w:r>
        <w:rPr>
          <w:color w:val="2E74B5"/>
        </w:rPr>
        <w:t>2.6  Total Other Operating Expenses (Row 345)</w:t>
      </w:r>
    </w:p>
    <w:p>
      <w:r>
        <w:t>= SG&amp;A (row 342) + D&amp;A (row 344). This is the combined operating cost line below gross profit.</w:t>
      </w:r>
    </w:p>
    <w:p>
      <w:pPr>
        <w:pStyle w:val="Heading2"/>
      </w:pPr>
      <w:r>
        <w:rPr>
          <w:color w:val="2E74B5"/>
        </w:rPr>
        <w:t>2.7  Operating Income / EBIT (Row 346)</w:t>
      </w:r>
    </w:p>
    <w:p>
      <w:r>
        <w:t>= Gross Profit − Total Other Operating Expenses. Historical EBIT peaked at $7.2bn in FY2021, then declined to $5.9bn in FY2023 before recovering to $6.8bn in FY2024.</w:t>
      </w:r>
    </w:p>
    <w:p>
      <w:pPr>
        <w:pStyle w:val="Heading2"/>
      </w:pPr>
      <w:r>
        <w:rPr>
          <w:color w:val="2E74B5"/>
        </w:rPr>
        <w:t>2.8  Interest Expense (Row 348) — Key Formula</w:t>
      </w:r>
    </w:p>
    <w:p>
      <w:r>
        <w:t>This is one of the most important forecast formulas because it creates a live link between the balance sheet (debt levels) and the income statement.</w:t>
      </w:r>
    </w:p>
    <w:p>
      <w:r>
        <w:t>Forecast formula: = $R$26 × −(K201 + L201) / 2</w:t>
      </w:r>
    </w:p>
    <w:p>
      <w:r>
        <w:t>Unpacking this: R26 = cost of debt = 4.8%. K201 = IBD at end of FY2024. L201 = forecast IBD at end of FY2025. The formula takes the average IBD across the two year-ends and multiplies by the interest rate. The negative sign converts the IBD (positive asset of the debt-holder) into an expense for NIKE (negative). This is the textbook approach to forecasting interest: use the average balance to reflect that debt is outstanding for the full year, not just at year-end.</w:t>
      </w:r>
    </w:p>
    <w:p>
      <w:r>
        <w:t>Why this matters: because IBD (row 201) itself depends on Total Assets (row 518) via the 21% target leverage constraint, and Total Assets depends on revenue growth, there is a circular chain: revenue → assets → debt → interest → net income → retained earnings → equity → assets. Excel's iterative calculation handles this automatically.</w:t>
      </w:r>
    </w:p>
    <w:p>
      <w:pPr>
        <w:pStyle w:val="Heading2"/>
      </w:pPr>
      <w:r>
        <w:rPr>
          <w:color w:val="2E74B5"/>
        </w:rPr>
        <w:t>2.9  Investment Income (Row 349)</w:t>
      </w:r>
    </w:p>
    <w:p>
      <w:r>
        <w:t>Historical values reflect NIKE's interest earned on its large cash and short-term investment balances (peaked at $430m in FY2024 as rates rose). Forecast formula: = K349/K338 × L338 — scaled as % of revenue, holding the FY2024 ratio constant.</w:t>
      </w:r>
    </w:p>
    <w:p>
      <w:pPr>
        <w:pStyle w:val="Heading2"/>
      </w:pPr>
      <w:r>
        <w:rPr>
          <w:color w:val="2E74B5"/>
        </w:rPr>
        <w:t>2.10  Other Non-Operating Items (Rows 351–352)</w:t>
      </w:r>
    </w:p>
    <w:p>
      <w:r>
        <w:t>Row 351 (Currency Exchange Gains) and Row 352 (Other Non-Operating Income): both are set to = 0 for all forecast years. Historical volatility in these lines is unpredictable and they are excluded from the forecast on conservatism grounds.</w:t>
      </w:r>
    </w:p>
    <w:p>
      <w:pPr>
        <w:pStyle w:val="Heading2"/>
      </w:pPr>
      <w:r>
        <w:rPr>
          <w:color w:val="2E74B5"/>
        </w:rPr>
        <w:t>2.11  EBT Excluding Unusual Items (Row 353)</w:t>
      </w:r>
    </w:p>
    <w:p>
      <w:r>
        <w:t>= Operating Income + Interest Expense + Investment Income + FX Gains + Other Non-Op. Since the last two are zeroed in the forecast, this is effectively: EBIT + net interest income/expense.</w:t>
      </w:r>
    </w:p>
    <w:p>
      <w:pPr>
        <w:pStyle w:val="Heading2"/>
      </w:pPr>
      <w:r>
        <w:rPr>
          <w:color w:val="2E74B5"/>
        </w:rPr>
        <w:t>2.12  Restructuring Charges (Row 354)</w:t>
      </w:r>
    </w:p>
    <w:p>
      <w:r>
        <w:t>Historical: NA for most years, −$294m in FY2021, −$443m in FY2024. Forecast formula: = K354 (frozen at the FY2024 value of −$443m for all 7 forecast years). This is a modelling choice — restructuring costs are carried forward rather than excluded from the forecast. This is conservative and slightly unusual; many models would zero this out.</w:t>
      </w:r>
    </w:p>
    <w:p>
      <w:pPr>
        <w:pStyle w:val="Heading2"/>
      </w:pPr>
      <w:r>
        <w:rPr>
          <w:color w:val="2E74B5"/>
        </w:rPr>
        <w:t>2.13  EBT Including Unusual Items (Row 355)</w:t>
      </w:r>
    </w:p>
    <w:p>
      <w:r>
        <w:t>= EBT Excl. Unusual Items + Restructuring Charges.</w:t>
      </w:r>
    </w:p>
    <w:p>
      <w:pPr>
        <w:pStyle w:val="Heading2"/>
      </w:pPr>
      <w:r>
        <w:rPr>
          <w:color w:val="2E74B5"/>
        </w:rPr>
        <w:t>2.14  Income Tax Expense (Row 359)</w:t>
      </w:r>
    </w:p>
    <w:p>
      <w:r>
        <w:t>Forecast formula: = L355 × L322. Where L322 = $R$25 = 21% statutory corporate tax rate. Note: the tax is applied to EBT INCLUDING restructuring charges, which means the tax shield from restructuring is incorporated.</w:t>
      </w:r>
    </w:p>
    <w:p>
      <w:r>
        <w:t>Historical effective tax rates varied widely (9.1% in FY2022 to 55.3% in FY2018 — the FY2018 spike was due to the US Tax Cuts and Jobs Act transition tax). The 21% forecast rate is a simplifying assumption anchored at the US statutory rate.</w:t>
      </w:r>
    </w:p>
    <w:p>
      <w:pPr>
        <w:pStyle w:val="Heading2"/>
      </w:pPr>
      <w:r>
        <w:rPr>
          <w:color w:val="2E74B5"/>
        </w:rPr>
        <w:t>2.15  Net Income (Rows 360–364)</w:t>
      </w:r>
    </w:p>
    <w:p>
      <w:r>
        <w:t>= EBT Incl. Unusual Items − Income Tax. The multiple rows (360, 361, 362, 363, 364) all simply equal each other — they represent Earnings from Continuing Ops., Net Income to Company, Net Income, NI to Common Incl. Extra Items, and NI to Common Excl. Extra Items respectively, all being the same figure in NIKE's case as it has no minorities or discontinued operations.</w:t>
      </w:r>
    </w:p>
    <w:p>
      <w:r>
        <w:br w:type="page"/>
      </w:r>
    </w:p>
    <w:p>
      <w:pPr>
        <w:pStyle w:val="Heading1"/>
      </w:pPr>
      <w:r>
        <w:rPr>
          <w:color w:val="1F497D"/>
        </w:rPr>
        <w:t>Part 3: The Balance Sheet Forecast (Rows 499–541)</w:t>
      </w:r>
    </w:p>
    <w:p>
      <w:pPr>
        <w:pStyle w:val="Heading2"/>
      </w:pPr>
      <w:r>
        <w:rPr>
          <w:color w:val="2E74B5"/>
        </w:rPr>
        <w:t>3.1  Overall Forecasting Approach</w:t>
      </w:r>
    </w:p>
    <w:p>
      <w:r>
        <w:t>There are four different methods used to forecast balance sheet line-items, depending on the nature of the account:</w:t>
      </w:r>
    </w:p>
    <w:p>
      <w:pPr>
        <w:pStyle w:val="ListBullet"/>
      </w:pPr>
      <w:r>
        <w:t>Method A — Scale as % of revenue: = (FY2024 value / FY2024 Revenue) × Forecast Revenue. Used for accounts that naturally grow proportionally with the business (receivables, inventory, prepaid expenses, PP&amp;E, accounts payable, accrued liabilities, etc.).</w:t>
      </w:r>
    </w:p>
    <w:p>
      <w:pPr>
        <w:pStyle w:val="ListBullet"/>
      </w:pPr>
      <w:r>
        <w:t>Method B — Target leverage: = Total Assets × 21%. Used only for Long-term Debt (row 528).</w:t>
      </w:r>
    </w:p>
    <w:p>
      <w:pPr>
        <w:pStyle w:val="ListBullet"/>
      </w:pPr>
      <w:r>
        <w:t>Method C — Frozen at FY2024 level: = K value (prior year). Used for accounts expected to remain stable: Goodwill, Deferred Tax Assets LT, Common Stock, Short-term Borrowings, Current Portion of LT Debt, Comprehensive Income.</w:t>
      </w:r>
    </w:p>
    <w:p>
      <w:pPr>
        <w:pStyle w:val="ListBullet"/>
      </w:pPr>
      <w:r>
        <w:t>Method D — Formula-driven via accounting identity: Cash (row 500) and Retained Earnings (row 537) are derived from the cash flow model rather than scaled directly.</w:t>
      </w:r>
    </w:p>
    <w:p>
      <w:pPr>
        <w:pStyle w:val="Heading2"/>
      </w:pPr>
      <w:r>
        <w:rPr>
          <w:color w:val="2E74B5"/>
        </w:rPr>
        <w:t>3.2  Cash (Row 500) — The Balancing Item</w:t>
      </w:r>
    </w:p>
    <w:p>
      <w:r>
        <w:t>This is the single most important balance sheet formula. Cash in any given forecast year = Cash in prior year + ΔCash. And ΔCash is derived from the full cash flow statement (row 236). Specifically:</w:t>
      </w:r>
    </w:p>
    <w:p>
      <w:r>
        <w:t>L500 = K500 + L236</w:t>
      </w:r>
    </w:p>
    <w:p>
      <w:r>
        <w:t>Where L236 = ΔCash estimated = Operating CF + Investing CF + Financing CF. This formula is what makes the entire model self-consistent: if revenues change, cash flows change, and cash on the balance sheet adjusts accordingly. The balance sheet always balances because cash is the residual.</w:t>
      </w:r>
    </w:p>
    <w:p>
      <w:pPr>
        <w:pStyle w:val="Heading2"/>
      </w:pPr>
      <w:r>
        <w:rPr>
          <w:color w:val="2E74B5"/>
        </w:rPr>
        <w:t>3.3  Current Assets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w:t>
            </w:r>
          </w:p>
        </w:tc>
        <w:tc>
          <w:tcPr>
            <w:tcW w:type="dxa" w:w="2880"/>
          </w:tcPr>
          <w:p>
            <w:r>
              <w:rPr>
                <w:b/>
              </w:rPr>
              <w:t>Method</w:t>
            </w:r>
          </w:p>
        </w:tc>
        <w:tc>
          <w:tcPr>
            <w:tcW w:type="dxa" w:w="2880"/>
          </w:tcPr>
          <w:p>
            <w:r>
              <w:rPr>
                <w:b/>
              </w:rPr>
              <w:t>Note</w:t>
            </w:r>
          </w:p>
        </w:tc>
      </w:tr>
      <w:tr>
        <w:tc>
          <w:tcPr>
            <w:tcW w:type="dxa" w:w="2880"/>
          </w:tcPr>
          <w:p>
            <w:r>
              <w:t>Short-term Investments (501)</w:t>
            </w:r>
          </w:p>
        </w:tc>
        <w:tc>
          <w:tcPr>
            <w:tcW w:type="dxa" w:w="2880"/>
          </w:tcPr>
          <w:p>
            <w:r>
              <w:t>% of revenue</w:t>
            </w:r>
          </w:p>
        </w:tc>
        <w:tc>
          <w:tcPr>
            <w:tcW w:type="dxa" w:w="2880"/>
          </w:tcPr>
          <w:p>
            <w:r>
              <w:t>Scales with revenue; FY2024: $1,722m</w:t>
            </w:r>
          </w:p>
        </w:tc>
      </w:tr>
      <w:tr>
        <w:tc>
          <w:tcPr>
            <w:tcW w:type="dxa" w:w="2880"/>
          </w:tcPr>
          <w:p>
            <w:r>
              <w:t>Accounts Receivable (504)</w:t>
            </w:r>
          </w:p>
        </w:tc>
        <w:tc>
          <w:tcPr>
            <w:tcW w:type="dxa" w:w="2880"/>
          </w:tcPr>
          <w:p>
            <w:r>
              <w:t>% of revenue</w:t>
            </w:r>
          </w:p>
        </w:tc>
        <w:tc>
          <w:tcPr>
            <w:tcW w:type="dxa" w:w="2880"/>
          </w:tcPr>
          <w:p>
            <w:r>
              <w:t>Scales with revenue; FY2024: $4,427m</w:t>
            </w:r>
          </w:p>
        </w:tc>
      </w:tr>
      <w:tr>
        <w:tc>
          <w:tcPr>
            <w:tcW w:type="dxa" w:w="2880"/>
          </w:tcPr>
          <w:p>
            <w:r>
              <w:t>Inventory (507)</w:t>
            </w:r>
          </w:p>
        </w:tc>
        <w:tc>
          <w:tcPr>
            <w:tcW w:type="dxa" w:w="2880"/>
          </w:tcPr>
          <w:p>
            <w:r>
              <w:t>% of revenue</w:t>
            </w:r>
          </w:p>
        </w:tc>
        <w:tc>
          <w:tcPr>
            <w:tcW w:type="dxa" w:w="2880"/>
          </w:tcPr>
          <w:p>
            <w:r>
              <w:t>Scales with revenue; FY2024: $7,519m</w:t>
            </w:r>
          </w:p>
        </w:tc>
      </w:tr>
      <w:tr>
        <w:tc>
          <w:tcPr>
            <w:tcW w:type="dxa" w:w="2880"/>
          </w:tcPr>
          <w:p>
            <w:r>
              <w:t>Prepaid Expenses (508)</w:t>
            </w:r>
          </w:p>
        </w:tc>
        <w:tc>
          <w:tcPr>
            <w:tcW w:type="dxa" w:w="2880"/>
          </w:tcPr>
          <w:p>
            <w:r>
              <w:t>% of revenue</w:t>
            </w:r>
          </w:p>
        </w:tc>
        <w:tc>
          <w:tcPr>
            <w:tcW w:type="dxa" w:w="2880"/>
          </w:tcPr>
          <w:p>
            <w:r>
              <w:t>Scales with revenue; FY2024: $1,224m</w:t>
            </w:r>
          </w:p>
        </w:tc>
      </w:tr>
      <w:tr>
        <w:tc>
          <w:tcPr>
            <w:tcW w:type="dxa" w:w="2880"/>
          </w:tcPr>
          <w:p>
            <w:r>
              <w:t>Other Current Assets (509)</w:t>
            </w:r>
          </w:p>
        </w:tc>
        <w:tc>
          <w:tcPr>
            <w:tcW w:type="dxa" w:w="2880"/>
          </w:tcPr>
          <w:p>
            <w:r>
              <w:t>Frozen at K509</w:t>
            </w:r>
          </w:p>
        </w:tc>
        <w:tc>
          <w:tcPr>
            <w:tcW w:type="dxa" w:w="2880"/>
          </w:tcPr>
          <w:p>
            <w:r>
              <w:t>Frozen; FY2024: $630m</w:t>
            </w:r>
          </w:p>
        </w:tc>
      </w:tr>
      <w:tr>
        <w:tc>
          <w:tcPr>
            <w:tcW w:type="dxa" w:w="2880"/>
          </w:tcPr>
          <w:p>
            <w:r>
              <w:t>Trading Asset Securities (502)</w:t>
            </w:r>
          </w:p>
        </w:tc>
        <w:tc>
          <w:tcPr>
            <w:tcW w:type="dxa" w:w="2880"/>
          </w:tcPr>
          <w:p>
            <w:r>
              <w:t>= 0</w:t>
            </w:r>
          </w:p>
        </w:tc>
        <w:tc>
          <w:tcPr>
            <w:tcW w:type="dxa" w:w="2880"/>
          </w:tcPr>
          <w:p>
            <w:r>
              <w:t>Set to zero; negligible/NA from FY2017 onwards</w:t>
            </w:r>
          </w:p>
        </w:tc>
      </w:tr>
      <w:tr>
        <w:tc>
          <w:tcPr>
            <w:tcW w:type="dxa" w:w="2880"/>
          </w:tcPr>
          <w:p>
            <w:r>
              <w:t>Notes Receivable (505)</w:t>
            </w:r>
          </w:p>
        </w:tc>
        <w:tc>
          <w:tcPr>
            <w:tcW w:type="dxa" w:w="2880"/>
          </w:tcPr>
          <w:p>
            <w:r>
              <w:t>= 0</w:t>
            </w:r>
          </w:p>
        </w:tc>
        <w:tc>
          <w:tcPr>
            <w:tcW w:type="dxa" w:w="2880"/>
          </w:tcPr>
          <w:p>
            <w:r>
              <w:t>Set to zero; only existed in FY2015</w:t>
            </w:r>
          </w:p>
        </w:tc>
      </w:tr>
      <w:tr>
        <w:tc>
          <w:tcPr>
            <w:tcW w:type="dxa" w:w="2880"/>
          </w:tcPr>
          <w:p>
            <w:r>
              <w:t>Total Current Assets (510)</w:t>
            </w:r>
          </w:p>
        </w:tc>
        <w:tc>
          <w:tcPr>
            <w:tcW w:type="dxa" w:w="2880"/>
          </w:tcPr>
          <w:p>
            <w:r>
              <w:t>=SUM of above</w:t>
            </w:r>
          </w:p>
        </w:tc>
        <w:tc>
          <w:tcPr>
            <w:tcW w:type="dxa" w:w="2880"/>
          </w:tcPr>
          <w:p>
            <w:r>
              <w:t>Formula: SUM(receivables+inventory+prepaid+other+cash&amp;ST investments)</w:t>
            </w:r>
          </w:p>
        </w:tc>
      </w:tr>
    </w:tbl>
    <w:p/>
    <w:p>
      <w:pPr>
        <w:pStyle w:val="Heading2"/>
      </w:pPr>
      <w:r>
        <w:rPr>
          <w:color w:val="2E74B5"/>
        </w:rPr>
        <w:t>3.4  Non-Current Assets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w:t>
            </w:r>
          </w:p>
        </w:tc>
        <w:tc>
          <w:tcPr>
            <w:tcW w:type="dxa" w:w="2880"/>
          </w:tcPr>
          <w:p>
            <w:r>
              <w:rPr>
                <w:b/>
              </w:rPr>
              <w:t>Method</w:t>
            </w:r>
          </w:p>
        </w:tc>
        <w:tc>
          <w:tcPr>
            <w:tcW w:type="dxa" w:w="2880"/>
          </w:tcPr>
          <w:p>
            <w:r>
              <w:rPr>
                <w:b/>
              </w:rPr>
              <w:t>Note</w:t>
            </w:r>
          </w:p>
        </w:tc>
      </w:tr>
      <w:tr>
        <w:tc>
          <w:tcPr>
            <w:tcW w:type="dxa" w:w="2880"/>
          </w:tcPr>
          <w:p>
            <w:r>
              <w:t>Gross PP&amp;E (511)</w:t>
            </w:r>
          </w:p>
        </w:tc>
        <w:tc>
          <w:tcPr>
            <w:tcW w:type="dxa" w:w="2880"/>
          </w:tcPr>
          <w:p>
            <w:r>
              <w:t>% of revenue</w:t>
            </w:r>
          </w:p>
        </w:tc>
        <w:tc>
          <w:tcPr>
            <w:tcW w:type="dxa" w:w="2880"/>
          </w:tcPr>
          <w:p>
            <w:r>
              <w:t>Scales proportionally; FY2024: $13,632m</w:t>
            </w:r>
          </w:p>
        </w:tc>
      </w:tr>
      <w:tr>
        <w:tc>
          <w:tcPr>
            <w:tcW w:type="dxa" w:w="2880"/>
          </w:tcPr>
          <w:p>
            <w:r>
              <w:t>Accumulated Depreciation (512)</w:t>
            </w:r>
          </w:p>
        </w:tc>
        <w:tc>
          <w:tcPr>
            <w:tcW w:type="dxa" w:w="2880"/>
          </w:tcPr>
          <w:p>
            <w:r>
              <w:t>% of revenue</w:t>
            </w:r>
          </w:p>
        </w:tc>
        <w:tc>
          <w:tcPr>
            <w:tcW w:type="dxa" w:w="2880"/>
          </w:tcPr>
          <w:p>
            <w:r>
              <w:t>Negative balance, scales proportionally; FY2024: −$5,914m</w:t>
            </w:r>
          </w:p>
        </w:tc>
      </w:tr>
      <w:tr>
        <w:tc>
          <w:tcPr>
            <w:tcW w:type="dxa" w:w="2880"/>
          </w:tcPr>
          <w:p>
            <w:r>
              <w:t>Net PP&amp;E (513)</w:t>
            </w:r>
          </w:p>
        </w:tc>
        <w:tc>
          <w:tcPr>
            <w:tcW w:type="dxa" w:w="2880"/>
          </w:tcPr>
          <w:p>
            <w:r>
              <w:t>% of revenue in col L only; then hard-coded</w:t>
            </w:r>
          </w:p>
        </w:tc>
        <w:tc>
          <w:tcPr>
            <w:tcW w:type="dxa" w:w="2880"/>
          </w:tcPr>
          <w:p>
            <w:r>
              <w:t>Col L formula is =K513/K338*L338 but cols M–R are hard-coded at 7,885,490 with a 'Hard coded' note in col S. This is a known manual override in the model.</w:t>
            </w:r>
          </w:p>
        </w:tc>
      </w:tr>
      <w:tr>
        <w:tc>
          <w:tcPr>
            <w:tcW w:type="dxa" w:w="2880"/>
          </w:tcPr>
          <w:p>
            <w:r>
              <w:t>Goodwill (514)</w:t>
            </w:r>
          </w:p>
        </w:tc>
        <w:tc>
          <w:tcPr>
            <w:tcW w:type="dxa" w:w="2880"/>
          </w:tcPr>
          <w:p>
            <w:r>
              <w:t>Frozen at K514</w:t>
            </w:r>
          </w:p>
        </w:tc>
        <w:tc>
          <w:tcPr>
            <w:tcW w:type="dxa" w:w="2880"/>
          </w:tcPr>
          <w:p>
            <w:r>
              <w:t>= $240m for all forecast years</w:t>
            </w:r>
          </w:p>
        </w:tc>
      </w:tr>
      <w:tr>
        <w:tc>
          <w:tcPr>
            <w:tcW w:type="dxa" w:w="2880"/>
          </w:tcPr>
          <w:p>
            <w:r>
              <w:t>Other Intangibles (515)</w:t>
            </w:r>
          </w:p>
        </w:tc>
        <w:tc>
          <w:tcPr>
            <w:tcW w:type="dxa" w:w="2880"/>
          </w:tcPr>
          <w:p>
            <w:r>
              <w:t>% of revenue</w:t>
            </w:r>
          </w:p>
        </w:tc>
        <w:tc>
          <w:tcPr>
            <w:tcW w:type="dxa" w:w="2880"/>
          </w:tcPr>
          <w:p>
            <w:r>
              <w:t>Scales; FY2024: $259m</w:t>
            </w:r>
          </w:p>
        </w:tc>
      </w:tr>
      <w:tr>
        <w:tc>
          <w:tcPr>
            <w:tcW w:type="dxa" w:w="2880"/>
          </w:tcPr>
          <w:p>
            <w:r>
              <w:t>Deferred Tax Assets LT (516)</w:t>
            </w:r>
          </w:p>
        </w:tc>
        <w:tc>
          <w:tcPr>
            <w:tcW w:type="dxa" w:w="2880"/>
          </w:tcPr>
          <w:p>
            <w:r>
              <w:t>Frozen at K516</w:t>
            </w:r>
          </w:p>
        </w:tc>
        <w:tc>
          <w:tcPr>
            <w:tcW w:type="dxa" w:w="2880"/>
          </w:tcPr>
          <w:p>
            <w:r>
              <w:t>= $2,465m for all forecast years</w:t>
            </w:r>
          </w:p>
        </w:tc>
      </w:tr>
      <w:tr>
        <w:tc>
          <w:tcPr>
            <w:tcW w:type="dxa" w:w="2880"/>
          </w:tcPr>
          <w:p>
            <w:r>
              <w:t>Other Long-term Assets (517)</w:t>
            </w:r>
          </w:p>
        </w:tc>
        <w:tc>
          <w:tcPr>
            <w:tcW w:type="dxa" w:w="2880"/>
          </w:tcPr>
          <w:p>
            <w:r>
              <w:t>% of revenue</w:t>
            </w:r>
          </w:p>
        </w:tc>
        <w:tc>
          <w:tcPr>
            <w:tcW w:type="dxa" w:w="2880"/>
          </w:tcPr>
          <w:p>
            <w:r>
              <w:t>Scales; FY2024: $2,046m</w:t>
            </w:r>
          </w:p>
        </w:tc>
      </w:tr>
      <w:tr>
        <w:tc>
          <w:tcPr>
            <w:tcW w:type="dxa" w:w="2880"/>
          </w:tcPr>
          <w:p>
            <w:r>
              <w:t>Total Assets (518)</w:t>
            </w:r>
          </w:p>
        </w:tc>
        <w:tc>
          <w:tcPr>
            <w:tcW w:type="dxa" w:w="2880"/>
          </w:tcPr>
          <w:p>
            <w:r>
              <w:t>= SUM(Net PP&amp;E:Other LTA, Current Assets)</w:t>
            </w:r>
          </w:p>
        </w:tc>
        <w:tc>
          <w:tcPr>
            <w:tcW w:type="dxa" w:w="2880"/>
          </w:tcPr>
          <w:p>
            <w:r/>
          </w:p>
        </w:tc>
      </w:tr>
    </w:tbl>
    <w:p/>
    <w:p>
      <w:pPr>
        <w:pStyle w:val="Heading2"/>
      </w:pPr>
      <w:r>
        <w:rPr>
          <w:color w:val="2E74B5"/>
        </w:rPr>
        <w:t>3.5  Current Liabilities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w:t>
            </w:r>
          </w:p>
        </w:tc>
        <w:tc>
          <w:tcPr>
            <w:tcW w:type="dxa" w:w="2880"/>
          </w:tcPr>
          <w:p>
            <w:r>
              <w:rPr>
                <w:b/>
              </w:rPr>
              <w:t>Method</w:t>
            </w:r>
          </w:p>
        </w:tc>
        <w:tc>
          <w:tcPr>
            <w:tcW w:type="dxa" w:w="2880"/>
          </w:tcPr>
          <w:p>
            <w:r>
              <w:rPr>
                <w:b/>
              </w:rPr>
              <w:t>Note</w:t>
            </w:r>
          </w:p>
        </w:tc>
      </w:tr>
      <w:tr>
        <w:tc>
          <w:tcPr>
            <w:tcW w:type="dxa" w:w="2880"/>
          </w:tcPr>
          <w:p>
            <w:r>
              <w:t>Accounts Payable (520)</w:t>
            </w:r>
          </w:p>
        </w:tc>
        <w:tc>
          <w:tcPr>
            <w:tcW w:type="dxa" w:w="2880"/>
          </w:tcPr>
          <w:p>
            <w:r>
              <w:t>% of revenue</w:t>
            </w:r>
          </w:p>
        </w:tc>
        <w:tc>
          <w:tcPr>
            <w:tcW w:type="dxa" w:w="2880"/>
          </w:tcPr>
          <w:p>
            <w:r>
              <w:t>FY2024: $2,851m</w:t>
            </w:r>
          </w:p>
        </w:tc>
      </w:tr>
      <w:tr>
        <w:tc>
          <w:tcPr>
            <w:tcW w:type="dxa" w:w="2880"/>
          </w:tcPr>
          <w:p>
            <w:r>
              <w:t>Accrued Expenses (521)</w:t>
            </w:r>
          </w:p>
        </w:tc>
        <w:tc>
          <w:tcPr>
            <w:tcW w:type="dxa" w:w="2880"/>
          </w:tcPr>
          <w:p>
            <w:r>
              <w:t>% of revenue</w:t>
            </w:r>
          </w:p>
        </w:tc>
        <w:tc>
          <w:tcPr>
            <w:tcW w:type="dxa" w:w="2880"/>
          </w:tcPr>
          <w:p>
            <w:r>
              <w:t>FY2024: $3,880m</w:t>
            </w:r>
          </w:p>
        </w:tc>
      </w:tr>
      <w:tr>
        <w:tc>
          <w:tcPr>
            <w:tcW w:type="dxa" w:w="2880"/>
          </w:tcPr>
          <w:p>
            <w:r>
              <w:t>Short-term Borrowings (522)</w:t>
            </w:r>
          </w:p>
        </w:tc>
        <w:tc>
          <w:tcPr>
            <w:tcW w:type="dxa" w:w="2880"/>
          </w:tcPr>
          <w:p>
            <w:r>
              <w:t>Frozen at K522</w:t>
            </w:r>
          </w:p>
        </w:tc>
        <w:tc>
          <w:tcPr>
            <w:tcW w:type="dxa" w:w="2880"/>
          </w:tcPr>
          <w:p>
            <w:r>
              <w:t>= $6m</w:t>
            </w:r>
          </w:p>
        </w:tc>
      </w:tr>
      <w:tr>
        <w:tc>
          <w:tcPr>
            <w:tcW w:type="dxa" w:w="2880"/>
          </w:tcPr>
          <w:p>
            <w:r>
              <w:t>Current Portion of LT Debt (523)</w:t>
            </w:r>
          </w:p>
        </w:tc>
        <w:tc>
          <w:tcPr>
            <w:tcW w:type="dxa" w:w="2880"/>
          </w:tcPr>
          <w:p>
            <w:r>
              <w:t>Frozen at K523</w:t>
            </w:r>
          </w:p>
        </w:tc>
        <w:tc>
          <w:tcPr>
            <w:tcW w:type="dxa" w:w="2880"/>
          </w:tcPr>
          <w:p>
            <w:r>
              <w:t>= $1,000m (FY2024 had a large current maturity)</w:t>
            </w:r>
          </w:p>
        </w:tc>
      </w:tr>
      <w:tr>
        <w:tc>
          <w:tcPr>
            <w:tcW w:type="dxa" w:w="2880"/>
          </w:tcPr>
          <w:p>
            <w:r>
              <w:t>Current Portion of Leases (524)</w:t>
            </w:r>
          </w:p>
        </w:tc>
        <w:tc>
          <w:tcPr>
            <w:tcW w:type="dxa" w:w="2880"/>
          </w:tcPr>
          <w:p>
            <w:r>
              <w:t>% of revenue</w:t>
            </w:r>
          </w:p>
        </w:tc>
        <w:tc>
          <w:tcPr>
            <w:tcW w:type="dxa" w:w="2880"/>
          </w:tcPr>
          <w:p>
            <w:r>
              <w:t>FY2024: $477m</w:t>
            </w:r>
          </w:p>
        </w:tc>
      </w:tr>
      <w:tr>
        <w:tc>
          <w:tcPr>
            <w:tcW w:type="dxa" w:w="2880"/>
          </w:tcPr>
          <w:p>
            <w:r>
              <w:t>Current Income Taxes Payable (525)</w:t>
            </w:r>
          </w:p>
        </w:tc>
        <w:tc>
          <w:tcPr>
            <w:tcW w:type="dxa" w:w="2880"/>
          </w:tcPr>
          <w:p>
            <w:r>
              <w:t>% of revenue</w:t>
            </w:r>
          </w:p>
        </w:tc>
        <w:tc>
          <w:tcPr>
            <w:tcW w:type="dxa" w:w="2880"/>
          </w:tcPr>
          <w:p>
            <w:r>
              <w:t>FY2024: $534m</w:t>
            </w:r>
          </w:p>
        </w:tc>
      </w:tr>
      <w:tr>
        <w:tc>
          <w:tcPr>
            <w:tcW w:type="dxa" w:w="2880"/>
          </w:tcPr>
          <w:p>
            <w:r>
              <w:t>Other Current Liabilities (526)</w:t>
            </w:r>
          </w:p>
        </w:tc>
        <w:tc>
          <w:tcPr>
            <w:tcW w:type="dxa" w:w="2880"/>
          </w:tcPr>
          <w:p>
            <w:r>
              <w:t>% of revenue</w:t>
            </w:r>
          </w:p>
        </w:tc>
        <w:tc>
          <w:tcPr>
            <w:tcW w:type="dxa" w:w="2880"/>
          </w:tcPr>
          <w:p>
            <w:r>
              <w:t>FY2024: $1,845m</w:t>
            </w:r>
          </w:p>
        </w:tc>
      </w:tr>
      <w:tr>
        <w:tc>
          <w:tcPr>
            <w:tcW w:type="dxa" w:w="2880"/>
          </w:tcPr>
          <w:p>
            <w:r>
              <w:t>Total Current Liabilities (527)</w:t>
            </w:r>
          </w:p>
        </w:tc>
        <w:tc>
          <w:tcPr>
            <w:tcW w:type="dxa" w:w="2880"/>
          </w:tcPr>
          <w:p>
            <w:r>
              <w:t>= SUM of all above</w:t>
            </w:r>
          </w:p>
        </w:tc>
        <w:tc>
          <w:tcPr>
            <w:tcW w:type="dxa" w:w="2880"/>
          </w:tcPr>
          <w:p>
            <w:r/>
          </w:p>
        </w:tc>
      </w:tr>
    </w:tbl>
    <w:p/>
    <w:p>
      <w:pPr>
        <w:pStyle w:val="Heading2"/>
      </w:pPr>
      <w:r>
        <w:rPr>
          <w:color w:val="2E74B5"/>
        </w:rPr>
        <w:t>3.6  Non-Current Liabilities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w:t>
            </w:r>
          </w:p>
        </w:tc>
        <w:tc>
          <w:tcPr>
            <w:tcW w:type="dxa" w:w="2880"/>
          </w:tcPr>
          <w:p>
            <w:r>
              <w:rPr>
                <w:b/>
              </w:rPr>
              <w:t>Method</w:t>
            </w:r>
          </w:p>
        </w:tc>
        <w:tc>
          <w:tcPr>
            <w:tcW w:type="dxa" w:w="2880"/>
          </w:tcPr>
          <w:p>
            <w:r>
              <w:rPr>
                <w:b/>
              </w:rPr>
              <w:t>Note</w:t>
            </w:r>
          </w:p>
        </w:tc>
      </w:tr>
      <w:tr>
        <w:tc>
          <w:tcPr>
            <w:tcW w:type="dxa" w:w="2880"/>
          </w:tcPr>
          <w:p>
            <w:r>
              <w:t>Long-term Debt (528)</w:t>
            </w:r>
          </w:p>
        </w:tc>
        <w:tc>
          <w:tcPr>
            <w:tcW w:type="dxa" w:w="2880"/>
          </w:tcPr>
          <w:p>
            <w:r>
              <w:t>Target leverage = 21% × Total Assets</w:t>
            </w:r>
          </w:p>
        </w:tc>
        <w:tc>
          <w:tcPr>
            <w:tcW w:type="dxa" w:w="2880"/>
          </w:tcPr>
          <w:p>
            <w:r>
              <w:t>The single most important liability formula. L528 = K518 × K323 = Total Assets × 0.21. This locks the long-term debt-to-assets ratio at the target level (21%). As assets grow with revenue, long-term debt grows proportionally.</w:t>
            </w:r>
          </w:p>
        </w:tc>
      </w:tr>
      <w:tr>
        <w:tc>
          <w:tcPr>
            <w:tcW w:type="dxa" w:w="2880"/>
          </w:tcPr>
          <w:p>
            <w:r>
              <w:t>Long-term Leases (529)</w:t>
            </w:r>
          </w:p>
        </w:tc>
        <w:tc>
          <w:tcPr>
            <w:tcW w:type="dxa" w:w="2880"/>
          </w:tcPr>
          <w:p>
            <w:r>
              <w:t>% of revenue</w:t>
            </w:r>
          </w:p>
        </w:tc>
        <w:tc>
          <w:tcPr>
            <w:tcW w:type="dxa" w:w="2880"/>
          </w:tcPr>
          <w:p>
            <w:r>
              <w:t>FY2024: $2,566m</w:t>
            </w:r>
          </w:p>
        </w:tc>
      </w:tr>
      <w:tr>
        <w:tc>
          <w:tcPr>
            <w:tcW w:type="dxa" w:w="2880"/>
          </w:tcPr>
          <w:p>
            <w:r>
              <w:t>Pension &amp; Post-Retirement (530)</w:t>
            </w:r>
          </w:p>
        </w:tc>
        <w:tc>
          <w:tcPr>
            <w:tcW w:type="dxa" w:w="2880"/>
          </w:tcPr>
          <w:p>
            <w:r>
              <w:t>= 0</w:t>
            </w:r>
          </w:p>
        </w:tc>
        <w:tc>
          <w:tcPr>
            <w:tcW w:type="dxa" w:w="2880"/>
          </w:tcPr>
          <w:p>
            <w:r>
              <w:t>Set to zero; NIKE has been phasing these out (NA from FY2019–FY2022)</w:t>
            </w:r>
          </w:p>
        </w:tc>
      </w:tr>
      <w:tr>
        <w:tc>
          <w:tcPr>
            <w:tcW w:type="dxa" w:w="2880"/>
          </w:tcPr>
          <w:p>
            <w:r>
              <w:t>Deferred Tax Liability Non-Current (531)</w:t>
            </w:r>
          </w:p>
        </w:tc>
        <w:tc>
          <w:tcPr>
            <w:tcW w:type="dxa" w:w="2880"/>
          </w:tcPr>
          <w:p>
            <w:r>
              <w:t>% of revenue</w:t>
            </w:r>
          </w:p>
        </w:tc>
        <w:tc>
          <w:tcPr>
            <w:tcW w:type="dxa" w:w="2880"/>
          </w:tcPr>
          <w:p>
            <w:r>
              <w:t>FY2024: $145m</w:t>
            </w:r>
          </w:p>
        </w:tc>
      </w:tr>
      <w:tr>
        <w:tc>
          <w:tcPr>
            <w:tcW w:type="dxa" w:w="2880"/>
          </w:tcPr>
          <w:p>
            <w:r>
              <w:t>Other Non-Current Liabilities (532)</w:t>
            </w:r>
          </w:p>
        </w:tc>
        <w:tc>
          <w:tcPr>
            <w:tcW w:type="dxa" w:w="2880"/>
          </w:tcPr>
          <w:p>
            <w:r>
              <w:t>% of revenue</w:t>
            </w:r>
          </w:p>
        </w:tc>
        <w:tc>
          <w:tcPr>
            <w:tcW w:type="dxa" w:w="2880"/>
          </w:tcPr>
          <w:p>
            <w:r>
              <w:t>FY2024: $2,442m</w:t>
            </w:r>
          </w:p>
        </w:tc>
      </w:tr>
      <w:tr>
        <w:tc>
          <w:tcPr>
            <w:tcW w:type="dxa" w:w="2880"/>
          </w:tcPr>
          <w:p>
            <w:r>
              <w:t>Total Liabilities (533)</w:t>
            </w:r>
          </w:p>
        </w:tc>
        <w:tc>
          <w:tcPr>
            <w:tcW w:type="dxa" w:w="2880"/>
          </w:tcPr>
          <w:p>
            <w:r>
              <w:t>= SUM of all liabilities</w:t>
            </w:r>
          </w:p>
        </w:tc>
        <w:tc>
          <w:tcPr>
            <w:tcW w:type="dxa" w:w="2880"/>
          </w:tcPr>
          <w:p>
            <w:r/>
          </w:p>
        </w:tc>
      </w:tr>
    </w:tbl>
    <w:p/>
    <w:p>
      <w:pPr>
        <w:pStyle w:val="Heading2"/>
      </w:pPr>
      <w:r>
        <w:rPr>
          <w:color w:val="2E74B5"/>
        </w:rPr>
        <w:t>3.7  Equity Section</w:t>
      </w:r>
    </w:p>
    <w:p>
      <w:r>
        <w:t>The equity section is the most complex part of the balance sheet because it must reconcile with the income statement, dividends, buybacks, and new share issuances.</w:t>
      </w:r>
    </w:p>
    <w:p>
      <w:pPr>
        <w:pStyle w:val="Heading3"/>
      </w:pPr>
      <w:r>
        <w:t>Common Stock (Row 535)</w:t>
      </w:r>
    </w:p>
    <w:p>
      <w:r>
        <w:t>Frozen at K535 = $3m for all forecast years. NIKE's common stock par value is negligible and effectively constant.</w:t>
      </w:r>
    </w:p>
    <w:p>
      <w:pPr>
        <w:pStyle w:val="Heading3"/>
      </w:pPr>
      <w:r>
        <w:t>Additional Paid-in Capital / APIC (Row 536)</w:t>
      </w:r>
    </w:p>
    <w:p>
      <w:r>
        <w:t>APIC grows each year by: stock option/RSU exercises (row 459 = equity issuances) plus stock-based compensation expense (row 460 note: this appears to be the SBC credit, but looking at the formula: L536 = K536 + L460 + L459).</w:t>
      </w:r>
    </w:p>
    <w:p>
      <w:r>
        <w:t>L536 = K536 + L460 + L459</w:t>
      </w:r>
    </w:p>
    <w:p>
      <w:r>
        <w:t>Where: L460 = buybacks = net income × (−40%) — this is negative, so buybacks REDUCE APIC. L459 = equity issuances = K459 = $667m (frozen at FY2024 level — this represents proceeds from employee stock option exercises).</w:t>
      </w:r>
    </w:p>
    <w:p>
      <w:r>
        <w:t>This means the net change in APIC each year = equity issuances − buybacks. Since buybacks are typically much larger than option proceeds, APIC usually declines year-on-year.</w:t>
      </w:r>
    </w:p>
    <w:p>
      <w:pPr>
        <w:pStyle w:val="Heading3"/>
      </w:pPr>
      <w:r>
        <w:t>Retained Earnings (Row 537)</w:t>
      </w:r>
    </w:p>
    <w:p>
      <w:r>
        <w:t>The retained earnings formula explicitly accumulates: L537 = L361 + L464 + K537</w:t>
      </w:r>
    </w:p>
    <w:p>
      <w:r>
        <w:t>Which is: Net Income + Total Dividends Paid (negative) + Prior Year Retained Earnings.</w:t>
      </w:r>
    </w:p>
    <w:p>
      <w:r>
        <w:t>Dividends are negative (cash outflow), so RE grows by NI each year and shrinks by the dividend payment. Note that buybacks are NOT deducted from retained earnings — they go through APIC instead. This is the standard US GAAP treatment where buybacks reduce APIC (to the extent of original issuance cost) and then retained earnings.</w:t>
      </w:r>
    </w:p>
    <w:p>
      <w:pPr>
        <w:pStyle w:val="Heading3"/>
      </w:pPr>
      <w:r>
        <w:t>Comprehensive Income and Other (Row 538)</w:t>
      </w:r>
    </w:p>
    <w:p>
      <w:r>
        <w:t>Frozen at K538 = $53m. This represents accumulated other comprehensive income (AOCI) — foreign currency translation adjustments, unrealised gains/losses on hedges etc. Held constant in the forecast.</w:t>
      </w:r>
    </w:p>
    <w:p>
      <w:pPr>
        <w:pStyle w:val="Heading3"/>
      </w:pPr>
      <w:r>
        <w:t>Total Common Equity (Row 539)</w:t>
      </w:r>
    </w:p>
    <w:p>
      <w:r>
        <w:t>= Common Stock + APIC + Retained Earnings + AOCI. This builds up year by year through the retained earnings and APIC mechanisms above.</w:t>
      </w:r>
    </w:p>
    <w:p>
      <w:pPr>
        <w:pStyle w:val="Heading3"/>
      </w:pPr>
      <w:r>
        <w:t>Total Liabilities and Equity (Row 541)</w:t>
      </w:r>
    </w:p>
    <w:p>
      <w:r>
        <w:t>= Total Liabilities + Total Equity. Row 194 contains a check: = Total Assets − (Liabilities + Equity). If the model is consistent, this should equal zero. Any non-zero value in row 194 indicates a modelling error. The analyst can also check row 204 and row 215 which provide additional reconciliation checks at the change level.</w:t>
      </w:r>
    </w:p>
    <w:p>
      <w:r>
        <w:br w:type="page"/>
      </w:r>
    </w:p>
    <w:p>
      <w:pPr>
        <w:pStyle w:val="Heading1"/>
      </w:pPr>
      <w:r>
        <w:rPr>
          <w:color w:val="1F497D"/>
        </w:rPr>
        <w:t>Part 4: The Cash Flow Model (Question 8, Rows 189–236)</w:t>
      </w:r>
    </w:p>
    <w:p>
      <w:pPr>
        <w:pStyle w:val="Heading2"/>
      </w:pPr>
      <w:r>
        <w:rPr>
          <w:color w:val="2E74B5"/>
        </w:rPr>
        <w:t>4.1  The Philosophy: Deriving Cash Flow from Balance Sheet Changes</w:t>
      </w:r>
    </w:p>
    <w:p>
      <w:r>
        <w:t>Rather than using the Capital IQ reported cash flow statement (which is available for historical years), the model derives all cash flows algebraically from the changes in balance sheet accounts. This is the academically rigorous approach because it guarantees that the cash flow statement and balance sheet are always consistent with each other.</w:t>
      </w:r>
    </w:p>
    <w:p>
      <w:r>
        <w:t>The conceptual equation is: ΔCash = ΔAssets − ΔLiabilities − ΔEquity ... but rearranged into: ΔCash = −ΔNon-cash assets + ΔLiabilities + ΔEquity</w:t>
      </w:r>
    </w:p>
    <w:p>
      <w:pPr>
        <w:pStyle w:val="Heading2"/>
      </w:pPr>
      <w:r>
        <w:rPr>
          <w:color w:val="2E74B5"/>
        </w:rPr>
        <w:t>4.2  Working Capital Definition</w:t>
      </w:r>
    </w:p>
    <w:p>
      <w:r>
        <w:t>Net Operating Working Capital (NOWC) is defined as: ΔNOWC = ΔCurrentAssetsExclCash − ΔCurrentLiabilitiesExclIBD + ΔNonCurrentAssetsExclPPEAndIntangibles − ΔNCLExclIBD</w:t>
      </w:r>
    </w:p>
    <w:p>
      <w:r>
        <w:t>Current Assets Excl. Cash (row 196) = ST Investments + AR + Inventory + Prepaid + Other Current Assets.</w:t>
      </w:r>
    </w:p>
    <w:p>
      <w:r>
        <w:t>Current Liabilities Excl. IBD (row 197) = AP + Accrued Expenses + Other CL + Current Taxes Payable (rows 520, 521, 526, 525 — note this EXCLUDES the interest-bearing items: short-term borrowings 522, current portion of LT debt 523, current leases 524).</w:t>
      </w:r>
    </w:p>
    <w:p>
      <w:r>
        <w:t>The NOWC change (row 230) is used as the 'Less: ΔWC' item in the FCF build-up.</w:t>
      </w:r>
    </w:p>
    <w:p>
      <w:pPr>
        <w:pStyle w:val="Heading2"/>
      </w:pPr>
      <w:r>
        <w:rPr>
          <w:color w:val="2E74B5"/>
        </w:rPr>
        <w:t>4.3  CapEx Derivation (Row 231)</w:t>
      </w:r>
    </w:p>
    <w:p>
      <w:r>
        <w:t>CapEx is NOT taken directly from the Capital IQ cash flow statement. Instead, it is derived from the balance sheet:</w:t>
      </w:r>
    </w:p>
    <w:p>
      <w:r>
        <w:t>CapEx = ΔPPEAndIntangibles + D&amp;A − ΔReserves</w:t>
      </w:r>
    </w:p>
    <w:p>
      <w:r>
        <w:t>Where ΔPPEAndIntangibles (row 209) = change in the sum of rows 513–517 (Net PP&amp;E + Goodwill + Other Intangibles + DTA LT + Other LT Assets). ΔReserves (row 221) = 0 (assumed no asset revaluation reserve changes). D&amp;A from row 229. So CapEx = ΔPPEAndIntangibles + D&amp;A.</w:t>
      </w:r>
    </w:p>
    <w:p>
      <w:r>
        <w:t>Interpretation: if you start with net PP&amp;E and add D&amp;A (the non-cash charge that reduced it), you get gross PP&amp;E spend. Any increase from there = new CapEx beyond replacement. This is the standard indirect derivation of CapEx from the balance sheet.</w:t>
      </w:r>
    </w:p>
    <w:p>
      <w:r>
        <w:t>Historical CapEx verification: FY2024 = −$812m from Capital IQ directly (row 447). The model's derivation should approximate this.</w:t>
      </w:r>
    </w:p>
    <w:p>
      <w:pPr>
        <w:pStyle w:val="Heading2"/>
      </w:pPr>
      <w:r>
        <w:rPr>
          <w:color w:val="2E74B5"/>
        </w:rPr>
        <w:t>4.4  Interest Bearing Debt (IBD, Row 201)</w:t>
      </w:r>
    </w:p>
    <w:p>
      <w:r>
        <w:t>IBD = Long-term Debt (528) + Long-term Leases (529) + Short-term Borrowings (522) + Current Portion of LT Debt (523) + Current Portion of Leases (524). This is the total of all interest-bearing obligations, both current and non-current.</w:t>
      </w:r>
    </w:p>
    <w:p>
      <w:pPr>
        <w:pStyle w:val="Heading2"/>
      </w:pPr>
      <w:r>
        <w:rPr>
          <w:color w:val="2E74B5"/>
        </w:rPr>
        <w:t>4.5  ΔOE Reconciliation (Rows 217–223)</w:t>
      </w:r>
    </w:p>
    <w:p>
      <w:r>
        <w:t>A critical check built into the model. The model computes ΔOE two ways and verifies they match:</w:t>
      </w:r>
    </w:p>
    <w:p>
      <w:pPr>
        <w:pStyle w:val="ListBullet"/>
      </w:pPr>
      <w:r>
        <w:t>Method 1 (Row 222): ΔOE = Net Income − Dividends − Buybacks + Equity Issuances + ΔReserves = NI − Dividends − Buybacks + Equity Issuances (ΔReserves = 0).</w:t>
      </w:r>
    </w:p>
    <w:p>
      <w:pPr>
        <w:pStyle w:val="ListBullet"/>
      </w:pPr>
      <w:r>
        <w:t>Method 2 (Row 223): ΔOE directly from the balance sheet = Total Equity(this year) − Total Equity(prior year).</w:t>
      </w:r>
    </w:p>
    <w:p>
      <w:r>
        <w:t>Row 222 must equal row 223. Any discrepancy means the equity section does not reconcile with the income statement or dividend/buyback policies.</w:t>
      </w:r>
    </w:p>
    <w:p>
      <w:pPr>
        <w:pStyle w:val="Heading2"/>
      </w:pPr>
      <w:r>
        <w:rPr>
          <w:color w:val="2E74B5"/>
        </w:rPr>
        <w:t>4.6  Equity Free Cash Flow (EFCF, Row 224)</w:t>
      </w:r>
    </w:p>
    <w:p>
      <w:r>
        <w:t>EFCF = Dividends + Buybacks − Equity Issuances. This represents the total cash returned to equity holders (net of new shares issued). It's the equity investor's perspective on 'how much cash did I get?'</w:t>
      </w:r>
    </w:p>
    <w:p>
      <w:r>
        <w:t>In the forecast: EFCF = Dividends + Buybacks − Equity Issuances = (net income × 20%) + (net income × 40%) − $667m = net income × 60% − $667m</w:t>
      </w:r>
    </w:p>
    <w:p>
      <w:pPr>
        <w:pStyle w:val="Heading2"/>
      </w:pPr>
      <w:r>
        <w:rPr>
          <w:color w:val="2E74B5"/>
        </w:rPr>
        <w:t>4.7  The Three Cash Flow Buckets and ΔCash (Rows 233–236)</w:t>
      </w:r>
    </w:p>
    <w:p>
      <w:pPr>
        <w:pStyle w:val="Heading3"/>
      </w:pPr>
      <w:r>
        <w:t>Operating Cash Flow (Row 233)</w:t>
      </w:r>
    </w:p>
    <w:p>
      <w:r>
        <w:t>OCF = Net Income + D&amp;A − ΔNOWC. This is the indirect method cash from operations, identical in structure to what companies report.</w:t>
      </w:r>
    </w:p>
    <w:p>
      <w:pPr>
        <w:pStyle w:val="Heading3"/>
      </w:pPr>
      <w:r>
        <w:t>Investing Cash Flow (Row 234)</w:t>
      </w:r>
    </w:p>
    <w:p>
      <w:r>
        <w:t>InvestingCF = −CapEx. In this simplified model, investing activity is purely capital expenditure (no investment securities purchases/sales are modelled separately in the forecast).</w:t>
      </w:r>
    </w:p>
    <w:p>
      <w:pPr>
        <w:pStyle w:val="Heading3"/>
      </w:pPr>
      <w:r>
        <w:t>Financing Cash Flow (Row 235)</w:t>
      </w:r>
    </w:p>
    <w:p>
      <w:r>
        <w:t>FinancingCF = ΔIBD − EFCF. This captures: new debt raised or repaid (ΔIBD) minus the cash paid to equity holders (dividends + buybacks) plus cash received from equity issuances.</w:t>
      </w:r>
    </w:p>
    <w:p>
      <w:pPr>
        <w:pStyle w:val="Heading3"/>
      </w:pPr>
      <w:r>
        <w:t>ΔCash (Row 236)</w:t>
      </w:r>
    </w:p>
    <w:p>
      <w:r>
        <w:t>ΔCash = OCF + InvestingCF + FinancingCF = OCF − CapEx + ΔIBD − EFCF</w:t>
      </w:r>
    </w:p>
    <w:p>
      <w:r>
        <w:t>This is the formula that feeds into the cash balance (row 500): Cash(t) = Cash(t−1) + ΔCash(t).</w:t>
      </w:r>
    </w:p>
    <w:p>
      <w:pPr>
        <w:pStyle w:val="Heading2"/>
      </w:pPr>
      <w:r>
        <w:rPr>
          <w:color w:val="2E74B5"/>
        </w:rPr>
        <w:t>4.8  Full Cash Flow Identity (Row 214)</w:t>
      </w:r>
    </w:p>
    <w:p>
      <w:r>
        <w:t>The model also maintains a full algebraic identity as a check: ΔCash = −(ΔCAExclCash − ΔCLExclIBD) − (ΔNCAExclPPEAndIntangibles + ΔPPEAndIntangibles − ΔNCLExclIBD) + ΔIBD + ΔOE</w:t>
      </w:r>
    </w:p>
    <w:p>
      <w:r>
        <w:t>Row 215 computes: ΔA − ΔL − ΔOE + ΔCash which should equal zero, confirming that the accounting identity (Assets = Liabilities + Equity) holds for every year.</w:t>
      </w:r>
    </w:p>
    <w:p>
      <w:pPr>
        <w:pStyle w:val="Heading2"/>
      </w:pPr>
      <w:r>
        <w:rPr>
          <w:color w:val="2E74B5"/>
        </w:rPr>
        <w:t>4.9  Historical Cash Flow Verification (Rows 445, 451, 466, 469)</w:t>
      </w:r>
    </w:p>
    <w:p>
      <w:r>
        <w:t>For historical years, the model links to the derived cash flows and also shows the reported Capital IQ figures in nearby rows so the analyst can see whether the derivation matches reality.</w:t>
      </w:r>
    </w:p>
    <w:p>
      <w:r>
        <w:t>Notable historical observation: FY2020 saw $3,882m net increase in cash, driven by $6.1bn of new long-term debt (COVID-19 precautionary borrowing). FY2023 and FY2024 saw large cash outflows via $5.5bn and $4.3bn of buybacks respectively.</w:t>
      </w:r>
    </w:p>
    <w:p>
      <w:r>
        <w:br w:type="page"/>
      </w:r>
    </w:p>
    <w:p>
      <w:pPr>
        <w:pStyle w:val="Heading1"/>
      </w:pPr>
      <w:r>
        <w:rPr>
          <w:color w:val="1F497D"/>
        </w:rPr>
        <w:t>Part 5: The DCF Valuation (Question 1, Rows 13–35)</w:t>
      </w:r>
    </w:p>
    <w:p>
      <w:pPr>
        <w:pStyle w:val="Heading2"/>
      </w:pPr>
      <w:r>
        <w:rPr>
          <w:color w:val="2E74B5"/>
        </w:rPr>
        <w:t>5.1  The Free Cash Flow Build-Up (Rows 17–22)</w:t>
      </w:r>
    </w:p>
    <w:p>
      <w:r>
        <w:t>The DCF uses the Firm Free Cash Flow (OFCF — Operating/Firm Free Cash Flow) definition, which is unlevered: it ignores financing costs, then accounts for debt in the bridge from EV to equity.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Line</w:t>
            </w:r>
          </w:p>
        </w:tc>
        <w:tc>
          <w:tcPr>
            <w:tcW w:type="dxa" w:w="2880"/>
          </w:tcPr>
          <w:p>
            <w:r>
              <w:rPr>
                <w:b/>
              </w:rPr>
              <w:t>Formula</w:t>
            </w:r>
          </w:p>
        </w:tc>
        <w:tc>
          <w:tcPr>
            <w:tcW w:type="dxa" w:w="2880"/>
          </w:tcPr>
          <w:p>
            <w:r>
              <w:rPr>
                <w:b/>
              </w:rPr>
              <w:t>Purpose</w:t>
            </w:r>
          </w:p>
        </w:tc>
      </w:tr>
      <w:tr>
        <w:tc>
          <w:tcPr>
            <w:tcW w:type="dxa" w:w="2880"/>
          </w:tcPr>
          <w:p>
            <w:r>
              <w:t>Net Income (Row 17)</w:t>
            </w:r>
          </w:p>
        </w:tc>
        <w:tc>
          <w:tcPr>
            <w:tcW w:type="dxa" w:w="2880"/>
          </w:tcPr>
          <w:p>
            <w:r>
              <w:t>= K361 (or L–R forecast)</w:t>
            </w:r>
          </w:p>
        </w:tc>
        <w:tc>
          <w:tcPr>
            <w:tcW w:type="dxa" w:w="2880"/>
          </w:tcPr>
          <w:p>
            <w:r>
              <w:t>Starting from net income</w:t>
            </w:r>
          </w:p>
        </w:tc>
      </w:tr>
      <w:tr>
        <w:tc>
          <w:tcPr>
            <w:tcW w:type="dxa" w:w="2880"/>
          </w:tcPr>
          <w:p>
            <w:r>
              <w:t>Add: D&amp;A (Row 18)</w:t>
            </w:r>
          </w:p>
        </w:tc>
        <w:tc>
          <w:tcPr>
            <w:tcW w:type="dxa" w:w="2880"/>
          </w:tcPr>
          <w:p>
            <w:r>
              <w:t>= L229 (or M–R)</w:t>
            </w:r>
          </w:p>
        </w:tc>
        <w:tc>
          <w:tcPr>
            <w:tcW w:type="dxa" w:w="2880"/>
          </w:tcPr>
          <w:p>
            <w:r>
              <w:t>Add back non-cash charge</w:t>
            </w:r>
          </w:p>
        </w:tc>
      </w:tr>
      <w:tr>
        <w:tc>
          <w:tcPr>
            <w:tcW w:type="dxa" w:w="2880"/>
          </w:tcPr>
          <w:p>
            <w:r>
              <w:t>Less: CapEx (Row 19)</w:t>
            </w:r>
          </w:p>
        </w:tc>
        <w:tc>
          <w:tcPr>
            <w:tcW w:type="dxa" w:w="2880"/>
          </w:tcPr>
          <w:p>
            <w:r>
              <w:t>= −L231</w:t>
            </w:r>
          </w:p>
        </w:tc>
        <w:tc>
          <w:tcPr>
            <w:tcW w:type="dxa" w:w="2880"/>
          </w:tcPr>
          <w:p>
            <w:r>
              <w:t>Subtract capital investment</w:t>
            </w:r>
          </w:p>
        </w:tc>
      </w:tr>
      <w:tr>
        <w:tc>
          <w:tcPr>
            <w:tcW w:type="dxa" w:w="2880"/>
          </w:tcPr>
          <w:p>
            <w:r>
              <w:t>Less: ΔWC (Row 20)</w:t>
            </w:r>
          </w:p>
        </w:tc>
        <w:tc>
          <w:tcPr>
            <w:tcW w:type="dxa" w:w="2880"/>
          </w:tcPr>
          <w:p>
            <w:r>
              <w:t>= −L230</w:t>
            </w:r>
          </w:p>
        </w:tc>
        <w:tc>
          <w:tcPr>
            <w:tcW w:type="dxa" w:w="2880"/>
          </w:tcPr>
          <w:p>
            <w:r>
              <w:t>Subtract working capital build</w:t>
            </w:r>
          </w:p>
        </w:tc>
      </w:tr>
      <w:tr>
        <w:tc>
          <w:tcPr>
            <w:tcW w:type="dxa" w:w="2880"/>
          </w:tcPr>
          <w:p>
            <w:r>
              <w:t>Add: After-tax Interest (Row 21)</w:t>
            </w:r>
          </w:p>
        </w:tc>
        <w:tc>
          <w:tcPr>
            <w:tcW w:type="dxa" w:w="2880"/>
          </w:tcPr>
          <w:p>
            <w:r>
              <w:t>= L227 × (1 − $R$25)</w:t>
            </w:r>
          </w:p>
        </w:tc>
        <w:tc>
          <w:tcPr>
            <w:tcW w:type="dxa" w:w="2880"/>
          </w:tcPr>
          <w:p>
            <w:r>
              <w:t>Add back interest×(1−tax): converts levered NI to unlevered</w:t>
            </w:r>
          </w:p>
        </w:tc>
      </w:tr>
      <w:tr>
        <w:tc>
          <w:tcPr>
            <w:tcW w:type="dxa" w:w="2880"/>
          </w:tcPr>
          <w:p>
            <w:r>
              <w:t>Total FCF (Row 22)</w:t>
            </w:r>
          </w:p>
        </w:tc>
        <w:tc>
          <w:tcPr>
            <w:tcW w:type="dxa" w:w="2880"/>
          </w:tcPr>
          <w:p>
            <w:r>
              <w:t>= SUM(rows 17 to 21)</w:t>
            </w:r>
          </w:p>
        </w:tc>
        <w:tc>
          <w:tcPr>
            <w:tcW w:type="dxa" w:w="2880"/>
          </w:tcPr>
          <w:p>
            <w:r>
              <w:t>Firm Free Cash Flow (OFCF)</w:t>
            </w:r>
          </w:p>
        </w:tc>
      </w:tr>
    </w:tbl>
    <w:p/>
    <w:p>
      <w:pPr>
        <w:pStyle w:val="Heading2"/>
      </w:pPr>
      <w:r>
        <w:rPr>
          <w:color w:val="2E74B5"/>
        </w:rPr>
        <w:t>5.2  Why Add Back After-Tax Interest?</w:t>
      </w:r>
    </w:p>
    <w:p>
      <w:r>
        <w:t>Net Income already has interest expense deducted. To get to the unlevered (debt-free) cash flow, you must add back the after-tax cost of debt: Interest Expense × (1 − tax rate). This effectively un-levers the income statement to show what cash the firm generates regardless of how it's financed.</w:t>
      </w:r>
    </w:p>
    <w:p>
      <w:r>
        <w:t>Formula: L21 = L227 × (1 − $R$25) where L227 = positive interest expense and R25 = 21%.</w:t>
      </w:r>
    </w:p>
    <w:p>
      <w:pPr>
        <w:pStyle w:val="Heading2"/>
      </w:pPr>
      <w:r>
        <w:rPr>
          <w:color w:val="2E74B5"/>
        </w:rPr>
        <w:t>5.3  Present Value of Each Year's FCF (Row 23)</w:t>
      </w:r>
    </w:p>
    <w:p>
      <w:r>
        <w:t>PV(FCFt) = FCFt / (1 + WACC)^t where t = L13 = time index (1, 2, 3, 4, 5, 6, 7).</w:t>
      </w:r>
    </w:p>
    <w:p>
      <w:r>
        <w:t>Only years 1–6 are individually discounted (columns L–Q, time indices 1–6). Year 7 is the terminal year.</w:t>
      </w:r>
    </w:p>
    <w:p>
      <w:r>
        <w:t>Formula: L23 = L22 / (1 + $O$25) ^ L13</w:t>
      </w:r>
    </w:p>
    <w:p>
      <w:pPr>
        <w:pStyle w:val="Heading2"/>
      </w:pPr>
      <w:r>
        <w:rPr>
          <w:color w:val="2E74B5"/>
        </w:rPr>
        <w:t>5.4  Terminal Value (Row 25, Cell K25)</w:t>
      </w:r>
    </w:p>
    <w:p>
      <w:r>
        <w:t>The terminal value captures all cash flows beyond the 7-year explicit forecast horizon, assuming they grow at a constant perpetuity rate thereafter. Formula: K25 = R22 / (O25 − R28)</w:t>
      </w:r>
    </w:p>
    <w:p>
      <w:r>
        <w:t>Where: R22 = FCF in year 7 (the final explicit forecast year). O25 = WACC. R28 = terminal growth rate = R15 = R320 = 4%.</w:t>
      </w:r>
    </w:p>
    <w:p>
      <w:r>
        <w:t>This is the Gordon Growth Model. The terminal value is calculated AS OF year 7 (i.e., it's the value at the end of year 7 of all cash flows from year 8 onwards).</w:t>
      </w:r>
    </w:p>
    <w:p>
      <w:r>
        <w:t>Then it is discounted back to today: K26 = K25 / (1 + O25) ^ R13 where R13 = 7.</w:t>
      </w:r>
    </w:p>
    <w:p>
      <w:pPr>
        <w:pStyle w:val="Heading2"/>
      </w:pPr>
      <w:r>
        <w:rPr>
          <w:color w:val="2E74B5"/>
        </w:rPr>
        <w:t>5.5  Enterprise Value (Row 28, Cell K28)</w:t>
      </w:r>
    </w:p>
    <w:p>
      <w:r>
        <w:t>K28 = K27 + K26 = Sum of PV(FCF years 1–6) + PV(Terminal Value at year 7)</w:t>
      </w:r>
    </w:p>
    <w:p>
      <w:r>
        <w:t>Note: the PV of year-1 through year-6 FCFs is K27 = SUM(L23:Q23). Year 7's FCF is already embedded in the terminal value calculation, so it is not double-counted in the explicit DCF.</w:t>
      </w:r>
    </w:p>
    <w:p>
      <w:pPr>
        <w:pStyle w:val="Heading2"/>
      </w:pPr>
      <w:r>
        <w:rPr>
          <w:color w:val="2E74B5"/>
        </w:rPr>
        <w:t>5.6  The Bridge: EV to Equity Value (Rows 29–32)</w:t>
      </w:r>
    </w:p>
    <w:p>
      <w:r>
        <w:t>Enterprise Value = value of the whole business (equity + debt). To get to equity value:</w:t>
      </w:r>
    </w:p>
    <w:p>
      <w:r>
        <w:t>Equity Value = EV + Cash − Debt</w:t>
      </w:r>
    </w:p>
    <w:p>
      <w:r>
        <w:t>K29 = Cash = K203 = K500 = FY2024 cash balance = $9,860m</w:t>
      </w:r>
    </w:p>
    <w:p>
      <w:r>
        <w:t>K30 = Debt = K201 = IBD = $13,483m (FY2024: LT debt + leases + current portions)</w:t>
      </w:r>
    </w:p>
    <w:p>
      <w:r>
        <w:t>K31 = Net Debt = K30 − K29</w:t>
      </w:r>
    </w:p>
    <w:p>
      <w:r>
        <w:t>K32 = Net Company Value (Equity Market Cap) = K28 + K29 − K30 = EV + Cash − Debt</w:t>
      </w:r>
    </w:p>
    <w:p>
      <w:pPr>
        <w:pStyle w:val="Heading2"/>
      </w:pPr>
      <w:r>
        <w:rPr>
          <w:color w:val="2E74B5"/>
        </w:rPr>
        <w:t>5.7  Share Count (Row 34, Cell K34)</w:t>
      </w:r>
    </w:p>
    <w:p>
      <w:r>
        <w:t>K34 = K371 / 1000. K371 is the weighted average diluted shares outstanding from the income statement supplemental data (in actual shares: ~1,529.7 million = 1,529,700 thousands). Dividing by 1000 converts to millions. This is used to convert equity value ($thousands) to a per-share price.</w:t>
      </w:r>
    </w:p>
    <w:p>
      <w:r>
        <w:t>Note: The formula divides row 371 (diluted, actual count) by 1,000 to get shares in millions — then equity value in $thousands / shares in millions = price in $ per share (correct, because $000s / millions = dollars).</w:t>
      </w:r>
    </w:p>
    <w:p>
      <w:pPr>
        <w:pStyle w:val="Heading2"/>
      </w:pPr>
      <w:r>
        <w:rPr>
          <w:color w:val="2E74B5"/>
        </w:rPr>
        <w:t>5.8  DCF Share Price (Row 35, Cell K35)</w:t>
      </w:r>
    </w:p>
    <w:p>
      <w:r>
        <w:t>K35 = K32 / K34 = Equity Value ($000s) / Shares (millions) = $/share</w:t>
      </w:r>
    </w:p>
    <w:p>
      <w:r>
        <w:t>This is the headline DCF valuation. The auto-generated sentence in cells G9–G10 reads it out using ROUND() formulas for a professional presentation.</w:t>
      </w:r>
    </w:p>
    <w:p>
      <w:pPr>
        <w:pStyle w:val="Heading2"/>
      </w:pPr>
      <w:r>
        <w:rPr>
          <w:color w:val="2E74B5"/>
        </w:rPr>
        <w:t>5.9  WACC Inputs (Rows 25–29, Column 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Input</w:t>
            </w:r>
          </w:p>
        </w:tc>
        <w:tc>
          <w:tcPr>
            <w:tcW w:type="dxa" w:w="2880"/>
          </w:tcPr>
          <w:p>
            <w:r>
              <w:rPr>
                <w:b/>
              </w:rPr>
              <w:t>Value/Formula</w:t>
            </w:r>
          </w:p>
        </w:tc>
        <w:tc>
          <w:tcPr>
            <w:tcW w:type="dxa" w:w="2880"/>
          </w:tcPr>
          <w:p>
            <w:r>
              <w:rPr>
                <w:b/>
              </w:rPr>
              <w:t>Note</w:t>
            </w:r>
          </w:p>
        </w:tc>
      </w:tr>
      <w:tr>
        <w:tc>
          <w:tcPr>
            <w:tcW w:type="dxa" w:w="2880"/>
          </w:tcPr>
          <w:p>
            <w:r>
              <w:t>WACC (O25)</w:t>
            </w:r>
          </w:p>
        </w:tc>
        <w:tc>
          <w:tcPr>
            <w:tcW w:type="dxa" w:w="2880"/>
          </w:tcPr>
          <w:p>
            <w:r>
              <w:t>= (1 − R27) × O29 + R27 × R26 × (1 − R25)</w:t>
            </w:r>
          </w:p>
        </w:tc>
        <w:tc>
          <w:tcPr>
            <w:tcW w:type="dxa" w:w="2880"/>
          </w:tcPr>
          <w:p>
            <w:r>
              <w:t>Weighted average cost of capital. Standard after-tax WACC formula.</w:t>
            </w:r>
          </w:p>
        </w:tc>
      </w:tr>
      <w:tr>
        <w:tc>
          <w:tcPr>
            <w:tcW w:type="dxa" w:w="2880"/>
          </w:tcPr>
          <w:p>
            <w:r>
              <w:t>Risk-free rate (O26)</w:t>
            </w:r>
          </w:p>
        </w:tc>
        <w:tc>
          <w:tcPr>
            <w:tcW w:type="dxa" w:w="2880"/>
          </w:tcPr>
          <w:p>
            <w:r>
              <w:t>= 0.0434 (4.34%)</w:t>
            </w:r>
          </w:p>
        </w:tc>
        <w:tc>
          <w:tcPr>
            <w:tcW w:type="dxa" w:w="2880"/>
          </w:tcPr>
          <w:p>
            <w:r>
              <w:t>Hard-coded. Sourced from RBA website (URL in S26) — Australian 10-year government bond rate at time of model creation.</w:t>
            </w:r>
          </w:p>
        </w:tc>
      </w:tr>
      <w:tr>
        <w:tc>
          <w:tcPr>
            <w:tcW w:type="dxa" w:w="2880"/>
          </w:tcPr>
          <w:p>
            <w:r>
              <w:t>Beta (O27)</w:t>
            </w:r>
          </w:p>
        </w:tc>
        <w:tc>
          <w:tcPr>
            <w:tcW w:type="dxa" w:w="2880"/>
          </w:tcPr>
          <w:p>
            <w:r>
              <w:t>= 1.24</w:t>
            </w:r>
          </w:p>
        </w:tc>
        <w:tc>
          <w:tcPr>
            <w:tcW w:type="dxa" w:w="2880"/>
          </w:tcPr>
          <w:p>
            <w:r>
              <w:t>Hard-coded. Equity beta for NIKE.</w:t>
            </w:r>
          </w:p>
        </w:tc>
      </w:tr>
      <w:tr>
        <w:tc>
          <w:tcPr>
            <w:tcW w:type="dxa" w:w="2880"/>
          </w:tcPr>
          <w:p>
            <w:r>
              <w:t>Market Risk Premium (O28)</w:t>
            </w:r>
          </w:p>
        </w:tc>
        <w:tc>
          <w:tcPr>
            <w:tcW w:type="dxa" w:w="2880"/>
          </w:tcPr>
          <w:p>
            <w:r>
              <w:t>= 0.055 (5.5%)</w:t>
            </w:r>
          </w:p>
        </w:tc>
        <w:tc>
          <w:tcPr>
            <w:tcW w:type="dxa" w:w="2880"/>
          </w:tcPr>
          <w:p>
            <w:r>
              <w:t>Hard-coded. Standard MRP assumption.</w:t>
            </w:r>
          </w:p>
        </w:tc>
      </w:tr>
      <w:tr>
        <w:tc>
          <w:tcPr>
            <w:tcW w:type="dxa" w:w="2880"/>
          </w:tcPr>
          <w:p>
            <w:r>
              <w:t>Cost of Equity (O29)</w:t>
            </w:r>
          </w:p>
        </w:tc>
        <w:tc>
          <w:tcPr>
            <w:tcW w:type="dxa" w:w="2880"/>
          </w:tcPr>
          <w:p>
            <w:r>
              <w:t>= O26 + O27 × O28 = 4.34% + 1.24 × 5.5% = 11.16%</w:t>
            </w:r>
          </w:p>
        </w:tc>
        <w:tc>
          <w:tcPr>
            <w:tcW w:type="dxa" w:w="2880"/>
          </w:tcPr>
          <w:p>
            <w:r>
              <w:t>CAPM formula.</w:t>
            </w:r>
          </w:p>
        </w:tc>
      </w:tr>
      <w:tr>
        <w:tc>
          <w:tcPr>
            <w:tcW w:type="dxa" w:w="2880"/>
          </w:tcPr>
          <w:p>
            <w:r>
              <w:t>Corporate Tax Rate (R25)</w:t>
            </w:r>
          </w:p>
        </w:tc>
        <w:tc>
          <w:tcPr>
            <w:tcW w:type="dxa" w:w="2880"/>
          </w:tcPr>
          <w:p>
            <w:r>
              <w:t>= 0.21 (21%)</w:t>
            </w:r>
          </w:p>
        </w:tc>
        <w:tc>
          <w:tcPr>
            <w:tcW w:type="dxa" w:w="2880"/>
          </w:tcPr>
          <w:p>
            <w:r>
              <w:t>Hard-coded statutory rate.</w:t>
            </w:r>
          </w:p>
        </w:tc>
      </w:tr>
      <w:tr>
        <w:tc>
          <w:tcPr>
            <w:tcW w:type="dxa" w:w="2880"/>
          </w:tcPr>
          <w:p>
            <w:r>
              <w:t>Cost of Debt (R26)</w:t>
            </w:r>
          </w:p>
        </w:tc>
        <w:tc>
          <w:tcPr>
            <w:tcW w:type="dxa" w:w="2880"/>
          </w:tcPr>
          <w:p>
            <w:r>
              <w:t>= 0.048 (4.8%)</w:t>
            </w:r>
          </w:p>
        </w:tc>
        <w:tc>
          <w:tcPr>
            <w:tcW w:type="dxa" w:w="2880"/>
          </w:tcPr>
          <w:p>
            <w:r>
              <w:t>Hard-coded pre-tax cost of debt.</w:t>
            </w:r>
          </w:p>
        </w:tc>
      </w:tr>
      <w:tr>
        <w:tc>
          <w:tcPr>
            <w:tcW w:type="dxa" w:w="2880"/>
          </w:tcPr>
          <w:p>
            <w:r>
              <w:t>Debt-to-Assets ratio (R27)</w:t>
            </w:r>
          </w:p>
        </w:tc>
        <w:tc>
          <w:tcPr>
            <w:tcW w:type="dxa" w:w="2880"/>
          </w:tcPr>
          <w:p>
            <w:r>
              <w:t>= K201 / (K201 + R29)</w:t>
            </w:r>
          </w:p>
        </w:tc>
        <w:tc>
          <w:tcPr>
            <w:tcW w:type="dxa" w:w="2880"/>
          </w:tcPr>
          <w:p>
            <w:r>
              <w:t>MIXED market-value WACC: uses book value of IBD in numerator, but market cap (R29) as proxy for equity value in denominator. R29 = 108.7bn / 1000 = hard-coded market cap.</w:t>
            </w:r>
          </w:p>
        </w:tc>
      </w:tr>
      <w:tr>
        <w:tc>
          <w:tcPr>
            <w:tcW w:type="dxa" w:w="2880"/>
          </w:tcPr>
          <w:p>
            <w:r>
              <w:t>Terminal Growth Rate (R28)</w:t>
            </w:r>
          </w:p>
        </w:tc>
        <w:tc>
          <w:tcPr>
            <w:tcW w:type="dxa" w:w="2880"/>
          </w:tcPr>
          <w:p>
            <w:r>
              <w:t>= R15 = R320 = 4%</w:t>
            </w:r>
          </w:p>
        </w:tc>
        <w:tc>
          <w:tcPr>
            <w:tcW w:type="dxa" w:w="2880"/>
          </w:tcPr>
          <w:p>
            <w:r>
              <w:t>Linked to the revenue growth rate in the drivers table — the terminal FCF growth rate equals the terminal revenue growth rate assumption.</w:t>
            </w:r>
          </w:p>
        </w:tc>
      </w:tr>
      <w:tr>
        <w:tc>
          <w:tcPr>
            <w:tcW w:type="dxa" w:w="2880"/>
          </w:tcPr>
          <w:p>
            <w:r>
              <w:t>Market Cap (R29)</w:t>
            </w:r>
          </w:p>
        </w:tc>
        <w:tc>
          <w:tcPr>
            <w:tcW w:type="dxa" w:w="2880"/>
          </w:tcPr>
          <w:p>
            <w:r>
              <w:t>= 108.7 × 10^9 / 1000 = $108,700,000 ($000s)</w:t>
            </w:r>
          </w:p>
        </w:tc>
        <w:tc>
          <w:tcPr>
            <w:tcW w:type="dxa" w:w="2880"/>
          </w:tcPr>
          <w:p>
            <w:r>
              <w:t>Hard-coded at the time of modelling. Used only in the D/E split for WACC.</w:t>
            </w:r>
          </w:p>
        </w:tc>
      </w:tr>
    </w:tbl>
    <w:p/>
    <w:p>
      <w:pPr>
        <w:pStyle w:val="Heading2"/>
      </w:pPr>
      <w:r>
        <w:rPr>
          <w:color w:val="2E74B5"/>
        </w:rPr>
        <w:t>5.10  WACC Calculation in Full</w:t>
      </w:r>
    </w:p>
    <w:p>
      <w:r>
        <w:t>WACC = (1 − D/(D+E)) × Ke + D/(D+E) × Kd × (1 − t)</w:t>
      </w:r>
    </w:p>
    <w:p>
      <w:r>
        <w:t>= (1 − 0.1098) × 11.16% + 0.1098 × 4.8% × (1 − 21%)</w:t>
      </w:r>
    </w:p>
    <w:p>
      <w:r>
        <w:t>= 0.8902 × 11.16% + 0.1098 × 3.792%</w:t>
      </w:r>
    </w:p>
    <w:p>
      <w:r>
        <w:t>= 9.934% + 0.416%</w:t>
      </w:r>
    </w:p>
    <w:p>
      <w:r>
        <w:t>≈ 10.35%  (cell O25 shows ~10.43% at model calculation time)</w:t>
      </w:r>
    </w:p>
    <w:p>
      <w:r>
        <w:br w:type="page"/>
      </w:r>
    </w:p>
    <w:p>
      <w:pPr>
        <w:pStyle w:val="Heading1"/>
      </w:pPr>
      <w:r>
        <w:rPr>
          <w:color w:val="1F497D"/>
        </w:rPr>
        <w:t>Part 6: Comparables / Multiples Valuation (Question 2, Rows 42–56)</w:t>
      </w:r>
    </w:p>
    <w:p>
      <w:pPr>
        <w:pStyle w:val="Heading2"/>
      </w:pPr>
      <w:r>
        <w:rPr>
          <w:color w:val="2E74B5"/>
        </w:rPr>
        <w:t>6.1  The Five Comparable Companies</w:t>
      </w:r>
    </w:p>
    <w:tbl>
      <w:tblPr>
        <w:tblStyle w:val="TableGrid"/>
        <w:tblW w:type="auto" w:w="0"/>
        <w:tblLook w:firstColumn="1" w:firstRow="1" w:lastColumn="0" w:lastRow="0" w:noHBand="0" w:noVBand="1" w:val="04A0"/>
      </w:tblPr>
      <w:tblGrid>
        <w:gridCol w:w="4320"/>
        <w:gridCol w:w="4320"/>
      </w:tblGrid>
      <w:tr>
        <w:tc>
          <w:tcPr>
            <w:tcW w:type="dxa" w:w="4320"/>
          </w:tcPr>
          <w:p>
            <w:r>
              <w:rPr>
                <w:b/>
              </w:rPr>
              <w:t>Company</w:t>
            </w:r>
          </w:p>
        </w:tc>
        <w:tc>
          <w:tcPr>
            <w:tcW w:type="dxa" w:w="4320"/>
          </w:tcPr>
          <w:p>
            <w:r>
              <w:rPr>
                <w:b/>
              </w:rPr>
              <w:t>Context</w:t>
            </w:r>
          </w:p>
        </w:tc>
      </w:tr>
      <w:tr>
        <w:tc>
          <w:tcPr>
            <w:tcW w:type="dxa" w:w="4320"/>
          </w:tcPr>
          <w:p>
            <w:r>
              <w:t>lululemon (NASDAQGS:LULU)</w:t>
            </w:r>
          </w:p>
        </w:tc>
        <w:tc>
          <w:tcPr>
            <w:tcW w:type="dxa" w:w="4320"/>
          </w:tcPr>
          <w:p>
            <w:r>
              <w:t>Premium activewear. Market cap ~$19.6bn at time of model.</w:t>
            </w:r>
          </w:p>
        </w:tc>
      </w:tr>
      <w:tr>
        <w:tc>
          <w:tcPr>
            <w:tcW w:type="dxa" w:w="4320"/>
          </w:tcPr>
          <w:p>
            <w:r>
              <w:t>Skechers (NYSE:SKX)</w:t>
            </w:r>
          </w:p>
        </w:tc>
        <w:tc>
          <w:tcPr>
            <w:tcW w:type="dxa" w:w="4320"/>
          </w:tcPr>
          <w:p>
            <w:r>
              <w:t>Footwear. Market cap ~$9.5bn.</w:t>
            </w:r>
          </w:p>
        </w:tc>
      </w:tr>
      <w:tr>
        <w:tc>
          <w:tcPr>
            <w:tcW w:type="dxa" w:w="4320"/>
          </w:tcPr>
          <w:p>
            <w:r>
              <w:t>The TJX Companies (NYSE:TJX)</w:t>
            </w:r>
          </w:p>
        </w:tc>
        <w:tc>
          <w:tcPr>
            <w:tcW w:type="dxa" w:w="4320"/>
          </w:tcPr>
          <w:p>
            <w:r>
              <w:t>Off-price retail. Market cap ~$155.8bn (largest peer).</w:t>
            </w:r>
          </w:p>
        </w:tc>
      </w:tr>
      <w:tr>
        <w:tc>
          <w:tcPr>
            <w:tcW w:type="dxa" w:w="4320"/>
          </w:tcPr>
          <w:p>
            <w:r>
              <w:t>Under Armour (NYSE:UAA)</w:t>
            </w:r>
          </w:p>
        </w:tc>
        <w:tc>
          <w:tcPr>
            <w:tcW w:type="dxa" w:w="4320"/>
          </w:tcPr>
          <w:p>
            <w:r>
              <w:t>Performance apparel. Market cap ~$2.1bn. Has negative net income.</w:t>
            </w:r>
          </w:p>
        </w:tc>
      </w:tr>
      <w:tr>
        <w:tc>
          <w:tcPr>
            <w:tcW w:type="dxa" w:w="4320"/>
          </w:tcPr>
          <w:p>
            <w:r>
              <w:t>Crocs (NASDAQGS:CROX)</w:t>
            </w:r>
          </w:p>
        </w:tc>
        <w:tc>
          <w:tcPr>
            <w:tcW w:type="dxa" w:w="4320"/>
          </w:tcPr>
          <w:p>
            <w:r>
              <w:t>Casual footwear. Market cap ~$4.5bn.</w:t>
            </w:r>
          </w:p>
        </w:tc>
      </w:tr>
    </w:tbl>
    <w:p/>
    <w:p>
      <w:r>
        <w:t>Note: All figures are in USD thousands, matching NIKE's reporting units. The Capital IQ data on Sheet1 was imported and manually entered into the table in columns G–U, rows 44–48.</w:t>
      </w:r>
    </w:p>
    <w:p>
      <w:pPr>
        <w:pStyle w:val="Heading2"/>
      </w:pPr>
      <w:r>
        <w:rPr>
          <w:color w:val="2E74B5"/>
        </w:rPr>
        <w:t>6.2  Enterprise Value for Each Comparable (Column L, Rows 44–48)</w:t>
      </w:r>
    </w:p>
    <w:p>
      <w:r>
        <w:t>EV = Equity Market Cap + Debt − Cash. Formula: L44 = H44 + J44 − K44. Same for all peers.</w:t>
      </w:r>
    </w:p>
    <w:p>
      <w:r>
        <w:t>Important note about Under Armour (row 47): it has negative net income (−$201m), making P/E meaningless. The P/E multiple should be left blank or excluded from the weighted average. However, looking at the model, T47 = H47/N47 is still computed and produces a negative number. The model includes this in the median calculation (T50) unless it's excluded.</w:t>
      </w:r>
    </w:p>
    <w:p>
      <w:pPr>
        <w:pStyle w:val="Heading2"/>
      </w:pPr>
      <w:r>
        <w:rPr>
          <w:color w:val="2E74B5"/>
        </w:rPr>
        <w:t>6.3  The Five Multiples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Multiple</w:t>
            </w:r>
          </w:p>
        </w:tc>
        <w:tc>
          <w:tcPr>
            <w:tcW w:type="dxa" w:w="2880"/>
          </w:tcPr>
          <w:p>
            <w:r>
              <w:rPr>
                <w:b/>
              </w:rPr>
              <w:t>Formula</w:t>
            </w:r>
          </w:p>
        </w:tc>
        <w:tc>
          <w:tcPr>
            <w:tcW w:type="dxa" w:w="2880"/>
          </w:tcPr>
          <w:p>
            <w:r>
              <w:rPr>
                <w:b/>
              </w:rPr>
              <w:t>Use</w:t>
            </w:r>
          </w:p>
        </w:tc>
      </w:tr>
      <w:tr>
        <w:tc>
          <w:tcPr>
            <w:tcW w:type="dxa" w:w="2880"/>
          </w:tcPr>
          <w:p>
            <w:r>
              <w:t>EV/EBITDA (Column Q)</w:t>
            </w:r>
          </w:p>
        </w:tc>
        <w:tc>
          <w:tcPr>
            <w:tcW w:type="dxa" w:w="2880"/>
          </w:tcPr>
          <w:p>
            <w:r>
              <w:t>=L44/P44</w:t>
            </w:r>
          </w:p>
        </w:tc>
        <w:tc>
          <w:tcPr>
            <w:tcW w:type="dxa" w:w="2880"/>
          </w:tcPr>
          <w:p>
            <w:r>
              <w:t>Enterprise value divided by EBITDA. Most popular transaction multiple.</w:t>
            </w:r>
          </w:p>
        </w:tc>
      </w:tr>
      <w:tr>
        <w:tc>
          <w:tcPr>
            <w:tcW w:type="dxa" w:w="2880"/>
          </w:tcPr>
          <w:p>
            <w:r>
              <w:t>EV/EBIT (Column R)</w:t>
            </w:r>
          </w:p>
        </w:tc>
        <w:tc>
          <w:tcPr>
            <w:tcW w:type="dxa" w:w="2880"/>
          </w:tcPr>
          <w:p>
            <w:r>
              <w:t>=L44/O44</w:t>
            </w:r>
          </w:p>
        </w:tc>
        <w:tc>
          <w:tcPr>
            <w:tcW w:type="dxa" w:w="2880"/>
          </w:tcPr>
          <w:p>
            <w:r>
              <w:t>Enterprise value divided by EBIT. Capital-structure neutral.</w:t>
            </w:r>
          </w:p>
        </w:tc>
      </w:tr>
      <w:tr>
        <w:tc>
          <w:tcPr>
            <w:tcW w:type="dxa" w:w="2880"/>
          </w:tcPr>
          <w:p>
            <w:r>
              <w:t>EV/Sales (Column S)</w:t>
            </w:r>
          </w:p>
        </w:tc>
        <w:tc>
          <w:tcPr>
            <w:tcW w:type="dxa" w:w="2880"/>
          </w:tcPr>
          <w:p>
            <w:r>
              <w:t>=L44/M44</w:t>
            </w:r>
          </w:p>
        </w:tc>
        <w:tc>
          <w:tcPr>
            <w:tcW w:type="dxa" w:w="2880"/>
          </w:tcPr>
          <w:p>
            <w:r>
              <w:t>Enterprise value divided by revenue. Useful when earnings are negative/volatile.</w:t>
            </w:r>
          </w:p>
        </w:tc>
      </w:tr>
      <w:tr>
        <w:tc>
          <w:tcPr>
            <w:tcW w:type="dxa" w:w="2880"/>
          </w:tcPr>
          <w:p>
            <w:r>
              <w:t>Price-to-Earnings / P/E (Column T)</w:t>
            </w:r>
          </w:p>
        </w:tc>
        <w:tc>
          <w:tcPr>
            <w:tcW w:type="dxa" w:w="2880"/>
          </w:tcPr>
          <w:p>
            <w:r>
              <w:t>=H44/N44</w:t>
            </w:r>
          </w:p>
        </w:tc>
        <w:tc>
          <w:tcPr>
            <w:tcW w:type="dxa" w:w="2880"/>
          </w:tcPr>
          <w:p>
            <w:r>
              <w:t>Equity market cap / net income. Equity-level multiple.</w:t>
            </w:r>
          </w:p>
        </w:tc>
      </w:tr>
      <w:tr>
        <w:tc>
          <w:tcPr>
            <w:tcW w:type="dxa" w:w="2880"/>
          </w:tcPr>
          <w:p>
            <w:r>
              <w:t>Price-to-Book / P/B (Column U)</w:t>
            </w:r>
          </w:p>
        </w:tc>
        <w:tc>
          <w:tcPr>
            <w:tcW w:type="dxa" w:w="2880"/>
          </w:tcPr>
          <w:p>
            <w:r>
              <w:t>=H44/I44</w:t>
            </w:r>
          </w:p>
        </w:tc>
        <w:tc>
          <w:tcPr>
            <w:tcW w:type="dxa" w:w="2880"/>
          </w:tcPr>
          <w:p>
            <w:r>
              <w:t>Equity market cap / book equity. Set weight = 0 in final price.</w:t>
            </w:r>
          </w:p>
        </w:tc>
      </w:tr>
    </w:tbl>
    <w:p/>
    <w:p>
      <w:pPr>
        <w:pStyle w:val="Heading2"/>
      </w:pPr>
      <w:r>
        <w:rPr>
          <w:color w:val="2E74B5"/>
        </w:rPr>
        <w:t>6.4  Median Multiples (Row 50)</w:t>
      </w:r>
    </w:p>
    <w:p>
      <w:r>
        <w:t>All five multiples use MEDIAN(column44:column48) rather than AVERAGE. The median is preferred because it is robust to outliers — Under Armour's extreme leverage ratios and negative earnings would distort an average significantly.</w:t>
      </w:r>
    </w:p>
    <w:p>
      <w:pPr>
        <w:pStyle w:val="Heading2"/>
      </w:pPr>
      <w:r>
        <w:rPr>
          <w:color w:val="2E74B5"/>
        </w:rPr>
        <w:t>6.5  NIKE's Own Metrics (Row 51)</w:t>
      </w:r>
    </w:p>
    <w:p>
      <w:r>
        <w:t>The model restates NIKE's own FY2024 figures in the same table for reference:</w:t>
      </w:r>
    </w:p>
    <w:p>
      <w:pPr>
        <w:pStyle w:val="ListBullet"/>
      </w:pPr>
      <w:r>
        <w:t>Equity market cap (H51) = K37 × K34 = $73.60 × diluted shares</w:t>
      </w:r>
    </w:p>
    <w:p>
      <w:pPr>
        <w:pStyle w:val="ListBullet"/>
      </w:pPr>
      <w:r>
        <w:t>Book equity (I51) = K202 = K540 = $14,430m</w:t>
      </w:r>
    </w:p>
    <w:p>
      <w:pPr>
        <w:pStyle w:val="ListBullet"/>
      </w:pPr>
      <w:r>
        <w:t>Debt (J51) = K30 = K201 = IBD = $13,483m</w:t>
      </w:r>
    </w:p>
    <w:p>
      <w:pPr>
        <w:pStyle w:val="ListBullet"/>
      </w:pPr>
      <w:r>
        <w:t>Cash (K51) = K29 = K203 = $9,860m</w:t>
      </w:r>
    </w:p>
    <w:p>
      <w:pPr>
        <w:pStyle w:val="ListBullet"/>
      </w:pPr>
      <w:r>
        <w:t>EV (L51) = H51 + J51 − K51</w:t>
      </w:r>
    </w:p>
    <w:p>
      <w:pPr>
        <w:pStyle w:val="ListBullet"/>
      </w:pPr>
      <w:r>
        <w:t>Sales (M51) = K16 = K338 = $51,362m</w:t>
      </w:r>
    </w:p>
    <w:p>
      <w:pPr>
        <w:pStyle w:val="ListBullet"/>
      </w:pPr>
      <w:r>
        <w:t>Net Income (N51) = K17 = K361 = $5,700m</w:t>
      </w:r>
    </w:p>
    <w:p>
      <w:pPr>
        <w:pStyle w:val="ListBullet"/>
      </w:pPr>
      <w:r>
        <w:t>EBIT (O51) = K380 = $6,754m</w:t>
      </w:r>
    </w:p>
    <w:p>
      <w:pPr>
        <w:pStyle w:val="ListBullet"/>
      </w:pPr>
      <w:r>
        <w:t>EBITDA (P51) = K346 + K344 = EBIT + D&amp;A = $6,754m + $796m = $7,550m</w:t>
      </w:r>
    </w:p>
    <w:p>
      <w:pPr>
        <w:pStyle w:val="Heading2"/>
      </w:pPr>
      <w:r>
        <w:rPr>
          <w:color w:val="2E74B5"/>
        </w:rPr>
        <w:t>6.6  Implied Values and Share Prices (Rows 53–54)</w:t>
      </w:r>
    </w:p>
    <w:p>
      <w:r>
        <w:t>Row 53 applies the median comparable multiple to NIKE's own metric to get the implied numerator:</w:t>
      </w:r>
    </w:p>
    <w:p>
      <w:pPr>
        <w:pStyle w:val="ListBullet"/>
      </w:pPr>
      <w:r>
        <w:t>EV/EBITDA implied EV: Q53 = Q50 × P51 = median EV/EBITDA × NIKE EBITDA</w:t>
      </w:r>
    </w:p>
    <w:p>
      <w:pPr>
        <w:pStyle w:val="ListBullet"/>
      </w:pPr>
      <w:r>
        <w:t>EV/EBIT implied EV: R53 = R50 × O51</w:t>
      </w:r>
    </w:p>
    <w:p>
      <w:pPr>
        <w:pStyle w:val="ListBullet"/>
      </w:pPr>
      <w:r>
        <w:t>EV/Sales implied EV: S53 = S50 × M51</w:t>
      </w:r>
    </w:p>
    <w:p>
      <w:pPr>
        <w:pStyle w:val="ListBullet"/>
      </w:pPr>
      <w:r>
        <w:t>P/E implied market cap: T53 = T50 × N51</w:t>
      </w:r>
    </w:p>
    <w:p>
      <w:r>
        <w:t>Row 54 converts the implied EV (or market cap) to a per-share price, using the EV-to-equity bridge: Share Price = (Implied EV + Cash − Debt) / Shares Outstanding.</w:t>
      </w:r>
    </w:p>
    <w:p>
      <w:r>
        <w:t>Q54 = (Q53 + $K$51 − $J$51) / $K$34 — note the dollar signs: cash and debt are fixed at FY2024 values for all four multiples calculations.</w:t>
      </w:r>
    </w:p>
    <w:p>
      <w:r>
        <w:t>T54 (P/E): = (T53 + $K$51 − $J$51) / $K$34. Even the P/E multiple is converted through the bridge (though technically P/E already gives equity value — the model is consistent by applying the same bridge formula to all four).</w:t>
      </w:r>
    </w:p>
    <w:p>
      <w:pPr>
        <w:pStyle w:val="Heading2"/>
      </w:pPr>
      <w:r>
        <w:rPr>
          <w:color w:val="2E74B5"/>
        </w:rPr>
        <w:t>6.7  Weights and Final Multiples Price (Rows 55–56)</w:t>
      </w:r>
    </w:p>
    <w:p>
      <w:r>
        <w:t>Weights: Q55 = R55 = S55 = T55 = 0.25 (equal 25% each). U55 = 0 (P/B excluded).</w:t>
      </w:r>
    </w:p>
    <w:p>
      <w:r>
        <w:t>Final Price: P56 = SUMPRODUCT(Q54:U54, Q55:U55) = weighted average of the four implied share prices.</w:t>
      </w:r>
    </w:p>
    <w:p>
      <w:r>
        <w:t>This is the 'multiples triangulation' price that appears in K78/K81 comparisons and in the auto-text.</w:t>
      </w:r>
    </w:p>
    <w:p>
      <w:r>
        <w:t>The model also copies the headline implied price and multiple labels into rows 31–35, columns P–T, for a summary comparison table alongside the DCF.</w:t>
      </w:r>
    </w:p>
    <w:p>
      <w:r>
        <w:br w:type="page"/>
      </w:r>
    </w:p>
    <w:p>
      <w:pPr>
        <w:pStyle w:val="Heading1"/>
      </w:pPr>
      <w:r>
        <w:rPr>
          <w:color w:val="1F497D"/>
        </w:rPr>
        <w:t>Part 7: Sensitivity Analysis (Question 3, Rows 60–74)</w:t>
      </w:r>
    </w:p>
    <w:p>
      <w:pPr>
        <w:pStyle w:val="Heading2"/>
      </w:pPr>
      <w:r>
        <w:rPr>
          <w:color w:val="2E74B5"/>
        </w:rPr>
        <w:t>7.1  The Two-Way Data Table Structure</w:t>
      </w:r>
    </w:p>
    <w:p>
      <w:r>
        <w:t>The sensitivity table is a standard Excel two-way Data Table (Insert → Data Table). It is NOT manually computed — Excel's Data Table engine reruns the full model for each combination of inputs and records the output (K35, the DCF share price).</w:t>
      </w:r>
    </w:p>
    <w:p>
      <w:r>
        <w:t>Rows: WACC values (column H, rows 63–74). The base case WACC (O25 ≈ 10.43%) appears in row 68 (H68 = O25).</w:t>
      </w:r>
    </w:p>
    <w:p>
      <w:r>
        <w:t>Columns: Terminal growth rate values (row 62, columns I–Q). The base case terminal growth (4%) is in column M (M62 = 0.04).</w:t>
      </w:r>
    </w:p>
    <w:p>
      <w:r>
        <w:t>The cell H62 contains the output formula reference: = IF(ISERROR(K35),'',IF(K35&lt;=0,'',K35)) — this is the output cell that Excel's Data Table will recalculate for each combination.</w:t>
      </w:r>
    </w:p>
    <w:p>
      <w:pPr>
        <w:pStyle w:val="Heading2"/>
      </w:pPr>
      <w:r>
        <w:rPr>
          <w:color w:val="2E74B5"/>
        </w:rPr>
        <w:t>7.2  Reading the Sensitivity Table</w:t>
      </w:r>
    </w:p>
    <w:p>
      <w:r>
        <w:t>Each cell in the interior of the table (rows 63–74, columns I–Q) shows the DCF share price for that particular WACC/terminal growth combination.</w:t>
      </w:r>
    </w:p>
    <w:p>
      <w:r>
        <w:t>The base case (WACC ~10.43%, g = 4%) is in approximately row 68, column M — showing the actual K35 value.</w:t>
      </w:r>
    </w:p>
    <w:p>
      <w:r>
        <w:t>Key observations from the table values:</w:t>
      </w:r>
    </w:p>
    <w:p>
      <w:pPr>
        <w:pStyle w:val="ListBullet"/>
      </w:pPr>
      <w:r>
        <w:t>At the base case: ~$61.00/share (vs market price $73.60)</w:t>
      </w:r>
    </w:p>
    <w:p>
      <w:pPr>
        <w:pStyle w:val="ListBullet"/>
      </w:pPr>
      <w:r>
        <w:t>For the model to justify the current market price at 4% terminal growth, WACC must be approximately 9.4% (this is the IRR, Question 4a)</w:t>
      </w:r>
    </w:p>
    <w:p>
      <w:pPr>
        <w:pStyle w:val="ListBullet"/>
      </w:pPr>
      <w:r>
        <w:t>Higher terminal growth dramatically increases the share price (non-linear, especially at low WACC)</w:t>
      </w:r>
    </w:p>
    <w:p>
      <w:pPr>
        <w:pStyle w:val="ListBullet"/>
      </w:pPr>
      <w:r>
        <w:t>At WACC = 7.5% (row H63) and g = 5%: price jumps to ~$393/share</w:t>
      </w:r>
    </w:p>
    <w:p>
      <w:pPr>
        <w:pStyle w:val="ListBullet"/>
      </w:pPr>
      <w:r>
        <w:t>At WACC = 15% (row H74) and g = 3%: price drops to ~$27/share</w:t>
      </w:r>
    </w:p>
    <w:p>
      <w:pPr>
        <w:pStyle w:val="Heading2"/>
      </w:pPr>
      <w:r>
        <w:rPr>
          <w:color w:val="2E74B5"/>
        </w:rPr>
        <w:t>7.3  Conditional Formatting</w:t>
      </w:r>
    </w:p>
    <w:p>
      <w:r>
        <w:t>The model's instructions note that conditional formatting should be applied to shade the table (e.g., green = above market price, red = below). This is a visual aid but does not affect any calculations.</w:t>
      </w:r>
    </w:p>
    <w:p>
      <w:r>
        <w:br w:type="page"/>
      </w:r>
    </w:p>
    <w:p>
      <w:pPr>
        <w:pStyle w:val="Heading1"/>
      </w:pPr>
      <w:r>
        <w:rPr>
          <w:color w:val="1F497D"/>
        </w:rPr>
        <w:t>Part 8: IRR / Implied WACC Analysis (Question 4, Rows 77–97)</w:t>
      </w:r>
    </w:p>
    <w:p>
      <w:pPr>
        <w:pStyle w:val="Heading2"/>
      </w:pPr>
      <w:r>
        <w:rPr>
          <w:color w:val="2E74B5"/>
        </w:rPr>
        <w:t>8.1  Question 4a: IRR that Equates DCF to Market Price (K78)</w:t>
      </w:r>
    </w:p>
    <w:p>
      <w:r>
        <w:t>K78 = 0.09386... ≈ 9.39%. This is the WACC at which the DCF model produces a share price equal to the current market price of $73.60.</w:t>
      </w:r>
    </w:p>
    <w:p>
      <w:r>
        <w:t>Interpretation: If you believe the market is correctly pricing NIKE at $73.60, then you are implicitly using a 9.39% WACC — meaning the market is pricing in a slightly lower cost of capital than the 10.43% used in the base case. This suggests the market has a more optimistic view than the model.</w:t>
      </w:r>
    </w:p>
    <w:p>
      <w:pPr>
        <w:pStyle w:val="Heading2"/>
      </w:pPr>
      <w:r>
        <w:rPr>
          <w:color w:val="2E74B5"/>
        </w:rPr>
        <w:t>8.2  Question 4b: IRR that Equates DCF to Multiples Price (K81)</w:t>
      </w:r>
    </w:p>
    <w:p>
      <w:r>
        <w:t>K81 = 0.12233... ≈ 12.23%. This is the WACC at which the DCF model produces a share price equal to the multiples-based estimate (P56).</w:t>
      </w:r>
    </w:p>
    <w:p>
      <w:r>
        <w:t>Interpretation: For the DCF and multiples to agree, the WACC would need to be 12.23%. Since both the 9.39% (market-implied) and the base case 10.43% are below this, it means the multiples valuation produces a price LOWER than the DCF at the same WACC assumptions. The multiples method is implying a lower valuation than the market price.</w:t>
      </w:r>
    </w:p>
    <w:p>
      <w:pPr>
        <w:pStyle w:val="Heading2"/>
      </w:pPr>
      <w:r>
        <w:rPr>
          <w:color w:val="2E74B5"/>
        </w:rPr>
        <w:t>8.3  The WACC vs Price Graph Data (Rows 84–97)</w:t>
      </w:r>
    </w:p>
    <w:p>
      <w:r>
        <w:t>The model prepares data for a scatterplot chart. The same sensitivity data from the two-way table is repurposed: rows I86–J97 contain WACC values and corresponding DCF share prices for a smooth curve. The graph marks three specific points:</w:t>
      </w:r>
    </w:p>
    <w:p>
      <w:pPr>
        <w:pStyle w:val="ListBullet"/>
      </w:pPr>
      <w:r>
        <w:t>Base case DCF price (K35) at base case WACC (~10.43%)</w:t>
      </w:r>
    </w:p>
    <w:p>
      <w:pPr>
        <w:pStyle w:val="ListBullet"/>
      </w:pPr>
      <w:r>
        <w:t>Market share price ($73.60) at the IRR WACC (9.39%) — from K78</w:t>
      </w:r>
    </w:p>
    <w:p>
      <w:pPr>
        <w:pStyle w:val="ListBullet"/>
      </w:pPr>
      <w:r>
        <w:t>Multiples estimate price (P56) at the multiples-implied WACC (12.23%) — from K81</w:t>
      </w:r>
    </w:p>
    <w:p>
      <w:r>
        <w:t>The data is duplicated in columns O–S for the second set of chart series, enabling a dual-series chart in Excel.</w:t>
      </w:r>
    </w:p>
    <w:p>
      <w:r>
        <w:br w:type="page"/>
      </w:r>
    </w:p>
    <w:p>
      <w:pPr>
        <w:pStyle w:val="Heading1"/>
      </w:pPr>
      <w:r>
        <w:rPr>
          <w:color w:val="1F497D"/>
        </w:rPr>
        <w:t>Part 9: DuPont Analysis (Question 7, Rows 166–172)</w:t>
      </w:r>
    </w:p>
    <w:p>
      <w:pPr>
        <w:pStyle w:val="Heading2"/>
      </w:pPr>
      <w:r>
        <w:rPr>
          <w:color w:val="2E74B5"/>
        </w:rPr>
        <w:t>9.1  The Three-Component DuPont Decomposition</w:t>
      </w:r>
    </w:p>
    <w:p>
      <w:r>
        <w:t>DuPont analysis decomposes Return on Equity (RoE) into three multiplicative components that illuminate WHERE the RoE comes from: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Formula</w:t>
            </w:r>
          </w:p>
        </w:tc>
        <w:tc>
          <w:tcPr>
            <w:tcW w:type="dxa" w:w="2880"/>
          </w:tcPr>
          <w:p>
            <w:r>
              <w:rPr>
                <w:b/>
              </w:rPr>
              <w:t>Meaning</w:t>
            </w:r>
          </w:p>
        </w:tc>
      </w:tr>
      <w:tr>
        <w:tc>
          <w:tcPr>
            <w:tcW w:type="dxa" w:w="2880"/>
          </w:tcPr>
          <w:p>
            <w:r>
              <w:t>Profit Margin (Row 169)</w:t>
            </w:r>
          </w:p>
        </w:tc>
        <w:tc>
          <w:tcPr>
            <w:tcW w:type="dxa" w:w="2880"/>
          </w:tcPr>
          <w:p>
            <w:r>
              <w:t>= Net Income / Revenue</w:t>
            </w:r>
          </w:p>
        </w:tc>
        <w:tc>
          <w:tcPr>
            <w:tcW w:type="dxa" w:w="2880"/>
          </w:tcPr>
          <w:p>
            <w:r>
              <w:t>Measures operating efficiency — how much of each revenue dollar becomes profit.</w:t>
            </w:r>
          </w:p>
        </w:tc>
      </w:tr>
      <w:tr>
        <w:tc>
          <w:tcPr>
            <w:tcW w:type="dxa" w:w="2880"/>
          </w:tcPr>
          <w:p>
            <w:r>
              <w:t>Asset Turnover (Row 170)</w:t>
            </w:r>
          </w:p>
        </w:tc>
        <w:tc>
          <w:tcPr>
            <w:tcW w:type="dxa" w:w="2880"/>
          </w:tcPr>
          <w:p>
            <w:r>
              <w:t>= Revenue / Total Assets</w:t>
            </w:r>
          </w:p>
        </w:tc>
        <w:tc>
          <w:tcPr>
            <w:tcW w:type="dxa" w:w="2880"/>
          </w:tcPr>
          <w:p>
            <w:r>
              <w:t>Measures asset efficiency — how much revenue each dollar of assets generates.</w:t>
            </w:r>
          </w:p>
        </w:tc>
      </w:tr>
      <w:tr>
        <w:tc>
          <w:tcPr>
            <w:tcW w:type="dxa" w:w="2880"/>
          </w:tcPr>
          <w:p>
            <w:r>
              <w:t>Equity Multiplier (Row 171)</w:t>
            </w:r>
          </w:p>
        </w:tc>
        <w:tc>
          <w:tcPr>
            <w:tcW w:type="dxa" w:w="2880"/>
          </w:tcPr>
          <w:p>
            <w:r>
              <w:t>= Total Assets / Total Equity</w:t>
            </w:r>
          </w:p>
        </w:tc>
        <w:tc>
          <w:tcPr>
            <w:tcW w:type="dxa" w:w="2880"/>
          </w:tcPr>
          <w:p>
            <w:r>
              <w:t>Measures financial leverage — how many dollars of assets per dollar of equity.</w:t>
            </w:r>
          </w:p>
        </w:tc>
      </w:tr>
      <w:tr>
        <w:tc>
          <w:tcPr>
            <w:tcW w:type="dxa" w:w="2880"/>
          </w:tcPr>
          <w:p>
            <w:r>
              <w:t>Return on Equity (Row 172)</w:t>
            </w:r>
          </w:p>
        </w:tc>
        <w:tc>
          <w:tcPr>
            <w:tcW w:type="dxa" w:w="2880"/>
          </w:tcPr>
          <w:p>
            <w:r>
              <w:t>= Net Income / Total Equity</w:t>
            </w:r>
          </w:p>
        </w:tc>
        <w:tc>
          <w:tcPr>
            <w:tcW w:type="dxa" w:w="2880"/>
          </w:tcPr>
          <w:p>
            <w:r>
              <w:t>Product of all three above: NI/Rev × Rev/Assets × Assets/Equity = NI/Equity.</w:t>
            </w:r>
          </w:p>
        </w:tc>
      </w:tr>
    </w:tbl>
    <w:p/>
    <w:p>
      <w:pPr>
        <w:pStyle w:val="Heading2"/>
      </w:pPr>
      <w:r>
        <w:rPr>
          <w:color w:val="2E74B5"/>
        </w:rPr>
        <w:t>9.2  Historical DuPont Observations (FY2015–FY2024)</w:t>
      </w:r>
    </w:p>
    <w:p>
      <w:r>
        <w:t>All three components and RoE are calculated for all 17 years (FY2015 historical + FY2025–FY2031 forecast), enabling a full trend chart.</w:t>
      </w:r>
    </w:p>
    <w:p>
      <w:r>
        <w:t>Notable historical trends:</w:t>
      </w:r>
    </w:p>
    <w:p>
      <w:pPr>
        <w:pStyle w:val="ListBullet"/>
      </w:pPr>
      <w:r>
        <w:t>Profit margin: generally ranged 8–13%, dipped to 6.8% in FY2020 (COVID) and spiked to 12.9% in FY2022.</w:t>
      </w:r>
    </w:p>
    <w:p>
      <w:pPr>
        <w:pStyle w:val="ListBullet"/>
      </w:pPr>
      <w:r>
        <w:t>Asset turnover: declined from ~1.42x in FY2015 to ~1.35x in FY2024 as the asset base grew faster than revenue post-COVID (large cash balances, operating lease right-of-use assets added in FY2020).</w:t>
      </w:r>
    </w:p>
    <w:p>
      <w:pPr>
        <w:pStyle w:val="ListBullet"/>
      </w:pPr>
      <w:r>
        <w:t>Equity multiplier: rose dramatically from ~1.70x in FY2015 to ~3.89x in FY2020 as NIKE aggressively bought back shares, shrinking equity, while simultaneously taking on significant debt. By FY2024 it was ~2.64x.</w:t>
      </w:r>
    </w:p>
    <w:p>
      <w:pPr>
        <w:pStyle w:val="ListBullet"/>
      </w:pPr>
      <w:r>
        <w:t>RoE: high single-digit to mid-30s% range, with the FY2021–FY2022 spike driven by higher margins and leverage.</w:t>
      </w:r>
    </w:p>
    <w:p>
      <w:pPr>
        <w:pStyle w:val="Heading2"/>
      </w:pPr>
      <w:r>
        <w:rPr>
          <w:color w:val="2E74B5"/>
        </w:rPr>
        <w:t>9.3  Forecast DuPont Observations</w:t>
      </w:r>
    </w:p>
    <w:p>
      <w:r>
        <w:t>In the forecast: profit margin improves gradually as COGS/Sales glides from 55.3% toward 51%, while SG&amp;A stays fixed as a % of revenue. Asset turnover remains relatively stable. The equity multiplier may change as retained earnings build up equity faster than assets grow. Overall, forecast RoE is expected to remain in the 30–40% range, indicating NIKE maintains its high-quality franchise profitability.</w:t>
      </w:r>
    </w:p>
    <w:p>
      <w:r>
        <w:br w:type="page"/>
      </w:r>
    </w:p>
    <w:p>
      <w:pPr>
        <w:pStyle w:val="Heading1"/>
      </w:pPr>
      <w:r>
        <w:rPr>
          <w:color w:val="1F497D"/>
        </w:rPr>
        <w:t>Part 10: Financial Ratios (Question 10, Rows 269–292)</w:t>
      </w:r>
    </w:p>
    <w:p>
      <w:pPr>
        <w:pStyle w:val="Heading2"/>
      </w:pPr>
      <w:r>
        <w:rPr>
          <w:color w:val="2E74B5"/>
        </w:rPr>
        <w:t>10.1  Efficiency Ratios (Rows 270–274)</w:t>
      </w:r>
    </w:p>
    <w:p>
      <w:r>
        <w:t>These measure how efficiently NIKE manages its operating cycle: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Ratio</w:t>
            </w:r>
          </w:p>
        </w:tc>
        <w:tc>
          <w:tcPr>
            <w:tcW w:type="dxa" w:w="2880"/>
          </w:tcPr>
          <w:p>
            <w:r>
              <w:rPr>
                <w:b/>
              </w:rPr>
              <w:t>Formula</w:t>
            </w:r>
          </w:p>
        </w:tc>
        <w:tc>
          <w:tcPr>
            <w:tcW w:type="dxa" w:w="2880"/>
          </w:tcPr>
          <w:p>
            <w:r>
              <w:rPr>
                <w:b/>
              </w:rPr>
              <w:t>Notes</w:t>
            </w:r>
          </w:p>
        </w:tc>
      </w:tr>
      <w:tr>
        <w:tc>
          <w:tcPr>
            <w:tcW w:type="dxa" w:w="2880"/>
          </w:tcPr>
          <w:p>
            <w:r>
              <w:t>Receivable Days (270)</w:t>
            </w:r>
          </w:p>
        </w:tc>
        <w:tc>
          <w:tcPr>
            <w:tcW w:type="dxa" w:w="2880"/>
          </w:tcPr>
          <w:p>
            <w:r>
              <w:t>= Accrued Expenses / Revenue × 365</w:t>
            </w:r>
          </w:p>
        </w:tc>
        <w:tc>
          <w:tcPr>
            <w:tcW w:type="dxa" w:w="2880"/>
          </w:tcPr>
          <w:p>
            <w:r>
              <w:t>Days of revenue tied up in accruals. Note: uses accrued expenses (row 521) as the 'receivables' proxy, not accounts receivable (row 504). This is an unusual choice — normally receivable days uses AR.</w:t>
            </w:r>
          </w:p>
        </w:tc>
      </w:tr>
      <w:tr>
        <w:tc>
          <w:tcPr>
            <w:tcW w:type="dxa" w:w="2880"/>
          </w:tcPr>
          <w:p>
            <w:r>
              <w:t>Inventory Days (271)</w:t>
            </w:r>
          </w:p>
        </w:tc>
        <w:tc>
          <w:tcPr>
            <w:tcW w:type="dxa" w:w="2880"/>
          </w:tcPr>
          <w:p>
            <w:r>
              <w:t>= Inventory / COGS × 365</w:t>
            </w:r>
          </w:p>
        </w:tc>
        <w:tc>
          <w:tcPr>
            <w:tcW w:type="dxa" w:w="2880"/>
          </w:tcPr>
          <w:p>
            <w:r>
              <w:t>Days of inventory on hand.</w:t>
            </w:r>
          </w:p>
        </w:tc>
      </w:tr>
      <w:tr>
        <w:tc>
          <w:tcPr>
            <w:tcW w:type="dxa" w:w="2880"/>
          </w:tcPr>
          <w:p>
            <w:r>
              <w:t>Payable Days (272)</w:t>
            </w:r>
          </w:p>
        </w:tc>
        <w:tc>
          <w:tcPr>
            <w:tcW w:type="dxa" w:w="2880"/>
          </w:tcPr>
          <w:p>
            <w:r>
              <w:t>= Prepaid Expenses / COGS × 365</w:t>
            </w:r>
          </w:p>
        </w:tc>
        <w:tc>
          <w:tcPr>
            <w:tcW w:type="dxa" w:w="2880"/>
          </w:tcPr>
          <w:p>
            <w:r>
              <w:t>Uses prepaid expenses (row 508) as the 'payable' proxy, not AP (row 520). Another unconventional choice.</w:t>
            </w:r>
          </w:p>
        </w:tc>
      </w:tr>
      <w:tr>
        <w:tc>
          <w:tcPr>
            <w:tcW w:type="dxa" w:w="2880"/>
          </w:tcPr>
          <w:p>
            <w:r>
              <w:t>Cash Conversion Cycle (273)</w:t>
            </w:r>
          </w:p>
        </w:tc>
        <w:tc>
          <w:tcPr>
            <w:tcW w:type="dxa" w:w="2880"/>
          </w:tcPr>
          <w:p>
            <w:r>
              <w:t>= Receivable Days + Inventory Days − Payable Days</w:t>
            </w:r>
          </w:p>
        </w:tc>
        <w:tc>
          <w:tcPr>
            <w:tcW w:type="dxa" w:w="2880"/>
          </w:tcPr>
          <w:p>
            <w:r>
              <w:t>The net days of cash tied up in the operating cycle. Lower is better.</w:t>
            </w:r>
          </w:p>
        </w:tc>
      </w:tr>
      <w:tr>
        <w:tc>
          <w:tcPr>
            <w:tcW w:type="dxa" w:w="2880"/>
          </w:tcPr>
          <w:p>
            <w:r>
              <w:t>Fixed Asset Turnover (274)</w:t>
            </w:r>
          </w:p>
        </w:tc>
        <w:tc>
          <w:tcPr>
            <w:tcW w:type="dxa" w:w="2880"/>
          </w:tcPr>
          <w:p>
            <w:r>
              <w:t>= Revenue / ((Net PP&amp;E_this + Net PP&amp;E_prior) / 2)</w:t>
            </w:r>
          </w:p>
        </w:tc>
        <w:tc>
          <w:tcPr>
            <w:tcW w:type="dxa" w:w="2880"/>
          </w:tcPr>
          <w:p>
            <w:r>
              <w:t>Revenue generated per dollar of average net fixed assets.</w:t>
            </w:r>
          </w:p>
        </w:tc>
      </w:tr>
    </w:tbl>
    <w:p/>
    <w:p>
      <w:pPr>
        <w:pStyle w:val="Heading2"/>
      </w:pPr>
      <w:r>
        <w:rPr>
          <w:color w:val="2E74B5"/>
        </w:rPr>
        <w:t>10.2  Liquidity Ratios (Rows 277–278)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Ratio</w:t>
            </w:r>
          </w:p>
        </w:tc>
        <w:tc>
          <w:tcPr>
            <w:tcW w:type="dxa" w:w="2880"/>
          </w:tcPr>
          <w:p>
            <w:r>
              <w:rPr>
                <w:b/>
              </w:rPr>
              <w:t>Formula</w:t>
            </w:r>
          </w:p>
        </w:tc>
        <w:tc>
          <w:tcPr>
            <w:tcW w:type="dxa" w:w="2880"/>
          </w:tcPr>
          <w:p>
            <w:r>
              <w:rPr>
                <w:b/>
              </w:rPr>
              <w:t>Notes</w:t>
            </w:r>
          </w:p>
        </w:tc>
      </w:tr>
      <w:tr>
        <w:tc>
          <w:tcPr>
            <w:tcW w:type="dxa" w:w="2880"/>
          </w:tcPr>
          <w:p>
            <w:r>
              <w:t>Current Ratio (277)</w:t>
            </w:r>
          </w:p>
        </w:tc>
        <w:tc>
          <w:tcPr>
            <w:tcW w:type="dxa" w:w="2880"/>
          </w:tcPr>
          <w:p>
            <w:r>
              <w:t>= Total Current Assets / Total Current Liabilities</w:t>
            </w:r>
          </w:p>
        </w:tc>
        <w:tc>
          <w:tcPr>
            <w:tcW w:type="dxa" w:w="2880"/>
          </w:tcPr>
          <w:p>
            <w:r>
              <w:t>Ability to cover short-term obligations. &gt;1 is healthy. NIKE: ~2.4x in FY2024.</w:t>
            </w:r>
          </w:p>
        </w:tc>
      </w:tr>
      <w:tr>
        <w:tc>
          <w:tcPr>
            <w:tcW w:type="dxa" w:w="2880"/>
          </w:tcPr>
          <w:p>
            <w:r>
              <w:t>Quick Ratio (278)</w:t>
            </w:r>
          </w:p>
        </w:tc>
        <w:tc>
          <w:tcPr>
            <w:tcW w:type="dxa" w:w="2880"/>
          </w:tcPr>
          <w:p>
            <w:r>
              <w:t>= (Total Current Assets − Inventory) / Total Current Liabilities</w:t>
            </w:r>
          </w:p>
        </w:tc>
        <w:tc>
          <w:tcPr>
            <w:tcW w:type="dxa" w:w="2880"/>
          </w:tcPr>
          <w:p>
            <w:r>
              <w:t>More conservative; strips out inventory as it may not be quickly convertible.</w:t>
            </w:r>
          </w:p>
        </w:tc>
      </w:tr>
    </w:tbl>
    <w:p/>
    <w:p>
      <w:pPr>
        <w:pStyle w:val="Heading2"/>
      </w:pPr>
      <w:r>
        <w:rPr>
          <w:color w:val="2E74B5"/>
        </w:rPr>
        <w:t>10.3  Leverage Ratios (Rows 284–286)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Ratio</w:t>
            </w:r>
          </w:p>
        </w:tc>
        <w:tc>
          <w:tcPr>
            <w:tcW w:type="dxa" w:w="2880"/>
          </w:tcPr>
          <w:p>
            <w:r>
              <w:rPr>
                <w:b/>
              </w:rPr>
              <w:t>Formula</w:t>
            </w:r>
          </w:p>
        </w:tc>
        <w:tc>
          <w:tcPr>
            <w:tcW w:type="dxa" w:w="2880"/>
          </w:tcPr>
          <w:p>
            <w:r>
              <w:rPr>
                <w:b/>
              </w:rPr>
              <w:t>Notes</w:t>
            </w:r>
          </w:p>
        </w:tc>
      </w:tr>
      <w:tr>
        <w:tc>
          <w:tcPr>
            <w:tcW w:type="dxa" w:w="2880"/>
          </w:tcPr>
          <w:p>
            <w:r>
              <w:t>Debt to Assets (284)</w:t>
            </w:r>
          </w:p>
        </w:tc>
        <w:tc>
          <w:tcPr>
            <w:tcW w:type="dxa" w:w="2880"/>
          </w:tcPr>
          <w:p>
            <w:r>
              <w:t>= IBD / Total Assets</w:t>
            </w:r>
          </w:p>
        </w:tc>
        <w:tc>
          <w:tcPr>
            <w:tcW w:type="dxa" w:w="2880"/>
          </w:tcPr>
          <w:p>
            <w:r>
              <w:t>Proportion of assets financed by debt. NIKE FY2024: ~35.4% (includes leases).</w:t>
            </w:r>
          </w:p>
        </w:tc>
      </w:tr>
      <w:tr>
        <w:tc>
          <w:tcPr>
            <w:tcW w:type="dxa" w:w="2880"/>
          </w:tcPr>
          <w:p>
            <w:r>
              <w:t>Debt to Equity (285)</w:t>
            </w:r>
          </w:p>
        </w:tc>
        <w:tc>
          <w:tcPr>
            <w:tcW w:type="dxa" w:w="2880"/>
          </w:tcPr>
          <w:p>
            <w:r>
              <w:t>= IBD / Total Equity</w:t>
            </w:r>
          </w:p>
        </w:tc>
        <w:tc>
          <w:tcPr>
            <w:tcW w:type="dxa" w:w="2880"/>
          </w:tcPr>
          <w:p>
            <w:r>
              <w:t>For every $1 of equity, how much debt? NIKE FY2024: ~93.4%.</w:t>
            </w:r>
          </w:p>
        </w:tc>
      </w:tr>
      <w:tr>
        <w:tc>
          <w:tcPr>
            <w:tcW w:type="dxa" w:w="2880"/>
          </w:tcPr>
          <w:p>
            <w:r>
              <w:t>Asset to Equity (286)</w:t>
            </w:r>
          </w:p>
        </w:tc>
        <w:tc>
          <w:tcPr>
            <w:tcW w:type="dxa" w:w="2880"/>
          </w:tcPr>
          <w:p>
            <w:r>
              <w:t>= Total Assets / Total Equity</w:t>
            </w:r>
          </w:p>
        </w:tc>
        <w:tc>
          <w:tcPr>
            <w:tcW w:type="dxa" w:w="2880"/>
          </w:tcPr>
          <w:p>
            <w:r>
              <w:t>= Equity Multiplier (same as DuPont). FY2024: ~2.64x.</w:t>
            </w:r>
          </w:p>
        </w:tc>
      </w:tr>
    </w:tbl>
    <w:p/>
    <w:p>
      <w:pPr>
        <w:pStyle w:val="Heading2"/>
      </w:pPr>
      <w:r>
        <w:rPr>
          <w:color w:val="2E74B5"/>
        </w:rPr>
        <w:t>10.4  Coverage Ratios (Rows 290–292)</w:t>
      </w:r>
    </w:p>
    <w:p>
      <w:r>
        <w:t>These three ratios measure the ability to service debt obligations: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Ratio</w:t>
            </w:r>
          </w:p>
        </w:tc>
        <w:tc>
          <w:tcPr>
            <w:tcW w:type="dxa" w:w="2880"/>
          </w:tcPr>
          <w:p>
            <w:r>
              <w:rPr>
                <w:b/>
              </w:rPr>
              <w:t>Formula</w:t>
            </w:r>
          </w:p>
        </w:tc>
        <w:tc>
          <w:tcPr>
            <w:tcW w:type="dxa" w:w="2880"/>
          </w:tcPr>
          <w:p>
            <w:r>
              <w:rPr>
                <w:b/>
              </w:rPr>
              <w:t>Notes</w:t>
            </w:r>
          </w:p>
        </w:tc>
      </w:tr>
      <w:tr>
        <w:tc>
          <w:tcPr>
            <w:tcW w:type="dxa" w:w="2880"/>
          </w:tcPr>
          <w:p>
            <w:r>
              <w:t>Interest Coverage (290)</w:t>
            </w:r>
          </w:p>
        </w:tc>
        <w:tc>
          <w:tcPr>
            <w:tcW w:type="dxa" w:w="2880"/>
          </w:tcPr>
          <w:p>
            <w:r>
              <w:t>= (EBITDA − D&amp;A) / Interest Expense = EBIT / Interest Expense</w:t>
            </w:r>
          </w:p>
        </w:tc>
        <w:tc>
          <w:tcPr>
            <w:tcW w:type="dxa" w:w="2880"/>
          </w:tcPr>
          <w:p>
            <w:r>
              <w:t>How many times EBIT covers interest. FY2024: 6,754 / 269 ≈ 25.1x. Very comfortable.</w:t>
            </w:r>
          </w:p>
        </w:tc>
      </w:tr>
      <w:tr>
        <w:tc>
          <w:tcPr>
            <w:tcW w:type="dxa" w:w="2880"/>
          </w:tcPr>
          <w:p>
            <w:r>
              <w:t>EBITDA Less Tax Coverage (291)</w:t>
            </w:r>
          </w:p>
        </w:tc>
        <w:tc>
          <w:tcPr>
            <w:tcW w:type="dxa" w:w="2880"/>
          </w:tcPr>
          <w:p>
            <w:r>
              <w:t>= (EBITDA − Income Tax) / Interest Expense</w:t>
            </w:r>
          </w:p>
        </w:tc>
        <w:tc>
          <w:tcPr>
            <w:tcW w:type="dxa" w:w="2880"/>
          </w:tcPr>
          <w:p>
            <w:r>
              <w:t>A more conservative coverage — taxes are a prior claim. Measures cash available after tax but before capex.</w:t>
            </w:r>
          </w:p>
        </w:tc>
      </w:tr>
      <w:tr>
        <w:tc>
          <w:tcPr>
            <w:tcW w:type="dxa" w:w="2880"/>
          </w:tcPr>
          <w:p>
            <w:r>
              <w:t>CAFDS Notional Coverage (292)</w:t>
            </w:r>
          </w:p>
        </w:tc>
        <w:tc>
          <w:tcPr>
            <w:tcW w:type="dxa" w:w="2880"/>
          </w:tcPr>
          <w:p>
            <w:r>
              <w:t>= CFADS_notional / Interest Expense</w:t>
            </w:r>
          </w:p>
        </w:tc>
        <w:tc>
          <w:tcPr>
            <w:tcW w:type="dxa" w:w="2880"/>
          </w:tcPr>
          <w:p>
            <w:r>
              <w:t>Cash flow available for debt service (notional version, using D&amp;A as proxy for CapEx) divided by interest. The most comprehensive debt service measure.</w:t>
            </w:r>
          </w:p>
        </w:tc>
      </w:tr>
    </w:tbl>
    <w:p/>
    <w:p>
      <w:r>
        <w:t>Note: All three coverage ratios use Interest Expense from row 227 (which equals row 348 with sign flipped: positive value = expense paid). EBITDA for row 288 is computed as EBIT (row 346) + D&amp;A (row 344).</w:t>
      </w:r>
    </w:p>
    <w:p>
      <w:r>
        <w:br w:type="page"/>
      </w:r>
    </w:p>
    <w:p>
      <w:pPr>
        <w:pStyle w:val="Heading1"/>
      </w:pPr>
      <w:r>
        <w:rPr>
          <w:color w:val="1F497D"/>
        </w:rPr>
        <w:t>Part 11: Cash Flow Available for Debt Service — CFADS (Question 10, Rows 259–261)</w:t>
      </w:r>
    </w:p>
    <w:p>
      <w:pPr>
        <w:pStyle w:val="Heading2"/>
      </w:pPr>
      <w:r>
        <w:rPr>
          <w:color w:val="2E74B5"/>
        </w:rPr>
        <w:t>11.1  The Two CFADS Measures</w:t>
      </w:r>
    </w:p>
    <w:p>
      <w:r>
        <w:t>CFADS (or CAFDS) measures the cash the business generates that is theoretically available to pay its debt obligations. The model computes it two ways:</w:t>
      </w:r>
    </w:p>
    <w:p>
      <w:pPr>
        <w:pStyle w:val="Heading3"/>
      </w:pPr>
      <w:r>
        <w:t>Actual CFADS (Row 260)</w:t>
      </w:r>
    </w:p>
    <w:p>
      <w:r>
        <w:t>= Net Income + D&amp;A + After-tax Interest − ΔNOWC − Actual CapEx</w:t>
      </w:r>
    </w:p>
    <w:p>
      <w:r>
        <w:t>= NI + D&amp;A + Interest × (1 − t) − ΔNOWC − CapEx</w:t>
      </w:r>
    </w:p>
    <w:p>
      <w:r>
        <w:t>This uses the full CapEx requirement (row 231) — the true cash cost of maintaining and growing the asset base.</w:t>
      </w:r>
    </w:p>
    <w:p>
      <w:pPr>
        <w:pStyle w:val="Heading3"/>
      </w:pPr>
      <w:r>
        <w:t>Notional CFADS (Row 261)</w:t>
      </w:r>
    </w:p>
    <w:p>
      <w:r>
        <w:t>= Net Income + D&amp;A + After-tax Interest − ΔNOWC − D&amp;A</w:t>
      </w:r>
    </w:p>
    <w:p>
      <w:r>
        <w:t>= Net Income + After-tax Interest − ΔNOWC</w:t>
      </w:r>
    </w:p>
    <w:p>
      <w:r>
        <w:t>This substitutes D&amp;A for CapEx. Since D&amp;A cancels out, it simplifies to: NI + after-tax interest expense − ΔNOWC. The rationale is that D&amp;A proxies 'maintenance CapEx' only, treating the business as if it invests only enough to maintain current assets (not to grow them).</w:t>
      </w:r>
    </w:p>
    <w:p>
      <w:r>
        <w:t>Notional CFADS is typically higher than actual CFADS because D&amp;A &lt; actual CapEx for a growing business like NIKE.</w:t>
      </w:r>
    </w:p>
    <w:p>
      <w:pPr>
        <w:pStyle w:val="Heading2"/>
      </w:pPr>
      <w:r>
        <w:rPr>
          <w:color w:val="2E74B5"/>
        </w:rPr>
        <w:t>11.2  Why CFADS Matters for Debt Investors</w:t>
      </w:r>
    </w:p>
    <w:p>
      <w:r>
        <w:t>A lender underwriting a loan to NIKE would look at CFADS / Annual Debt Service to assess whether NIKE can comfortably service its debt. The notional version represents a conservative steady-state view; the actual version represents the full cash burden of operating as a growing business.</w:t>
      </w:r>
    </w:p>
    <w:p>
      <w:r>
        <w:br w:type="page"/>
      </w:r>
    </w:p>
    <w:p>
      <w:pPr>
        <w:pStyle w:val="Heading1"/>
      </w:pPr>
      <w:r>
        <w:rPr>
          <w:color w:val="1F497D"/>
        </w:rPr>
        <w:t>Part 12: Interest Tax Shield Analysis (Question 9, Rows 240–257)</w:t>
      </w:r>
    </w:p>
    <w:p>
      <w:pPr>
        <w:pStyle w:val="Heading2"/>
      </w:pPr>
      <w:r>
        <w:rPr>
          <w:color w:val="2E74B5"/>
        </w:rPr>
        <w:t>12.1  Background: Two Methods to Value the Tax Shield</w:t>
      </w:r>
    </w:p>
    <w:p>
      <w:r>
        <w:t>Interest is tax-deductible, creating a 'tax shield' that reduces NIKE's tax bill. There are two equivalent methods to account for this tax shield in a DCF valuation, and the model demonstrates both:</w:t>
      </w:r>
    </w:p>
    <w:p>
      <w:pPr>
        <w:pStyle w:val="ListBullet"/>
      </w:pPr>
      <w:r>
        <w:t>Method 1 (WACC method, Question 1 DCF): The tax shield is embedded in the WACC via the after-tax cost of debt: Kd × (1 − t). This is the standard WACC approach.</w:t>
      </w:r>
    </w:p>
    <w:p>
      <w:pPr>
        <w:pStyle w:val="ListBullet"/>
      </w:pPr>
      <w:r>
        <w:t>Method 2 (APV method, Question 9): The tax shield is valued separately as an explicit cash flow (ITS = Interest × tax rate), and the discount rate used is the WACC BEFORE tax (i.e., not incorporating the debt tax shield in the rate itself).</w:t>
      </w:r>
    </w:p>
    <w:p>
      <w:r>
        <w:t>These two methods must give the same Enterprise Value — they are mathematically equivalent. The model verifies this.</w:t>
      </w:r>
    </w:p>
    <w:p>
      <w:pPr>
        <w:pStyle w:val="Heading2"/>
      </w:pPr>
      <w:r>
        <w:rPr>
          <w:color w:val="2E74B5"/>
        </w:rPr>
        <w:t>12.2  Firm FCF with ITS (FFCFwITS, Rows 244 and 246)</w:t>
      </w:r>
    </w:p>
    <w:p>
      <w:r>
        <w:t>Method 1 route (row 244): FFCFwITS = EFCF + ΔIBD. This is the sum of all cash flows to all capital providers: equity holders (EFCF = dividends + buybacks − issuances) and debt holders (net new debt = ΔIBD). Since capital flows must equal firm cash flows, this is another way to compute the same firm FCF.</w:t>
      </w:r>
    </w:p>
    <w:p>
      <w:r>
        <w:t>Method 2 route (row 246): FFCFwITS = OFCF + ITS = Total FCF (row 22) + Interest Tax Shield (ITS = Interest × 21%).</w:t>
      </w:r>
    </w:p>
    <w:p>
      <w:r>
        <w:t>Both should produce the same FFCFwITS for each year. This is a powerful reconciliation check.</w:t>
      </w:r>
    </w:p>
    <w:p>
      <w:pPr>
        <w:pStyle w:val="Heading2"/>
      </w:pPr>
      <w:r>
        <w:rPr>
          <w:color w:val="2E74B5"/>
        </w:rPr>
        <w:t>12.3  Interest Tax Shield (Row 245)</w:t>
      </w:r>
    </w:p>
    <w:p>
      <w:r>
        <w:t>ITS = Interest Expense (absolute value) × Tax Rate = L227 × $R$25. For forecast years, this equals: average IBD × 4.8% × 21%.</w:t>
      </w:r>
    </w:p>
    <w:p>
      <w:pPr>
        <w:pStyle w:val="Heading2"/>
      </w:pPr>
      <w:r>
        <w:rPr>
          <w:color w:val="2E74B5"/>
        </w:rPr>
        <w:t>12.4  WACC Before Tax (Row 251)</w:t>
      </w:r>
    </w:p>
    <w:p>
      <w:r>
        <w:t>WACC_before_tax = WACC_after_tax + D/V × tax rate × Kd</w:t>
      </w:r>
    </w:p>
    <w:p>
      <w:r>
        <w:t>Formula: L251 = O25 + R27 × R25 × R26. This 'grosses up' the after-tax WACC back to the pre-tax equivalent. Assumed constant for all forecast years (L251:R251 all = L251).</w:t>
      </w:r>
    </w:p>
    <w:p>
      <w:pPr>
        <w:pStyle w:val="Heading2"/>
      </w:pPr>
      <w:r>
        <w:rPr>
          <w:color w:val="2E74B5"/>
        </w:rPr>
        <w:t>12.5  Enterprise Value with ITS (EV_ITS, Row 252)</w:t>
      </w:r>
    </w:p>
    <w:p>
      <w:r>
        <w:t>This is the APV-style EV, computed by discounting FFCFwITS at the pre-tax WACC:</w:t>
      </w:r>
    </w:p>
    <w:p>
      <w:r>
        <w:t>K252 = (L252 + L246) / (1 + L251)^1. The recursion unwinds from the terminal period: P252 = Q246 / (R251 − R15) (terminal value). The EV is computed BACKWARDS from the terminal year through to today.</w:t>
      </w:r>
    </w:p>
    <w:p>
      <w:r>
        <w:t>K252 should closely match K28 (the standard WACC-based EV). If they match, the model is internally consistent on ITS valuation.</w:t>
      </w:r>
    </w:p>
    <w:p>
      <w:pPr>
        <w:pStyle w:val="Heading2"/>
      </w:pPr>
      <w:r>
        <w:rPr>
          <w:color w:val="2E74B5"/>
        </w:rPr>
        <w:t>12.6  Variable WACC After Tax (Row 256)</w:t>
      </w:r>
    </w:p>
    <w:p>
      <w:r>
        <w:t>A key academic insight: when a company has a target leverage ratio (as NIKE does here with its 21% LT debt/assets), the D/V ratio changes year-by-year as asset values change. Therefore, the WACC itself should technically change each year.</w:t>
      </w:r>
    </w:p>
    <w:p>
      <w:r>
        <w:t>Row 256 computes the year-specific WACC: L256 = L251 − L253 × L255 × $R$25</w:t>
      </w:r>
    </w:p>
    <w:p>
      <w:r>
        <w:t>Where L253 = D/V_ITS (D from row 201, V from row 252) and L255 = cost of debt (4.8%). The resulting variable WACCs feed into row 257's recursive EV computation.</w:t>
      </w:r>
    </w:p>
    <w:p>
      <w:pPr>
        <w:pStyle w:val="Heading2"/>
      </w:pPr>
      <w:r>
        <w:rPr>
          <w:color w:val="2E74B5"/>
        </w:rPr>
        <w:t>12.7  EV with Variable WACC (Row 257)</w:t>
      </w:r>
    </w:p>
    <w:p>
      <w:r>
        <w:t>Row 257 uses the year-specific WACC (row 256) to discount OFCF (row 22), computing EV recursively: K257 = (L257 + L22) / (1 + L256)^1.</w:t>
      </w:r>
    </w:p>
    <w:p>
      <w:r>
        <w:t>K257 should also match K28 and K252 — all three EV estimates should converge to the same answer, proving internal consistency across all three valuation approaches.</w:t>
      </w:r>
    </w:p>
    <w:p>
      <w:r>
        <w:br w:type="page"/>
      </w:r>
    </w:p>
    <w:p>
      <w:pPr>
        <w:pStyle w:val="Heading1"/>
      </w:pPr>
      <w:r>
        <w:rPr>
          <w:color w:val="1F497D"/>
        </w:rPr>
        <w:t>Part 13: Capital Structure and Equity Policy Details</w:t>
      </w:r>
    </w:p>
    <w:p>
      <w:pPr>
        <w:pStyle w:val="Heading2"/>
      </w:pPr>
      <w:r>
        <w:rPr>
          <w:color w:val="2E74B5"/>
        </w:rPr>
        <w:t>13.1  How the Target Leverage Constraint Works End-to-End</w:t>
      </w:r>
    </w:p>
    <w:p>
      <w:r>
        <w:t>This is the most interconnected part of the model. Trace the full loop:</w:t>
      </w:r>
    </w:p>
    <w:p>
      <w:r>
        <w:t>1. Revenue forecast (row 338) grows by the glide-path rate.</w:t>
      </w:r>
    </w:p>
    <w:p>
      <w:r>
        <w:t>2. All balance sheet items scale with revenue → Total Assets (row 518) grows.</w:t>
      </w:r>
    </w:p>
    <w:p>
      <w:r>
        <w:t>3. Long-term Debt (row 528) = Total Assets × 21%.</w:t>
      </w:r>
    </w:p>
    <w:p>
      <w:r>
        <w:t>4. IBD (row 201) = LT Debt + other IBD components (most frozen, so IBD ≈ LT Debt + constant).</w:t>
      </w:r>
    </w:p>
    <w:p>
      <w:r>
        <w:t>5. Average IBD (beginning + end) feeds Interest Expense (row 348) = 4.8% × avg IBD.</w:t>
      </w:r>
    </w:p>
    <w:p>
      <w:r>
        <w:t>6. Interest Expense reduces EBT → Tax → Net Income.</w:t>
      </w:r>
    </w:p>
    <w:p>
      <w:r>
        <w:t>7. Net Income feeds: (a) Retained Earnings → Equity → Total Assets (feedback loop). (b) Buybacks = 40% × NI. (c) Dividends = 20% × NI.</w:t>
      </w:r>
    </w:p>
    <w:p>
      <w:r>
        <w:t>8. The change in Cash (row 236) is computed, which updates Cash (row 500), which feeds into Total Assets.</w:t>
      </w:r>
    </w:p>
    <w:p>
      <w:r>
        <w:t>9. Since Total Assets depends on Cash, and Cash depends on ΔIBD (which depends on LT Debt, which depends on Total Assets), there is a circular reference. Excel's iterative calculation resolves this.</w:t>
      </w:r>
    </w:p>
    <w:p>
      <w:pPr>
        <w:pStyle w:val="Heading2"/>
      </w:pPr>
      <w:r>
        <w:rPr>
          <w:color w:val="2E74B5"/>
        </w:rPr>
        <w:t>13.2  Share Buyback and Dividend Policy</w:t>
      </w:r>
    </w:p>
    <w:p>
      <w:r>
        <w:t>Buybacks (row 460): = Net Income × (−40%). Forecast years L460:R460. The negative sign is intentional — buybacks are a cash outflow (negative from the firm's perspective).</w:t>
      </w:r>
    </w:p>
    <w:p>
      <w:r>
        <w:t>Dividends (row 464): = Buybacks / 2 = Net Income × (−20%). The dividend policy is set as exactly half the buyback amount. L464 = L460 / 2, and M464 through R464 all = L464 — meaning dividends are held constant at the FY2025 level in years 2–7 of the forecast (a flat nominal dividend assumption).</w:t>
      </w:r>
    </w:p>
    <w:p>
      <w:r>
        <w:t>Wait — re-examining: M464 = L464, N464 = M464, etc. So dividends don't grow with net income after year 1 — they stay flat. This is different from buybacks which DO grow (because they're always 40% of net income). This is a modelling choice but creates an inconsistency in the dividend policy over the forecast horizon.</w:t>
      </w:r>
    </w:p>
    <w:p>
      <w:pPr>
        <w:pStyle w:val="Heading2"/>
      </w:pPr>
      <w:r>
        <w:rPr>
          <w:color w:val="2E74B5"/>
        </w:rPr>
        <w:t>13.3  Equity Issuances (Row 459)</w:t>
      </w:r>
    </w:p>
    <w:p>
      <w:r>
        <w:t>L459 = K459 = $667m frozen for all forecast years. This represents proceeds from employee stock option/RSU exercises. Held constant at the FY2024 level since option exercise patterns are hard to forecast.</w:t>
      </w:r>
    </w:p>
    <w:p>
      <w:r>
        <w:t>These proceeds increase APIC each year: the formula for APIC (row 536) is L536 = K536 + L460 + L459 = Prior APIC + Buybacks (negative) + Option Proceeds (positive). Typically buybacks far exceed option proceeds, so APIC trends downward.</w:t>
      </w:r>
    </w:p>
    <w:p>
      <w:r>
        <w:br w:type="page"/>
      </w:r>
    </w:p>
    <w:p>
      <w:pPr>
        <w:pStyle w:val="Heading1"/>
      </w:pPr>
      <w:r>
        <w:rPr>
          <w:color w:val="1F497D"/>
        </w:rPr>
        <w:t>Part 14: Historical Supplemental Data (Rows 540–590)</w:t>
      </w:r>
    </w:p>
    <w:p>
      <w:pPr>
        <w:pStyle w:val="Heading2"/>
      </w:pPr>
      <w:r>
        <w:rPr>
          <w:color w:val="2E74B5"/>
        </w:rPr>
        <w:t>14.1  Shares Outstanding and EPS History (Rows 543–376 region)</w:t>
      </w:r>
    </w:p>
    <w:p>
      <w:r>
        <w:t>The Capital IQ data blocks include detailed per-share data:</w:t>
      </w:r>
    </w:p>
    <w:p>
      <w:pPr>
        <w:pStyle w:val="ListBullet"/>
      </w:pPr>
      <w:r>
        <w:t>Weighted average basic shares: 1,723.5m in FY2015 → 1,517.6m in FY2024 — a 11.9% reduction over 10 years, purely driven by buybacks.</w:t>
      </w:r>
    </w:p>
    <w:p>
      <w:pPr>
        <w:pStyle w:val="ListBullet"/>
      </w:pPr>
      <w:r>
        <w:t>Diluted shares: slightly higher than basic (stock options dilutive effect).</w:t>
      </w:r>
    </w:p>
    <w:p>
      <w:pPr>
        <w:pStyle w:val="ListBullet"/>
      </w:pPr>
      <w:r>
        <w:t>Basic EPS: grew from $1.90 in FY2015 to $3.76 in FY2024 despite mixed net income, because share count has been shrinking.</w:t>
      </w:r>
    </w:p>
    <w:p>
      <w:pPr>
        <w:pStyle w:val="ListBullet"/>
      </w:pPr>
      <w:r>
        <w:t>Historical payout ratio: ranged from 27% to 64%, with the FY2018 spike due to low net income (TCJA transition tax).</w:t>
      </w:r>
    </w:p>
    <w:p>
      <w:pPr>
        <w:pStyle w:val="Heading2"/>
      </w:pPr>
      <w:r>
        <w:rPr>
          <w:color w:val="2E74B5"/>
        </w:rPr>
        <w:t>14.2  Fair Value Measurement Hierarchy (Rows 585–590)</w:t>
      </w:r>
    </w:p>
    <w:p>
      <w:r>
        <w:t>This supplemental Capital IQ data shows how NIKE classifies its financial assets and liabilities by measurement quality (ASC 820):</w:t>
      </w:r>
    </w:p>
    <w:p>
      <w:pPr>
        <w:pStyle w:val="ListBullet"/>
      </w:pPr>
      <w:r>
        <w:t>Level 1 (Row 585): Quoted market prices — money market funds, exchange-traded stocks. FY2024: $1,175m.</w:t>
      </w:r>
    </w:p>
    <w:p>
      <w:pPr>
        <w:pStyle w:val="ListBullet"/>
      </w:pPr>
      <w:r>
        <w:t>Level 2 (Row 586): Observable market data but not quoted prices — corporate bonds, foreign exchange derivatives. FY2024: $9,528m (bulk of NIKE's financial assets are Level 2).</w:t>
      </w:r>
    </w:p>
    <w:p>
      <w:pPr>
        <w:pStyle w:val="ListBullet"/>
      </w:pPr>
      <w:r>
        <w:t>Level 3 (Row 587): Unobservable inputs — private equity, structured products. Negligible for NIKE ($8–10m, and zero from FY2018 onwards).</w:t>
      </w:r>
    </w:p>
    <w:p>
      <w:pPr>
        <w:pStyle w:val="ListBullet"/>
      </w:pPr>
      <w:r>
        <w:t>Total Fair Value of Assets (Row 588): FY2024 $10,703m — broadly matches Cash + ST Investments ($11,582m) with minor differences in classification.</w:t>
      </w:r>
    </w:p>
    <w:p>
      <w:pPr>
        <w:pStyle w:val="ListBullet"/>
      </w:pPr>
      <w:r>
        <w:t>Fair Value of Liabilities (Row 589–590): These are the fair values of NIKE's financial liabilities — primarily long-term debt measured at fair value for disclosure. FY2024: $7,782m vs book value of LT debt $7,934m.</w:t>
      </w:r>
    </w:p>
    <w:p>
      <w:pPr>
        <w:pStyle w:val="Heading2"/>
      </w:pPr>
      <w:r>
        <w:rPr>
          <w:color w:val="2E74B5"/>
        </w:rPr>
        <w:t>14.3  NOL Carryforwards (Rows 564–570)</w:t>
      </w:r>
    </w:p>
    <w:p>
      <w:r>
        <w:t>Net Operating Loss carryforwards represent prior-year tax losses that can be used to reduce future tax bills. NIKE has historically had small NOLs — primarily from foreign subsidiaries in certain jurisdictions.</w:t>
      </w:r>
    </w:p>
    <w:p>
      <w:r>
        <w:t>Total NOL carryforward was $257–289m in FY2018–FY2019, declining to $61m by FY2023. From FY2024 the disclosure shows 'NA', suggesting NIKE has used up most carryforwards. These are immaterial to the model's tax assumptions.</w:t>
      </w:r>
    </w:p>
    <w:p>
      <w:pPr>
        <w:pStyle w:val="Heading2"/>
      </w:pPr>
      <w:r>
        <w:rPr>
          <w:color w:val="2E74B5"/>
        </w:rPr>
        <w:t>14.4  Unrecognised Tax Benefits — FIN 48 (Rows 574–582)</w:t>
      </w:r>
    </w:p>
    <w:p>
      <w:r>
        <w:t>Under ASC 740 (formerly FIN 48), companies must disclose 'unrecognised tax benefits' — positions they have taken on their tax returns that have not yet been recognised in their financial statements because the ultimate tax outcome is uncertain.</w:t>
      </w:r>
    </w:p>
    <w:p>
      <w:r>
        <w:t>NIKE's unrecognised tax benefits have grown from $438m (FY2016) to $990m (FY2024). These represent tax positions that, if successfully challenged by tax authorities, would increase NIKE's tax bill. The model does not explicitly model this risk — it uses a flat 21% tax rate, which effectively ignores this contingent liability.</w:t>
      </w:r>
    </w:p>
    <w:p>
      <w:pPr>
        <w:pStyle w:val="Heading2"/>
      </w:pPr>
      <w:r>
        <w:rPr>
          <w:color w:val="2E74B5"/>
        </w:rPr>
        <w:t>14.5  Operating Lease Metrics (Rows 394–395)</w:t>
      </w:r>
    </w:p>
    <w:p>
      <w:r>
        <w:t>NIKE's operating lease portfolio is significant:</w:t>
      </w:r>
    </w:p>
    <w:p>
      <w:pPr>
        <w:pStyle w:val="ListBullet"/>
      </w:pPr>
      <w:r>
        <w:t>Imputed operating lease interest (Row 394): ~$187m in FY2024 — the implicit interest component of operating lease payments.</w:t>
      </w:r>
    </w:p>
    <w:p>
      <w:pPr>
        <w:pStyle w:val="ListBullet"/>
      </w:pPr>
      <w:r>
        <w:t>Imputed operating lease depreciation (Row 395): ~$864m in FY2024 — the implicit depreciation of right-of-use assets.</w:t>
      </w:r>
    </w:p>
    <w:p>
      <w:r>
        <w:t>These 'imputed' figures are Capital IQ's restatement to make pre-IFRS 16 / ASC 842 comparisons possible. Post-FY2020 (when ASC 842 was adopted), NIKE began capitalising operating leases — this caused Total Assets to jump from $23.7bn (FY2019) to $31.3bn (FY2020), and D&amp;A to jump from $720m to $1,119m.</w:t>
      </w:r>
    </w:p>
    <w:p>
      <w:pPr>
        <w:pStyle w:val="Heading2"/>
      </w:pPr>
      <w:r>
        <w:rPr>
          <w:color w:val="2E74B5"/>
        </w:rPr>
        <w:t>14.6  Employee Headcount (Row 559)</w:t>
      </w:r>
    </w:p>
    <w:p>
      <w:r>
        <w:t>Headcount declined from 83,700 (FY2023) to 79,400 (FY2024), reflecting the restructuring announced in FY2024 (which also triggered the $443m restructuring charge). Peak headcount was 83,700; the decline is consistent with NIKE's strategic restructuring.</w:t>
      </w:r>
    </w:p>
    <w:p>
      <w:pPr>
        <w:pStyle w:val="Heading2"/>
      </w:pPr>
      <w:r>
        <w:rPr>
          <w:color w:val="2E74B5"/>
        </w:rPr>
        <w:t>14.7  FX Exchange Rates (Rows 495–497)</w:t>
      </w:r>
    </w:p>
    <w:p>
      <w:r>
        <w:t>All exchange rates are 1:1 USD throughout — since NIKE reports in USD and the model is built in USD, there is no currency translation needed. NIKE's actual results incorporate FX effects in the consolidated figures already.</w:t>
      </w:r>
    </w:p>
    <w:p>
      <w:r>
        <w:br w:type="page"/>
      </w:r>
    </w:p>
    <w:p>
      <w:pPr>
        <w:pStyle w:val="Heading1"/>
      </w:pPr>
      <w:r>
        <w:rPr>
          <w:color w:val="1F497D"/>
        </w:rPr>
        <w:t>Part 15: The Full Chain — How Every Number Links Together</w:t>
      </w:r>
    </w:p>
    <w:p>
      <w:pPr>
        <w:pStyle w:val="Heading2"/>
      </w:pPr>
      <w:r>
        <w:rPr>
          <w:color w:val="2E74B5"/>
        </w:rPr>
        <w:t>15.1  The Revenue Spine</w:t>
      </w:r>
    </w:p>
    <w:p>
      <w:r>
        <w:t>Revenue (R338) is the single driver from which virtually everything in the forecast is derived:</w:t>
      </w:r>
    </w:p>
    <w:p>
      <w:r>
        <w:t>Revenue → COGS (321×338) → Gross Profit → SG&amp;A (scaled 342) + D&amp;A (scaled 344) → EBIT → Interest (via avg IBD→debt→assets→IBD) + Investment Income → EBT → Tax (21%) → Net Income → Retained Earnings → Equity → Assets → Debt → Interest (circular)</w:t>
      </w:r>
    </w:p>
    <w:p>
      <w:pPr>
        <w:pStyle w:val="Heading2"/>
      </w:pPr>
      <w:r>
        <w:rPr>
          <w:color w:val="2E74B5"/>
        </w:rPr>
        <w:t>15.2  The Asset/Debt Loop (Circular Reference)</w:t>
      </w:r>
    </w:p>
    <w:p>
      <w:r>
        <w:t>Revenue → most Balance Sheet items scale as % of revenue → Total Assets → LT Debt = 21% × Assets → IBD → Interest Expense → EBT → Net Income → RE → Equity → Assets (minor feedback). The circularity is small and well-behaved (converges within a few iterations).</w:t>
      </w:r>
    </w:p>
    <w:p>
      <w:pPr>
        <w:pStyle w:val="Heading2"/>
      </w:pPr>
      <w:r>
        <w:rPr>
          <w:color w:val="2E74B5"/>
        </w:rPr>
        <w:t>15.3  The Cash Flow Cascade</w:t>
      </w:r>
    </w:p>
    <w:p>
      <w:r>
        <w:t>Net Income + D&amp;A − ΔNOWC − CapEx = OCF + InvCF. Plus ΔIBD − EFCF = FinancingCF. Sum = ΔCash → Cash balance updates → Total Assets update → LT Debt updates (small second-order effect).</w:t>
      </w:r>
    </w:p>
    <w:p>
      <w:pPr>
        <w:pStyle w:val="Heading2"/>
      </w:pPr>
      <w:r>
        <w:rPr>
          <w:color w:val="2E74B5"/>
        </w:rPr>
        <w:t>15.4  From EV to Share Price: The 5-Step Arithmetic</w:t>
      </w:r>
    </w:p>
    <w:p>
      <w:r>
        <w:t>Step 1: Sum PV(FCF years 1–6) = K27</w:t>
      </w:r>
    </w:p>
    <w:p>
      <w:r>
        <w:t>Step 2: Compute Terminal Value at year 7 = K25 = Year7_FCF / (WACC − g)</w:t>
      </w:r>
    </w:p>
    <w:p>
      <w:r>
        <w:t>Step 3: Discount TV back 7 years = K26 = K25 / (1+WACC)^7</w:t>
      </w:r>
    </w:p>
    <w:p>
      <w:r>
        <w:t>Step 4: EV = K27 + K26</w:t>
      </w:r>
    </w:p>
    <w:p>
      <w:r>
        <w:t>Step 5: Equity Value = EV + Cash − Debt. Divide by diluted shares → Price/share</w:t>
      </w:r>
    </w:p>
    <w:p>
      <w:pPr>
        <w:pStyle w:val="Heading2"/>
      </w:pPr>
      <w:r>
        <w:rPr>
          <w:color w:val="2E74B5"/>
        </w:rPr>
        <w:t>15.5  Comparable Cross-Check</w:t>
      </w:r>
    </w:p>
    <w:p>
      <w:r>
        <w:t>The multiples-implied share price provides a second opinion. When the four multiples give very different prices, it signals the model assumptions may be at the edge of what peers support. The WACC that reconciles DCF to the multiples price (12.23%) being higher than the market-implied WACC (9.39%) means: the DCF model is more bullish than the multiples, or the comparables are not perfect peers.</w:t>
      </w:r>
    </w:p>
    <w:p>
      <w:r>
        <w:br w:type="page"/>
      </w:r>
    </w:p>
    <w:p>
      <w:pPr>
        <w:pStyle w:val="Heading1"/>
      </w:pPr>
      <w:r>
        <w:rPr>
          <w:color w:val="1F497D"/>
        </w:rPr>
        <w:t>Part 16: Key Assumptions Summary and Stress Points</w:t>
      </w:r>
    </w:p>
    <w:p>
      <w:pPr>
        <w:pStyle w:val="Heading2"/>
      </w:pPr>
      <w:r>
        <w:rPr>
          <w:color w:val="2E74B5"/>
        </w:rPr>
        <w:t>16.1  Core Assumptions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Assumption</w:t>
            </w:r>
          </w:p>
        </w:tc>
        <w:tc>
          <w:tcPr>
            <w:tcW w:type="dxa" w:w="2880"/>
          </w:tcPr>
          <w:p>
            <w:r>
              <w:rPr>
                <w:b/>
              </w:rPr>
              <w:t>Value</w:t>
            </w:r>
          </w:p>
        </w:tc>
        <w:tc>
          <w:tcPr>
            <w:tcW w:type="dxa" w:w="2880"/>
          </w:tcPr>
          <w:p>
            <w:r>
              <w:rPr>
                <w:b/>
              </w:rPr>
              <w:t>Comment</w:t>
            </w:r>
          </w:p>
        </w:tc>
      </w:tr>
      <w:tr>
        <w:tc>
          <w:tcPr>
            <w:tcW w:type="dxa" w:w="2880"/>
          </w:tcPr>
          <w:p>
            <w:r>
              <w:t>Terminal revenue growth rate</w:t>
            </w:r>
          </w:p>
        </w:tc>
        <w:tc>
          <w:tcPr>
            <w:tcW w:type="dxa" w:w="2880"/>
          </w:tcPr>
          <w:p>
            <w:r>
              <w:t>4.0% (R320)</w:t>
            </w:r>
          </w:p>
        </w:tc>
        <w:tc>
          <w:tcPr>
            <w:tcW w:type="dxa" w:w="2880"/>
          </w:tcPr>
          <w:p>
            <w:r>
              <w:t>Long-run nominal GDP-like growth — reasonable for a mature global brand.</w:t>
            </w:r>
          </w:p>
        </w:tc>
      </w:tr>
      <w:tr>
        <w:tc>
          <w:tcPr>
            <w:tcW w:type="dxa" w:w="2880"/>
          </w:tcPr>
          <w:p>
            <w:r>
              <w:t>Terminal COGS / Sales</w:t>
            </w:r>
          </w:p>
        </w:tc>
        <w:tc>
          <w:tcPr>
            <w:tcW w:type="dxa" w:w="2880"/>
          </w:tcPr>
          <w:p>
            <w:r>
              <w:t>51.0% (R321)</w:t>
            </w:r>
          </w:p>
        </w:tc>
        <w:tc>
          <w:tcPr>
            <w:tcW w:type="dxa" w:w="2880"/>
          </w:tcPr>
          <w:p>
            <w:r>
              <w:t>Assumes margin recovery from FY2024's 55.3% back to historical levels.</w:t>
            </w:r>
          </w:p>
        </w:tc>
      </w:tr>
      <w:tr>
        <w:tc>
          <w:tcPr>
            <w:tcW w:type="dxa" w:w="2880"/>
          </w:tcPr>
          <w:p>
            <w:r>
              <w:t>Tax rate</w:t>
            </w:r>
          </w:p>
        </w:tc>
        <w:tc>
          <w:tcPr>
            <w:tcW w:type="dxa" w:w="2880"/>
          </w:tcPr>
          <w:p>
            <w:r>
              <w:t>21.0% (R25)</w:t>
            </w:r>
          </w:p>
        </w:tc>
        <w:tc>
          <w:tcPr>
            <w:tcW w:type="dxa" w:w="2880"/>
          </w:tcPr>
          <w:p>
            <w:r>
              <w:t>US statutory rate — ignores foreign rate differential and deferred items.</w:t>
            </w:r>
          </w:p>
        </w:tc>
      </w:tr>
      <w:tr>
        <w:tc>
          <w:tcPr>
            <w:tcW w:type="dxa" w:w="2880"/>
          </w:tcPr>
          <w:p>
            <w:r>
              <w:t>Target LT Debt / Assets</w:t>
            </w:r>
          </w:p>
        </w:tc>
        <w:tc>
          <w:tcPr>
            <w:tcW w:type="dxa" w:w="2880"/>
          </w:tcPr>
          <w:p>
            <w:r>
              <w:t>21.0% (R323)</w:t>
            </w:r>
          </w:p>
        </w:tc>
        <w:tc>
          <w:tcPr>
            <w:tcW w:type="dxa" w:w="2880"/>
          </w:tcPr>
          <w:p>
            <w:r>
              <w:t>Held constant forever — real-world debt levels are more dynamic.</w:t>
            </w:r>
          </w:p>
        </w:tc>
      </w:tr>
      <w:tr>
        <w:tc>
          <w:tcPr>
            <w:tcW w:type="dxa" w:w="2880"/>
          </w:tcPr>
          <w:p>
            <w:r>
              <w:t>Buyback payout</w:t>
            </w:r>
          </w:p>
        </w:tc>
        <w:tc>
          <w:tcPr>
            <w:tcW w:type="dxa" w:w="2880"/>
          </w:tcPr>
          <w:p>
            <w:r>
              <w:t>40% of net income (R324)</w:t>
            </w:r>
          </w:p>
        </w:tc>
        <w:tc>
          <w:tcPr>
            <w:tcW w:type="dxa" w:w="2880"/>
          </w:tcPr>
          <w:p>
            <w:r>
              <w:t>Conservative relative to FY2023/FY2024 actuals (~86% and ~75%).</w:t>
            </w:r>
          </w:p>
        </w:tc>
      </w:tr>
      <w:tr>
        <w:tc>
          <w:tcPr>
            <w:tcW w:type="dxa" w:w="2880"/>
          </w:tcPr>
          <w:p>
            <w:r>
              <w:t>Dividend payout</w:t>
            </w:r>
          </w:p>
        </w:tc>
        <w:tc>
          <w:tcPr>
            <w:tcW w:type="dxa" w:w="2880"/>
          </w:tcPr>
          <w:p>
            <w:r>
              <w:t>= half of buybacks / frozen at year-1 level</w:t>
            </w:r>
          </w:p>
        </w:tc>
        <w:tc>
          <w:tcPr>
            <w:tcW w:type="dxa" w:w="2880"/>
          </w:tcPr>
          <w:p>
            <w:r>
              <w:t>Dividends flat from year 2 onwards — simplified.</w:t>
            </w:r>
          </w:p>
        </w:tc>
      </w:tr>
      <w:tr>
        <w:tc>
          <w:tcPr>
            <w:tcW w:type="dxa" w:w="2880"/>
          </w:tcPr>
          <w:p>
            <w:r>
              <w:t>Equity issuances</w:t>
            </w:r>
          </w:p>
        </w:tc>
        <w:tc>
          <w:tcPr>
            <w:tcW w:type="dxa" w:w="2880"/>
          </w:tcPr>
          <w:p>
            <w:r>
              <w:t>$667m/year (frozen at K459)</w:t>
            </w:r>
          </w:p>
        </w:tc>
        <w:tc>
          <w:tcPr>
            <w:tcW w:type="dxa" w:w="2880"/>
          </w:tcPr>
          <w:p>
            <w:r>
              <w:t>FY2024 option proceeds, assumed constant.</w:t>
            </w:r>
          </w:p>
        </w:tc>
      </w:tr>
      <w:tr>
        <w:tc>
          <w:tcPr>
            <w:tcW w:type="dxa" w:w="2880"/>
          </w:tcPr>
          <w:p>
            <w:r>
              <w:t>Cost of debt</w:t>
            </w:r>
          </w:p>
        </w:tc>
        <w:tc>
          <w:tcPr>
            <w:tcW w:type="dxa" w:w="2880"/>
          </w:tcPr>
          <w:p>
            <w:r>
              <w:t>4.8% (R26)</w:t>
            </w:r>
          </w:p>
        </w:tc>
        <w:tc>
          <w:tcPr>
            <w:tcW w:type="dxa" w:w="2880"/>
          </w:tcPr>
          <w:p>
            <w:r>
              <w:t>Pre-tax. Reasonable given NIKE's investment-grade BBB+ rating.</w:t>
            </w:r>
          </w:p>
        </w:tc>
      </w:tr>
      <w:tr>
        <w:tc>
          <w:tcPr>
            <w:tcW w:type="dxa" w:w="2880"/>
          </w:tcPr>
          <w:p>
            <w:r>
              <w:t>Beta</w:t>
            </w:r>
          </w:p>
        </w:tc>
        <w:tc>
          <w:tcPr>
            <w:tcW w:type="dxa" w:w="2880"/>
          </w:tcPr>
          <w:p>
            <w:r>
              <w:t>1.24 (O27)</w:t>
            </w:r>
          </w:p>
        </w:tc>
        <w:tc>
          <w:tcPr>
            <w:tcW w:type="dxa" w:w="2880"/>
          </w:tcPr>
          <w:p>
            <w:r>
              <w:t>Slightly above market. Reflects consumer discretionary cyclicality.</w:t>
            </w:r>
          </w:p>
        </w:tc>
      </w:tr>
      <w:tr>
        <w:tc>
          <w:tcPr>
            <w:tcW w:type="dxa" w:w="2880"/>
          </w:tcPr>
          <w:p>
            <w:r>
              <w:t>Market risk premium</w:t>
            </w:r>
          </w:p>
        </w:tc>
        <w:tc>
          <w:tcPr>
            <w:tcW w:type="dxa" w:w="2880"/>
          </w:tcPr>
          <w:p>
            <w:r>
              <w:t>5.5% (O28)</w:t>
            </w:r>
          </w:p>
        </w:tc>
        <w:tc>
          <w:tcPr>
            <w:tcW w:type="dxa" w:w="2880"/>
          </w:tcPr>
          <w:p>
            <w:r>
              <w:t>Standard global MRP assumption.</w:t>
            </w:r>
          </w:p>
        </w:tc>
      </w:tr>
      <w:tr>
        <w:tc>
          <w:tcPr>
            <w:tcW w:type="dxa" w:w="2880"/>
          </w:tcPr>
          <w:p>
            <w:r>
              <w:t>Risk-free rate</w:t>
            </w:r>
          </w:p>
        </w:tc>
        <w:tc>
          <w:tcPr>
            <w:tcW w:type="dxa" w:w="2880"/>
          </w:tcPr>
          <w:p>
            <w:r>
              <w:t>4.34% (O26)</w:t>
            </w:r>
          </w:p>
        </w:tc>
        <w:tc>
          <w:tcPr>
            <w:tcW w:type="dxa" w:w="2880"/>
          </w:tcPr>
          <w:p>
            <w:r>
              <w:t>Australian 10-year government bond at model date (from RBA).</w:t>
            </w:r>
          </w:p>
        </w:tc>
      </w:tr>
      <w:tr>
        <w:tc>
          <w:tcPr>
            <w:tcW w:type="dxa" w:w="2880"/>
          </w:tcPr>
          <w:p>
            <w:r>
              <w:t>SG&amp;A / Sales</w:t>
            </w:r>
          </w:p>
        </w:tc>
        <w:tc>
          <w:tcPr>
            <w:tcW w:type="dxa" w:w="2880"/>
          </w:tcPr>
          <w:p>
            <w:r>
              <w:t>Held at FY2024 level (30.0%)</w:t>
            </w:r>
          </w:p>
        </w:tc>
        <w:tc>
          <w:tcPr>
            <w:tcW w:type="dxa" w:w="2880"/>
          </w:tcPr>
          <w:p>
            <w:r>
              <w:t>No improvement assumed — flat efficiency.</w:t>
            </w:r>
          </w:p>
        </w:tc>
      </w:tr>
      <w:tr>
        <w:tc>
          <w:tcPr>
            <w:tcW w:type="dxa" w:w="2880"/>
          </w:tcPr>
          <w:p>
            <w:r>
              <w:t>D&amp;A / Sales</w:t>
            </w:r>
          </w:p>
        </w:tc>
        <w:tc>
          <w:tcPr>
            <w:tcW w:type="dxa" w:w="2880"/>
          </w:tcPr>
          <w:p>
            <w:r>
              <w:t>Held at FY2024 level (1.55%)</w:t>
            </w:r>
          </w:p>
        </w:tc>
        <w:tc>
          <w:tcPr>
            <w:tcW w:type="dxa" w:w="2880"/>
          </w:tcPr>
          <w:p>
            <w:r>
              <w:t>D&amp;A grows with revenue, but CapEx also grows → model handles via balance sheet.</w:t>
            </w:r>
          </w:p>
        </w:tc>
      </w:tr>
      <w:tr>
        <w:tc>
          <w:tcPr>
            <w:tcW w:type="dxa" w:w="2880"/>
          </w:tcPr>
          <w:p>
            <w:r>
              <w:t>Currency exchange FX</w:t>
            </w:r>
          </w:p>
        </w:tc>
        <w:tc>
          <w:tcPr>
            <w:tcW w:type="dxa" w:w="2880"/>
          </w:tcPr>
          <w:p>
            <w:r>
              <w:t>0 for all forecast years</w:t>
            </w:r>
          </w:p>
        </w:tc>
        <w:tc>
          <w:tcPr>
            <w:tcW w:type="dxa" w:w="2880"/>
          </w:tcPr>
          <w:p>
            <w:r>
              <w:t>Ignored — historic FX gains/losses zeroed.</w:t>
            </w:r>
          </w:p>
        </w:tc>
      </w:tr>
      <w:tr>
        <w:tc>
          <w:tcPr>
            <w:tcW w:type="dxa" w:w="2880"/>
          </w:tcPr>
          <w:p>
            <w:r>
              <w:t>Restructuring charges</w:t>
            </w:r>
          </w:p>
        </w:tc>
        <w:tc>
          <w:tcPr>
            <w:tcW w:type="dxa" w:w="2880"/>
          </w:tcPr>
          <w:p>
            <w:r>
              <w:t>−$443m/year (FY2024 level)</w:t>
            </w:r>
          </w:p>
        </w:tc>
        <w:tc>
          <w:tcPr>
            <w:tcW w:type="dxa" w:w="2880"/>
          </w:tcPr>
          <w:p>
            <w:r>
              <w:t>Carried forward conservatively — could be zeroed for a cleaner base case.</w:t>
            </w:r>
          </w:p>
        </w:tc>
      </w:tr>
      <w:tr>
        <w:tc>
          <w:tcPr>
            <w:tcW w:type="dxa" w:w="2880"/>
          </w:tcPr>
          <w:p>
            <w:r>
              <w:t>Market cap (for D/E split)</w:t>
            </w:r>
          </w:p>
        </w:tc>
        <w:tc>
          <w:tcPr>
            <w:tcW w:type="dxa" w:w="2880"/>
          </w:tcPr>
          <w:p>
            <w:r>
              <w:t>$108.7bn hard-coded (R29)</w:t>
            </w:r>
          </w:p>
        </w:tc>
        <w:tc>
          <w:tcPr>
            <w:tcW w:type="dxa" w:w="2880"/>
          </w:tcPr>
          <w:p>
            <w:r>
              <w:t>Snapshot value — as NIKE's market cap moves, WACC changes. Not dynamic.</w:t>
            </w:r>
          </w:p>
        </w:tc>
      </w:tr>
    </w:tbl>
    <w:p/>
    <w:p>
      <w:pPr>
        <w:pStyle w:val="Heading2"/>
      </w:pPr>
      <w:r>
        <w:rPr>
          <w:color w:val="2E74B5"/>
        </w:rPr>
        <w:t>16.2  Key Sensitivity Drivers (Most Impactful)</w:t>
      </w:r>
    </w:p>
    <w:p>
      <w:r>
        <w:t>1. WACC: The single most sensitive input. A 1% change in WACC changes the share price by ~$20–30 at normal parameter ranges.</w:t>
      </w:r>
    </w:p>
    <w:p>
      <w:r>
        <w:t>2. Terminal growth rate: Second most sensitive. A 1% increase in terminal growth at 10.43% WACC raises price by ~$30.</w:t>
      </w:r>
    </w:p>
    <w:p>
      <w:r>
        <w:t>3. COGS/Sales terminal: Each 100bp improvement in gross margin (51% → 50%) increases net income in terminal year by ~$500m, raising EV materially.</w:t>
      </w:r>
    </w:p>
    <w:p>
      <w:r>
        <w:t>4. Revenue growth path: The 7-year glide path assumptions determine cumulative revenue and hence the terminal FCF from which the TV is calculated.</w:t>
      </w:r>
    </w:p>
    <w:p>
      <w:r>
        <w:t>5. Restructuring charges: If these are zeroed out (zero charge after FY2024), after-tax income rises by $350m/year, materially improving every forecast year's FCF.</w:t>
      </w:r>
    </w:p>
    <w:p>
      <w:r>
        <w:br w:type="page"/>
      </w:r>
    </w:p>
    <w:p>
      <w:pPr>
        <w:pStyle w:val="Heading1"/>
      </w:pPr>
      <w:r>
        <w:rPr>
          <w:color w:val="1F497D"/>
        </w:rPr>
        <w:t>Part 17: Comprehensive Formula Reference</w:t>
      </w:r>
    </w:p>
    <w:p>
      <w:pPr>
        <w:pStyle w:val="Heading2"/>
      </w:pPr>
      <w:r>
        <w:rPr>
          <w:color w:val="2E74B5"/>
        </w:rPr>
        <w:t>17.1  Income Statement Key Formulas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Line Item</w:t>
            </w:r>
          </w:p>
        </w:tc>
        <w:tc>
          <w:tcPr>
            <w:tcW w:type="dxa" w:w="2880"/>
          </w:tcPr>
          <w:p>
            <w:r>
              <w:rPr>
                <w:b/>
              </w:rPr>
              <w:t>Cell</w:t>
            </w:r>
          </w:p>
        </w:tc>
        <w:tc>
          <w:tcPr>
            <w:tcW w:type="dxa" w:w="2880"/>
          </w:tcPr>
          <w:p>
            <w:r>
              <w:rPr>
                <w:b/>
              </w:rPr>
              <w:t>Formula</w:t>
            </w:r>
          </w:p>
        </w:tc>
      </w:tr>
      <w:tr>
        <w:tc>
          <w:tcPr>
            <w:tcW w:type="dxa" w:w="2880"/>
          </w:tcPr>
          <w:p>
            <w:r>
              <w:t>Revenue</w:t>
            </w:r>
          </w:p>
        </w:tc>
        <w:tc>
          <w:tcPr>
            <w:tcW w:type="dxa" w:w="2880"/>
          </w:tcPr>
          <w:p>
            <w:r>
              <w:t>L338</w:t>
            </w:r>
          </w:p>
        </w:tc>
        <w:tc>
          <w:tcPr>
            <w:tcW w:type="dxa" w:w="2880"/>
          </w:tcPr>
          <w:p>
            <w:r>
              <w:t>=K338*(1+L320)</w:t>
            </w:r>
          </w:p>
        </w:tc>
      </w:tr>
      <w:tr>
        <w:tc>
          <w:tcPr>
            <w:tcW w:type="dxa" w:w="2880"/>
          </w:tcPr>
          <w:p>
            <w:r>
              <w:t>COGS</w:t>
            </w:r>
          </w:p>
        </w:tc>
        <w:tc>
          <w:tcPr>
            <w:tcW w:type="dxa" w:w="2880"/>
          </w:tcPr>
          <w:p>
            <w:r>
              <w:t>L339</w:t>
            </w:r>
          </w:p>
        </w:tc>
        <w:tc>
          <w:tcPr>
            <w:tcW w:type="dxa" w:w="2880"/>
          </w:tcPr>
          <w:p>
            <w:r>
              <w:t>=L321*L338</w:t>
            </w:r>
          </w:p>
        </w:tc>
      </w:tr>
      <w:tr>
        <w:tc>
          <w:tcPr>
            <w:tcW w:type="dxa" w:w="2880"/>
          </w:tcPr>
          <w:p>
            <w:r>
              <w:t>Gross Profit</w:t>
            </w:r>
          </w:p>
        </w:tc>
        <w:tc>
          <w:tcPr>
            <w:tcW w:type="dxa" w:w="2880"/>
          </w:tcPr>
          <w:p>
            <w:r>
              <w:t>L340</w:t>
            </w:r>
          </w:p>
        </w:tc>
        <w:tc>
          <w:tcPr>
            <w:tcW w:type="dxa" w:w="2880"/>
          </w:tcPr>
          <w:p>
            <w:r>
              <w:t>=L338-L339</w:t>
            </w:r>
          </w:p>
        </w:tc>
      </w:tr>
      <w:tr>
        <w:tc>
          <w:tcPr>
            <w:tcW w:type="dxa" w:w="2880"/>
          </w:tcPr>
          <w:p>
            <w:r>
              <w:t>SG&amp;A</w:t>
            </w:r>
          </w:p>
        </w:tc>
        <w:tc>
          <w:tcPr>
            <w:tcW w:type="dxa" w:w="2880"/>
          </w:tcPr>
          <w:p>
            <w:r>
              <w:t>L342</w:t>
            </w:r>
          </w:p>
        </w:tc>
        <w:tc>
          <w:tcPr>
            <w:tcW w:type="dxa" w:w="2880"/>
          </w:tcPr>
          <w:p>
            <w:r>
              <w:t>=K342/K338*L338</w:t>
            </w:r>
          </w:p>
        </w:tc>
      </w:tr>
      <w:tr>
        <w:tc>
          <w:tcPr>
            <w:tcW w:type="dxa" w:w="2880"/>
          </w:tcPr>
          <w:p>
            <w:r>
              <w:t>D&amp;A</w:t>
            </w:r>
          </w:p>
        </w:tc>
        <w:tc>
          <w:tcPr>
            <w:tcW w:type="dxa" w:w="2880"/>
          </w:tcPr>
          <w:p>
            <w:r>
              <w:t>L344</w:t>
            </w:r>
          </w:p>
        </w:tc>
        <w:tc>
          <w:tcPr>
            <w:tcW w:type="dxa" w:w="2880"/>
          </w:tcPr>
          <w:p>
            <w:r>
              <w:t>=K344/K338*L338</w:t>
            </w:r>
          </w:p>
        </w:tc>
      </w:tr>
      <w:tr>
        <w:tc>
          <w:tcPr>
            <w:tcW w:type="dxa" w:w="2880"/>
          </w:tcPr>
          <w:p>
            <w:r>
              <w:t>EBIT</w:t>
            </w:r>
          </w:p>
        </w:tc>
        <w:tc>
          <w:tcPr>
            <w:tcW w:type="dxa" w:w="2880"/>
          </w:tcPr>
          <w:p>
            <w:r>
              <w:t>L346</w:t>
            </w:r>
          </w:p>
        </w:tc>
        <w:tc>
          <w:tcPr>
            <w:tcW w:type="dxa" w:w="2880"/>
          </w:tcPr>
          <w:p>
            <w:r>
              <w:t>=L340-L345 (=L340-L342-L344)</w:t>
            </w:r>
          </w:p>
        </w:tc>
      </w:tr>
      <w:tr>
        <w:tc>
          <w:tcPr>
            <w:tcW w:type="dxa" w:w="2880"/>
          </w:tcPr>
          <w:p>
            <w:r>
              <w:t>Interest Expense</w:t>
            </w:r>
          </w:p>
        </w:tc>
        <w:tc>
          <w:tcPr>
            <w:tcW w:type="dxa" w:w="2880"/>
          </w:tcPr>
          <w:p>
            <w:r>
              <w:t>L348</w:t>
            </w:r>
          </w:p>
        </w:tc>
        <w:tc>
          <w:tcPr>
            <w:tcW w:type="dxa" w:w="2880"/>
          </w:tcPr>
          <w:p>
            <w:r>
              <w:t>=$R$26*-(K201+L201)/2</w:t>
            </w:r>
          </w:p>
        </w:tc>
      </w:tr>
      <w:tr>
        <w:tc>
          <w:tcPr>
            <w:tcW w:type="dxa" w:w="2880"/>
          </w:tcPr>
          <w:p>
            <w:r>
              <w:t>Investment Income</w:t>
            </w:r>
          </w:p>
        </w:tc>
        <w:tc>
          <w:tcPr>
            <w:tcW w:type="dxa" w:w="2880"/>
          </w:tcPr>
          <w:p>
            <w:r>
              <w:t>L349</w:t>
            </w:r>
          </w:p>
        </w:tc>
        <w:tc>
          <w:tcPr>
            <w:tcW w:type="dxa" w:w="2880"/>
          </w:tcPr>
          <w:p>
            <w:r>
              <w:t>=K349/K338*L338</w:t>
            </w:r>
          </w:p>
        </w:tc>
      </w:tr>
      <w:tr>
        <w:tc>
          <w:tcPr>
            <w:tcW w:type="dxa" w:w="2880"/>
          </w:tcPr>
          <w:p>
            <w:r>
              <w:t>Restructuring</w:t>
            </w:r>
          </w:p>
        </w:tc>
        <w:tc>
          <w:tcPr>
            <w:tcW w:type="dxa" w:w="2880"/>
          </w:tcPr>
          <w:p>
            <w:r>
              <w:t>L354</w:t>
            </w:r>
          </w:p>
        </w:tc>
        <w:tc>
          <w:tcPr>
            <w:tcW w:type="dxa" w:w="2880"/>
          </w:tcPr>
          <w:p>
            <w:r>
              <w:t>=K354  (frozen)</w:t>
            </w:r>
          </w:p>
        </w:tc>
      </w:tr>
      <w:tr>
        <w:tc>
          <w:tcPr>
            <w:tcW w:type="dxa" w:w="2880"/>
          </w:tcPr>
          <w:p>
            <w:r>
              <w:t>Tax</w:t>
            </w:r>
          </w:p>
        </w:tc>
        <w:tc>
          <w:tcPr>
            <w:tcW w:type="dxa" w:w="2880"/>
          </w:tcPr>
          <w:p>
            <w:r>
              <w:t>L359</w:t>
            </w:r>
          </w:p>
        </w:tc>
        <w:tc>
          <w:tcPr>
            <w:tcW w:type="dxa" w:w="2880"/>
          </w:tcPr>
          <w:p>
            <w:r>
              <w:t>=L355*L322 (=EBT*21%)</w:t>
            </w:r>
          </w:p>
        </w:tc>
      </w:tr>
      <w:tr>
        <w:tc>
          <w:tcPr>
            <w:tcW w:type="dxa" w:w="2880"/>
          </w:tcPr>
          <w:p>
            <w:r>
              <w:t>Net Income</w:t>
            </w:r>
          </w:p>
        </w:tc>
        <w:tc>
          <w:tcPr>
            <w:tcW w:type="dxa" w:w="2880"/>
          </w:tcPr>
          <w:p>
            <w:r>
              <w:t>L361</w:t>
            </w:r>
          </w:p>
        </w:tc>
        <w:tc>
          <w:tcPr>
            <w:tcW w:type="dxa" w:w="2880"/>
          </w:tcPr>
          <w:p>
            <w:r>
              <w:t>=L360 (=L355-L359)</w:t>
            </w:r>
          </w:p>
        </w:tc>
      </w:tr>
    </w:tbl>
    <w:p/>
    <w:p>
      <w:pPr>
        <w:pStyle w:val="Heading2"/>
      </w:pPr>
      <w:r>
        <w:rPr>
          <w:color w:val="2E74B5"/>
        </w:rPr>
        <w:t>17.2  Balance Sheet Key Formulas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Line Item</w:t>
            </w:r>
          </w:p>
        </w:tc>
        <w:tc>
          <w:tcPr>
            <w:tcW w:type="dxa" w:w="2880"/>
          </w:tcPr>
          <w:p>
            <w:r>
              <w:rPr>
                <w:b/>
              </w:rPr>
              <w:t>Cell</w:t>
            </w:r>
          </w:p>
        </w:tc>
        <w:tc>
          <w:tcPr>
            <w:tcW w:type="dxa" w:w="2880"/>
          </w:tcPr>
          <w:p>
            <w:r>
              <w:rPr>
                <w:b/>
              </w:rPr>
              <w:t>Formula</w:t>
            </w:r>
          </w:p>
        </w:tc>
      </w:tr>
      <w:tr>
        <w:tc>
          <w:tcPr>
            <w:tcW w:type="dxa" w:w="2880"/>
          </w:tcPr>
          <w:p>
            <w:r>
              <w:t>Cash</w:t>
            </w:r>
          </w:p>
        </w:tc>
        <w:tc>
          <w:tcPr>
            <w:tcW w:type="dxa" w:w="2880"/>
          </w:tcPr>
          <w:p>
            <w:r>
              <w:t>L500</w:t>
            </w:r>
          </w:p>
        </w:tc>
        <w:tc>
          <w:tcPr>
            <w:tcW w:type="dxa" w:w="2880"/>
          </w:tcPr>
          <w:p>
            <w:r>
              <w:t>=K500+L236  (prior cash + ΔCash)</w:t>
            </w:r>
          </w:p>
        </w:tc>
      </w:tr>
      <w:tr>
        <w:tc>
          <w:tcPr>
            <w:tcW w:type="dxa" w:w="2880"/>
          </w:tcPr>
          <w:p>
            <w:r>
              <w:t>Accounts Receivable</w:t>
            </w:r>
          </w:p>
        </w:tc>
        <w:tc>
          <w:tcPr>
            <w:tcW w:type="dxa" w:w="2880"/>
          </w:tcPr>
          <w:p>
            <w:r>
              <w:t>L504</w:t>
            </w:r>
          </w:p>
        </w:tc>
        <w:tc>
          <w:tcPr>
            <w:tcW w:type="dxa" w:w="2880"/>
          </w:tcPr>
          <w:p>
            <w:r>
              <w:t>=K504/K338*L338</w:t>
            </w:r>
          </w:p>
        </w:tc>
      </w:tr>
      <w:tr>
        <w:tc>
          <w:tcPr>
            <w:tcW w:type="dxa" w:w="2880"/>
          </w:tcPr>
          <w:p>
            <w:r>
              <w:t>Inventory</w:t>
            </w:r>
          </w:p>
        </w:tc>
        <w:tc>
          <w:tcPr>
            <w:tcW w:type="dxa" w:w="2880"/>
          </w:tcPr>
          <w:p>
            <w:r>
              <w:t>L507</w:t>
            </w:r>
          </w:p>
        </w:tc>
        <w:tc>
          <w:tcPr>
            <w:tcW w:type="dxa" w:w="2880"/>
          </w:tcPr>
          <w:p>
            <w:r>
              <w:t>=K507/K338*L338</w:t>
            </w:r>
          </w:p>
        </w:tc>
      </w:tr>
      <w:tr>
        <w:tc>
          <w:tcPr>
            <w:tcW w:type="dxa" w:w="2880"/>
          </w:tcPr>
          <w:p>
            <w:r>
              <w:t>Total Current Assets</w:t>
            </w:r>
          </w:p>
        </w:tc>
        <w:tc>
          <w:tcPr>
            <w:tcW w:type="dxa" w:w="2880"/>
          </w:tcPr>
          <w:p>
            <w:r>
              <w:t>L510</w:t>
            </w:r>
          </w:p>
        </w:tc>
        <w:tc>
          <w:tcPr>
            <w:tcW w:type="dxa" w:w="2880"/>
          </w:tcPr>
          <w:p>
            <w:r>
              <w:t>=SUM(receivables+inventory+prepaid+other+cash+STI)</w:t>
            </w:r>
          </w:p>
        </w:tc>
      </w:tr>
      <w:tr>
        <w:tc>
          <w:tcPr>
            <w:tcW w:type="dxa" w:w="2880"/>
          </w:tcPr>
          <w:p>
            <w:r>
              <w:t>Net PP&amp;E</w:t>
            </w:r>
          </w:p>
        </w:tc>
        <w:tc>
          <w:tcPr>
            <w:tcW w:type="dxa" w:w="2880"/>
          </w:tcPr>
          <w:p>
            <w:r>
              <w:t>L513</w:t>
            </w:r>
          </w:p>
        </w:tc>
        <w:tc>
          <w:tcPr>
            <w:tcW w:type="dxa" w:w="2880"/>
          </w:tcPr>
          <w:p>
            <w:r>
              <w:t>=K513/K338*L338  (M513 onwards: hard-coded 7,885,490)</w:t>
            </w:r>
          </w:p>
        </w:tc>
      </w:tr>
      <w:tr>
        <w:tc>
          <w:tcPr>
            <w:tcW w:type="dxa" w:w="2880"/>
          </w:tcPr>
          <w:p>
            <w:r>
              <w:t>Total Assets</w:t>
            </w:r>
          </w:p>
        </w:tc>
        <w:tc>
          <w:tcPr>
            <w:tcW w:type="dxa" w:w="2880"/>
          </w:tcPr>
          <w:p>
            <w:r>
              <w:t>L518</w:t>
            </w:r>
          </w:p>
        </w:tc>
        <w:tc>
          <w:tcPr>
            <w:tcW w:type="dxa" w:w="2880"/>
          </w:tcPr>
          <w:p>
            <w:r>
              <w:t>=SUM(L513:L517, L510)</w:t>
            </w:r>
          </w:p>
        </w:tc>
      </w:tr>
      <w:tr>
        <w:tc>
          <w:tcPr>
            <w:tcW w:type="dxa" w:w="2880"/>
          </w:tcPr>
          <w:p>
            <w:r>
              <w:t>Accounts Payable</w:t>
            </w:r>
          </w:p>
        </w:tc>
        <w:tc>
          <w:tcPr>
            <w:tcW w:type="dxa" w:w="2880"/>
          </w:tcPr>
          <w:p>
            <w:r>
              <w:t>L520</w:t>
            </w:r>
          </w:p>
        </w:tc>
        <w:tc>
          <w:tcPr>
            <w:tcW w:type="dxa" w:w="2880"/>
          </w:tcPr>
          <w:p>
            <w:r>
              <w:t>=K520/K338*L338</w:t>
            </w:r>
          </w:p>
        </w:tc>
      </w:tr>
      <w:tr>
        <w:tc>
          <w:tcPr>
            <w:tcW w:type="dxa" w:w="2880"/>
          </w:tcPr>
          <w:p>
            <w:r>
              <w:t>Total Current Liabilities</w:t>
            </w:r>
          </w:p>
        </w:tc>
        <w:tc>
          <w:tcPr>
            <w:tcW w:type="dxa" w:w="2880"/>
          </w:tcPr>
          <w:p>
            <w:r>
              <w:t>L527</w:t>
            </w:r>
          </w:p>
        </w:tc>
        <w:tc>
          <w:tcPr>
            <w:tcW w:type="dxa" w:w="2880"/>
          </w:tcPr>
          <w:p>
            <w:r>
              <w:t>=SUM(L520:L526)</w:t>
            </w:r>
          </w:p>
        </w:tc>
      </w:tr>
      <w:tr>
        <w:tc>
          <w:tcPr>
            <w:tcW w:type="dxa" w:w="2880"/>
          </w:tcPr>
          <w:p>
            <w:r>
              <w:t>Long-term Debt</w:t>
            </w:r>
          </w:p>
        </w:tc>
        <w:tc>
          <w:tcPr>
            <w:tcW w:type="dxa" w:w="2880"/>
          </w:tcPr>
          <w:p>
            <w:r>
              <w:t>L528</w:t>
            </w:r>
          </w:p>
        </w:tc>
        <w:tc>
          <w:tcPr>
            <w:tcW w:type="dxa" w:w="2880"/>
          </w:tcPr>
          <w:p>
            <w:r>
              <w:t>=K518*K323  (=Total Assets * 21%)</w:t>
            </w:r>
          </w:p>
        </w:tc>
      </w:tr>
      <w:tr>
        <w:tc>
          <w:tcPr>
            <w:tcW w:type="dxa" w:w="2880"/>
          </w:tcPr>
          <w:p>
            <w:r>
              <w:t>Total Liabilities</w:t>
            </w:r>
          </w:p>
        </w:tc>
        <w:tc>
          <w:tcPr>
            <w:tcW w:type="dxa" w:w="2880"/>
          </w:tcPr>
          <w:p>
            <w:r>
              <w:t>L533</w:t>
            </w:r>
          </w:p>
        </w:tc>
        <w:tc>
          <w:tcPr>
            <w:tcW w:type="dxa" w:w="2880"/>
          </w:tcPr>
          <w:p>
            <w:r>
              <w:t>=SUM(L527:L532)</w:t>
            </w:r>
          </w:p>
        </w:tc>
      </w:tr>
      <w:tr>
        <w:tc>
          <w:tcPr>
            <w:tcW w:type="dxa" w:w="2880"/>
          </w:tcPr>
          <w:p>
            <w:r>
              <w:t>APIC</w:t>
            </w:r>
          </w:p>
        </w:tc>
        <w:tc>
          <w:tcPr>
            <w:tcW w:type="dxa" w:w="2880"/>
          </w:tcPr>
          <w:p>
            <w:r>
              <w:t>L536</w:t>
            </w:r>
          </w:p>
        </w:tc>
        <w:tc>
          <w:tcPr>
            <w:tcW w:type="dxa" w:w="2880"/>
          </w:tcPr>
          <w:p>
            <w:r>
              <w:t>=K536+L460+L459  (prior + buybacks(neg) + option proceeds)</w:t>
            </w:r>
          </w:p>
        </w:tc>
      </w:tr>
      <w:tr>
        <w:tc>
          <w:tcPr>
            <w:tcW w:type="dxa" w:w="2880"/>
          </w:tcPr>
          <w:p>
            <w:r>
              <w:t>Retained Earnings</w:t>
            </w:r>
          </w:p>
        </w:tc>
        <w:tc>
          <w:tcPr>
            <w:tcW w:type="dxa" w:w="2880"/>
          </w:tcPr>
          <w:p>
            <w:r>
              <w:t>L537</w:t>
            </w:r>
          </w:p>
        </w:tc>
        <w:tc>
          <w:tcPr>
            <w:tcW w:type="dxa" w:w="2880"/>
          </w:tcPr>
          <w:p>
            <w:r>
              <w:t>=L361+L464+K537  (NI + dividends(neg) + prior RE)</w:t>
            </w:r>
          </w:p>
        </w:tc>
      </w:tr>
      <w:tr>
        <w:tc>
          <w:tcPr>
            <w:tcW w:type="dxa" w:w="2880"/>
          </w:tcPr>
          <w:p>
            <w:r>
              <w:t>Total Equity</w:t>
            </w:r>
          </w:p>
        </w:tc>
        <w:tc>
          <w:tcPr>
            <w:tcW w:type="dxa" w:w="2880"/>
          </w:tcPr>
          <w:p>
            <w:r>
              <w:t>L539</w:t>
            </w:r>
          </w:p>
        </w:tc>
        <w:tc>
          <w:tcPr>
            <w:tcW w:type="dxa" w:w="2880"/>
          </w:tcPr>
          <w:p>
            <w:r>
              <w:t>=SUM(L535:L538)</w:t>
            </w:r>
          </w:p>
        </w:tc>
      </w:tr>
      <w:tr>
        <w:tc>
          <w:tcPr>
            <w:tcW w:type="dxa" w:w="2880"/>
          </w:tcPr>
          <w:p>
            <w:r>
              <w:t>Total L+E</w:t>
            </w:r>
          </w:p>
        </w:tc>
        <w:tc>
          <w:tcPr>
            <w:tcW w:type="dxa" w:w="2880"/>
          </w:tcPr>
          <w:p>
            <w:r>
              <w:t>L541</w:t>
            </w:r>
          </w:p>
        </w:tc>
        <w:tc>
          <w:tcPr>
            <w:tcW w:type="dxa" w:w="2880"/>
          </w:tcPr>
          <w:p>
            <w:r>
              <w:t>=L540+L533</w:t>
            </w:r>
          </w:p>
        </w:tc>
      </w:tr>
      <w:tr>
        <w:tc>
          <w:tcPr>
            <w:tcW w:type="dxa" w:w="2880"/>
          </w:tcPr>
          <w:p>
            <w:r>
              <w:t>BS Check</w:t>
            </w:r>
          </w:p>
        </w:tc>
        <w:tc>
          <w:tcPr>
            <w:tcW w:type="dxa" w:w="2880"/>
          </w:tcPr>
          <w:p>
            <w:r>
              <w:t>L194</w:t>
            </w:r>
          </w:p>
        </w:tc>
        <w:tc>
          <w:tcPr>
            <w:tcW w:type="dxa" w:w="2880"/>
          </w:tcPr>
          <w:p>
            <w:r>
              <w:t>=L518-L541  (should = 0)</w:t>
            </w:r>
          </w:p>
        </w:tc>
      </w:tr>
    </w:tbl>
    <w:p/>
    <w:p>
      <w:pPr>
        <w:pStyle w:val="Heading2"/>
      </w:pPr>
      <w:r>
        <w:rPr>
          <w:color w:val="2E74B5"/>
        </w:rPr>
        <w:t>17.3  Cash Flow Key Formulas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Line Item</w:t>
            </w:r>
          </w:p>
        </w:tc>
        <w:tc>
          <w:tcPr>
            <w:tcW w:type="dxa" w:w="2880"/>
          </w:tcPr>
          <w:p>
            <w:r>
              <w:rPr>
                <w:b/>
              </w:rPr>
              <w:t>Cell</w:t>
            </w:r>
          </w:p>
        </w:tc>
        <w:tc>
          <w:tcPr>
            <w:tcW w:type="dxa" w:w="2880"/>
          </w:tcPr>
          <w:p>
            <w:r>
              <w:rPr>
                <w:b/>
              </w:rPr>
              <w:t>Formula</w:t>
            </w:r>
          </w:p>
        </w:tc>
      </w:tr>
      <w:tr>
        <w:tc>
          <w:tcPr>
            <w:tcW w:type="dxa" w:w="2880"/>
          </w:tcPr>
          <w:p>
            <w:r>
              <w:t>ΔNOWC</w:t>
            </w:r>
          </w:p>
        </w:tc>
        <w:tc>
          <w:tcPr>
            <w:tcW w:type="dxa" w:w="2880"/>
          </w:tcPr>
          <w:p>
            <w:r>
              <w:t>L230</w:t>
            </w:r>
          </w:p>
        </w:tc>
        <w:tc>
          <w:tcPr>
            <w:tcW w:type="dxa" w:w="2880"/>
          </w:tcPr>
          <w:p>
            <w:r>
              <w:t>=L206+L208-L207-L210</w:t>
            </w:r>
          </w:p>
        </w:tc>
      </w:tr>
      <w:tr>
        <w:tc>
          <w:tcPr>
            <w:tcW w:type="dxa" w:w="2880"/>
          </w:tcPr>
          <w:p>
            <w:r>
              <w:t>CapEx (derived)</w:t>
            </w:r>
          </w:p>
        </w:tc>
        <w:tc>
          <w:tcPr>
            <w:tcW w:type="dxa" w:w="2880"/>
          </w:tcPr>
          <w:p>
            <w:r>
              <w:t>L231</w:t>
            </w:r>
          </w:p>
        </w:tc>
        <w:tc>
          <w:tcPr>
            <w:tcW w:type="dxa" w:w="2880"/>
          </w:tcPr>
          <w:p>
            <w:r>
              <w:t>=L209+L229-L221  (=ΔPPE&amp;Intangibles + D&amp;A - ΔReserves)</w:t>
            </w:r>
          </w:p>
        </w:tc>
      </w:tr>
      <w:tr>
        <w:tc>
          <w:tcPr>
            <w:tcW w:type="dxa" w:w="2880"/>
          </w:tcPr>
          <w:p>
            <w:r>
              <w:t>OCF</w:t>
            </w:r>
          </w:p>
        </w:tc>
        <w:tc>
          <w:tcPr>
            <w:tcW w:type="dxa" w:w="2880"/>
          </w:tcPr>
          <w:p>
            <w:r>
              <w:t>L233</w:t>
            </w:r>
          </w:p>
        </w:tc>
        <w:tc>
          <w:tcPr>
            <w:tcW w:type="dxa" w:w="2880"/>
          </w:tcPr>
          <w:p>
            <w:r>
              <w:t>=L217+L229-L230  (NI+D&amp;A-ΔNOWC)</w:t>
            </w:r>
          </w:p>
        </w:tc>
      </w:tr>
      <w:tr>
        <w:tc>
          <w:tcPr>
            <w:tcW w:type="dxa" w:w="2880"/>
          </w:tcPr>
          <w:p>
            <w:r>
              <w:t>InvestingCF</w:t>
            </w:r>
          </w:p>
        </w:tc>
        <w:tc>
          <w:tcPr>
            <w:tcW w:type="dxa" w:w="2880"/>
          </w:tcPr>
          <w:p>
            <w:r>
              <w:t>L234</w:t>
            </w:r>
          </w:p>
        </w:tc>
        <w:tc>
          <w:tcPr>
            <w:tcW w:type="dxa" w:w="2880"/>
          </w:tcPr>
          <w:p>
            <w:r>
              <w:t>=-L231</w:t>
            </w:r>
          </w:p>
        </w:tc>
      </w:tr>
      <w:tr>
        <w:tc>
          <w:tcPr>
            <w:tcW w:type="dxa" w:w="2880"/>
          </w:tcPr>
          <w:p>
            <w:r>
              <w:t>FinancingCF</w:t>
            </w:r>
          </w:p>
        </w:tc>
        <w:tc>
          <w:tcPr>
            <w:tcW w:type="dxa" w:w="2880"/>
          </w:tcPr>
          <w:p>
            <w:r>
              <w:t>L235</w:t>
            </w:r>
          </w:p>
        </w:tc>
        <w:tc>
          <w:tcPr>
            <w:tcW w:type="dxa" w:w="2880"/>
          </w:tcPr>
          <w:p>
            <w:r>
              <w:t>=L226-L224  (ΔIBD - EFCF)</w:t>
            </w:r>
          </w:p>
        </w:tc>
      </w:tr>
      <w:tr>
        <w:tc>
          <w:tcPr>
            <w:tcW w:type="dxa" w:w="2880"/>
          </w:tcPr>
          <w:p>
            <w:r>
              <w:t>ΔCash</w:t>
            </w:r>
          </w:p>
        </w:tc>
        <w:tc>
          <w:tcPr>
            <w:tcW w:type="dxa" w:w="2880"/>
          </w:tcPr>
          <w:p>
            <w:r>
              <w:t>L236</w:t>
            </w:r>
          </w:p>
        </w:tc>
        <w:tc>
          <w:tcPr>
            <w:tcW w:type="dxa" w:w="2880"/>
          </w:tcPr>
          <w:p>
            <w:r>
              <w:t>=SUM(L233:L235)</w:t>
            </w:r>
          </w:p>
        </w:tc>
      </w:tr>
      <w:tr>
        <w:tc>
          <w:tcPr>
            <w:tcW w:type="dxa" w:w="2880"/>
          </w:tcPr>
          <w:p>
            <w:r>
              <w:t>EFCF</w:t>
            </w:r>
          </w:p>
        </w:tc>
        <w:tc>
          <w:tcPr>
            <w:tcW w:type="dxa" w:w="2880"/>
          </w:tcPr>
          <w:p>
            <w:r>
              <w:t>L224</w:t>
            </w:r>
          </w:p>
        </w:tc>
        <w:tc>
          <w:tcPr>
            <w:tcW w:type="dxa" w:w="2880"/>
          </w:tcPr>
          <w:p>
            <w:r>
              <w:t>=L218+L219-L220  (Dividends+Buybacks-Issuances)</w:t>
            </w:r>
          </w:p>
        </w:tc>
      </w:tr>
      <w:tr>
        <w:tc>
          <w:tcPr>
            <w:tcW w:type="dxa" w:w="2880"/>
          </w:tcPr>
          <w:p>
            <w:r>
              <w:t>Buybacks</w:t>
            </w:r>
          </w:p>
        </w:tc>
        <w:tc>
          <w:tcPr>
            <w:tcW w:type="dxa" w:w="2880"/>
          </w:tcPr>
          <w:p>
            <w:r>
              <w:t>L460</w:t>
            </w:r>
          </w:p>
        </w:tc>
        <w:tc>
          <w:tcPr>
            <w:tcW w:type="dxa" w:w="2880"/>
          </w:tcPr>
          <w:p>
            <w:r>
              <w:t>=L361*L324  (=NI * -40%)</w:t>
            </w:r>
          </w:p>
        </w:tc>
      </w:tr>
      <w:tr>
        <w:tc>
          <w:tcPr>
            <w:tcW w:type="dxa" w:w="2880"/>
          </w:tcPr>
          <w:p>
            <w:r>
              <w:t>Dividends</w:t>
            </w:r>
          </w:p>
        </w:tc>
        <w:tc>
          <w:tcPr>
            <w:tcW w:type="dxa" w:w="2880"/>
          </w:tcPr>
          <w:p>
            <w:r>
              <w:t>L464</w:t>
            </w:r>
          </w:p>
        </w:tc>
        <w:tc>
          <w:tcPr>
            <w:tcW w:type="dxa" w:w="2880"/>
          </w:tcPr>
          <w:p>
            <w:r>
              <w:t>=L460/2  (half of buybacks)</w:t>
            </w:r>
          </w:p>
        </w:tc>
      </w:tr>
      <w:tr>
        <w:tc>
          <w:tcPr>
            <w:tcW w:type="dxa" w:w="2880"/>
          </w:tcPr>
          <w:p>
            <w:r>
              <w:t>ΔOE check</w:t>
            </w:r>
          </w:p>
        </w:tc>
        <w:tc>
          <w:tcPr>
            <w:tcW w:type="dxa" w:w="2880"/>
          </w:tcPr>
          <w:p>
            <w:r>
              <w:t>L222</w:t>
            </w:r>
          </w:p>
        </w:tc>
        <w:tc>
          <w:tcPr>
            <w:tcW w:type="dxa" w:w="2880"/>
          </w:tcPr>
          <w:p>
            <w:r>
              <w:t>=L217-L218-L219+L220+L221</w:t>
            </w:r>
          </w:p>
        </w:tc>
      </w:tr>
    </w:tbl>
    <w:p/>
    <w:p>
      <w:pPr>
        <w:pStyle w:val="Heading2"/>
      </w:pPr>
      <w:r>
        <w:rPr>
          <w:color w:val="2E74B5"/>
        </w:rPr>
        <w:t>17.4  DCF and Valuation Key Formulas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Cell</w:t>
            </w:r>
          </w:p>
        </w:tc>
        <w:tc>
          <w:tcPr>
            <w:tcW w:type="dxa" w:w="2880"/>
          </w:tcPr>
          <w:p>
            <w:r>
              <w:rPr>
                <w:b/>
              </w:rPr>
              <w:t>Formula / Value</w:t>
            </w:r>
          </w:p>
        </w:tc>
      </w:tr>
      <w:tr>
        <w:tc>
          <w:tcPr>
            <w:tcW w:type="dxa" w:w="2880"/>
          </w:tcPr>
          <w:p>
            <w:r>
              <w:t>FCF</w:t>
            </w:r>
          </w:p>
        </w:tc>
        <w:tc>
          <w:tcPr>
            <w:tcW w:type="dxa" w:w="2880"/>
          </w:tcPr>
          <w:p>
            <w:r>
              <w:t>L22</w:t>
            </w:r>
          </w:p>
        </w:tc>
        <w:tc>
          <w:tcPr>
            <w:tcW w:type="dxa" w:w="2880"/>
          </w:tcPr>
          <w:p>
            <w:r>
              <w:t>=SUM(L17:L21)  (NI+D&amp;A-CapEx-ΔWC+After-tax Interest)</w:t>
            </w:r>
          </w:p>
        </w:tc>
      </w:tr>
      <w:tr>
        <w:tc>
          <w:tcPr>
            <w:tcW w:type="dxa" w:w="2880"/>
          </w:tcPr>
          <w:p>
            <w:r>
              <w:t>PV(FCF)</w:t>
            </w:r>
          </w:p>
        </w:tc>
        <w:tc>
          <w:tcPr>
            <w:tcW w:type="dxa" w:w="2880"/>
          </w:tcPr>
          <w:p>
            <w:r>
              <w:t>L23</w:t>
            </w:r>
          </w:p>
        </w:tc>
        <w:tc>
          <w:tcPr>
            <w:tcW w:type="dxa" w:w="2880"/>
          </w:tcPr>
          <w:p>
            <w:r>
              <w:t>=L22/(1+$O$25)^L13</w:t>
            </w:r>
          </w:p>
        </w:tc>
      </w:tr>
      <w:tr>
        <w:tc>
          <w:tcPr>
            <w:tcW w:type="dxa" w:w="2880"/>
          </w:tcPr>
          <w:p>
            <w:r>
              <w:t>Terminal Value (at yr7)</w:t>
            </w:r>
          </w:p>
        </w:tc>
        <w:tc>
          <w:tcPr>
            <w:tcW w:type="dxa" w:w="2880"/>
          </w:tcPr>
          <w:p>
            <w:r>
              <w:t>K25</w:t>
            </w:r>
          </w:p>
        </w:tc>
        <w:tc>
          <w:tcPr>
            <w:tcW w:type="dxa" w:w="2880"/>
          </w:tcPr>
          <w:p>
            <w:r>
              <w:t>=R22/(O25-R28)</w:t>
            </w:r>
          </w:p>
        </w:tc>
      </w:tr>
      <w:tr>
        <w:tc>
          <w:tcPr>
            <w:tcW w:type="dxa" w:w="2880"/>
          </w:tcPr>
          <w:p>
            <w:r>
              <w:t>PV of TV</w:t>
            </w:r>
          </w:p>
        </w:tc>
        <w:tc>
          <w:tcPr>
            <w:tcW w:type="dxa" w:w="2880"/>
          </w:tcPr>
          <w:p>
            <w:r>
              <w:t>K26</w:t>
            </w:r>
          </w:p>
        </w:tc>
        <w:tc>
          <w:tcPr>
            <w:tcW w:type="dxa" w:w="2880"/>
          </w:tcPr>
          <w:p>
            <w:r>
              <w:t>=K25/(1+O25)^R13  (R13=7)</w:t>
            </w:r>
          </w:p>
        </w:tc>
      </w:tr>
      <w:tr>
        <w:tc>
          <w:tcPr>
            <w:tcW w:type="dxa" w:w="2880"/>
          </w:tcPr>
          <w:p>
            <w:r>
              <w:t>PV FCF years 1-6</w:t>
            </w:r>
          </w:p>
        </w:tc>
        <w:tc>
          <w:tcPr>
            <w:tcW w:type="dxa" w:w="2880"/>
          </w:tcPr>
          <w:p>
            <w:r>
              <w:t>K27</w:t>
            </w:r>
          </w:p>
        </w:tc>
        <w:tc>
          <w:tcPr>
            <w:tcW w:type="dxa" w:w="2880"/>
          </w:tcPr>
          <w:p>
            <w:r>
              <w:t>=SUM(L23:Q23)</w:t>
            </w:r>
          </w:p>
        </w:tc>
      </w:tr>
      <w:tr>
        <w:tc>
          <w:tcPr>
            <w:tcW w:type="dxa" w:w="2880"/>
          </w:tcPr>
          <w:p>
            <w:r>
              <w:t>Enterprise Value</w:t>
            </w:r>
          </w:p>
        </w:tc>
        <w:tc>
          <w:tcPr>
            <w:tcW w:type="dxa" w:w="2880"/>
          </w:tcPr>
          <w:p>
            <w:r>
              <w:t>K28</w:t>
            </w:r>
          </w:p>
        </w:tc>
        <w:tc>
          <w:tcPr>
            <w:tcW w:type="dxa" w:w="2880"/>
          </w:tcPr>
          <w:p>
            <w:r>
              <w:t>=K27+K26</w:t>
            </w:r>
          </w:p>
        </w:tc>
      </w:tr>
      <w:tr>
        <w:tc>
          <w:tcPr>
            <w:tcW w:type="dxa" w:w="2880"/>
          </w:tcPr>
          <w:p>
            <w:r>
              <w:t>Cash</w:t>
            </w:r>
          </w:p>
        </w:tc>
        <w:tc>
          <w:tcPr>
            <w:tcW w:type="dxa" w:w="2880"/>
          </w:tcPr>
          <w:p>
            <w:r>
              <w:t>K29</w:t>
            </w:r>
          </w:p>
        </w:tc>
        <w:tc>
          <w:tcPr>
            <w:tcW w:type="dxa" w:w="2880"/>
          </w:tcPr>
          <w:p>
            <w:r>
              <w:t>=K203</w:t>
            </w:r>
          </w:p>
        </w:tc>
      </w:tr>
      <w:tr>
        <w:tc>
          <w:tcPr>
            <w:tcW w:type="dxa" w:w="2880"/>
          </w:tcPr>
          <w:p>
            <w:r>
              <w:t>Debt</w:t>
            </w:r>
          </w:p>
        </w:tc>
        <w:tc>
          <w:tcPr>
            <w:tcW w:type="dxa" w:w="2880"/>
          </w:tcPr>
          <w:p>
            <w:r>
              <w:t>K30</w:t>
            </w:r>
          </w:p>
        </w:tc>
        <w:tc>
          <w:tcPr>
            <w:tcW w:type="dxa" w:w="2880"/>
          </w:tcPr>
          <w:p>
            <w:r>
              <w:t>=K201</w:t>
            </w:r>
          </w:p>
        </w:tc>
      </w:tr>
      <w:tr>
        <w:tc>
          <w:tcPr>
            <w:tcW w:type="dxa" w:w="2880"/>
          </w:tcPr>
          <w:p>
            <w:r>
              <w:t>Equity Value</w:t>
            </w:r>
          </w:p>
        </w:tc>
        <w:tc>
          <w:tcPr>
            <w:tcW w:type="dxa" w:w="2880"/>
          </w:tcPr>
          <w:p>
            <w:r>
              <w:t>K32</w:t>
            </w:r>
          </w:p>
        </w:tc>
        <w:tc>
          <w:tcPr>
            <w:tcW w:type="dxa" w:w="2880"/>
          </w:tcPr>
          <w:p>
            <w:r>
              <w:t>=K28+K29-K30</w:t>
            </w:r>
          </w:p>
        </w:tc>
      </w:tr>
      <w:tr>
        <w:tc>
          <w:tcPr>
            <w:tcW w:type="dxa" w:w="2880"/>
          </w:tcPr>
          <w:p>
            <w:r>
              <w:t>Shares (millions)</w:t>
            </w:r>
          </w:p>
        </w:tc>
        <w:tc>
          <w:tcPr>
            <w:tcW w:type="dxa" w:w="2880"/>
          </w:tcPr>
          <w:p>
            <w:r>
              <w:t>K34</w:t>
            </w:r>
          </w:p>
        </w:tc>
        <w:tc>
          <w:tcPr>
            <w:tcW w:type="dxa" w:w="2880"/>
          </w:tcPr>
          <w:p>
            <w:r>
              <w:t>=K371/1000</w:t>
            </w:r>
          </w:p>
        </w:tc>
      </w:tr>
      <w:tr>
        <w:tc>
          <w:tcPr>
            <w:tcW w:type="dxa" w:w="2880"/>
          </w:tcPr>
          <w:p>
            <w:r>
              <w:t>DCF Share Price</w:t>
            </w:r>
          </w:p>
        </w:tc>
        <w:tc>
          <w:tcPr>
            <w:tcW w:type="dxa" w:w="2880"/>
          </w:tcPr>
          <w:p>
            <w:r>
              <w:t>K35</w:t>
            </w:r>
          </w:p>
        </w:tc>
        <w:tc>
          <w:tcPr>
            <w:tcW w:type="dxa" w:w="2880"/>
          </w:tcPr>
          <w:p>
            <w:r>
              <w:t>=K32/K34</w:t>
            </w:r>
          </w:p>
        </w:tc>
      </w:tr>
      <w:tr>
        <w:tc>
          <w:tcPr>
            <w:tcW w:type="dxa" w:w="2880"/>
          </w:tcPr>
          <w:p>
            <w:r>
              <w:t>WACC</w:t>
            </w:r>
          </w:p>
        </w:tc>
        <w:tc>
          <w:tcPr>
            <w:tcW w:type="dxa" w:w="2880"/>
          </w:tcPr>
          <w:p>
            <w:r>
              <w:t>O25</w:t>
            </w:r>
          </w:p>
        </w:tc>
        <w:tc>
          <w:tcPr>
            <w:tcW w:type="dxa" w:w="2880"/>
          </w:tcPr>
          <w:p>
            <w:r>
              <w:t>=(1-R27)*O29+R27*R26*(1-R25)</w:t>
            </w:r>
          </w:p>
        </w:tc>
      </w:tr>
      <w:tr>
        <w:tc>
          <w:tcPr>
            <w:tcW w:type="dxa" w:w="2880"/>
          </w:tcPr>
          <w:p>
            <w:r>
              <w:t>Cost of Equity</w:t>
            </w:r>
          </w:p>
        </w:tc>
        <w:tc>
          <w:tcPr>
            <w:tcW w:type="dxa" w:w="2880"/>
          </w:tcPr>
          <w:p>
            <w:r>
              <w:t>O29</w:t>
            </w:r>
          </w:p>
        </w:tc>
        <w:tc>
          <w:tcPr>
            <w:tcW w:type="dxa" w:w="2880"/>
          </w:tcPr>
          <w:p>
            <w:r>
              <w:t>=O26+O27*O28  (CAPM)</w:t>
            </w:r>
          </w:p>
        </w:tc>
      </w:tr>
      <w:tr>
        <w:tc>
          <w:tcPr>
            <w:tcW w:type="dxa" w:w="2880"/>
          </w:tcPr>
          <w:p>
            <w:r>
              <w:t>D/(D+E)</w:t>
            </w:r>
          </w:p>
        </w:tc>
        <w:tc>
          <w:tcPr>
            <w:tcW w:type="dxa" w:w="2880"/>
          </w:tcPr>
          <w:p>
            <w:r>
              <w:t>R27</w:t>
            </w:r>
          </w:p>
        </w:tc>
        <w:tc>
          <w:tcPr>
            <w:tcW w:type="dxa" w:w="2880"/>
          </w:tcPr>
          <w:p>
            <w:r>
              <w:t>=K201/(K201+R29)</w:t>
            </w:r>
          </w:p>
        </w:tc>
      </w:tr>
      <w:tr>
        <w:tc>
          <w:tcPr>
            <w:tcW w:type="dxa" w:w="2880"/>
          </w:tcPr>
          <w:p>
            <w:r>
              <w:t>Terminal Growth</w:t>
            </w:r>
          </w:p>
        </w:tc>
        <w:tc>
          <w:tcPr>
            <w:tcW w:type="dxa" w:w="2880"/>
          </w:tcPr>
          <w:p>
            <w:r>
              <w:t>R28</w:t>
            </w:r>
          </w:p>
        </w:tc>
        <w:tc>
          <w:tcPr>
            <w:tcW w:type="dxa" w:w="2880"/>
          </w:tcPr>
          <w:p>
            <w:r>
              <w:t>=R15 = R320 = 4%</w:t>
            </w:r>
          </w:p>
        </w:tc>
      </w:tr>
      <w:tr>
        <w:tc>
          <w:tcPr>
            <w:tcW w:type="dxa" w:w="2880"/>
          </w:tcPr>
          <w:p>
            <w:r>
              <w:t>Market-implied WACC (IRR)</w:t>
            </w:r>
          </w:p>
        </w:tc>
        <w:tc>
          <w:tcPr>
            <w:tcW w:type="dxa" w:w="2880"/>
          </w:tcPr>
          <w:p>
            <w:r>
              <w:t>K78</w:t>
            </w:r>
          </w:p>
        </w:tc>
        <w:tc>
          <w:tcPr>
            <w:tcW w:type="dxa" w:w="2880"/>
          </w:tcPr>
          <w:p>
            <w:r>
              <w:t>~9.39%  (Excel solver output)</w:t>
            </w:r>
          </w:p>
        </w:tc>
      </w:tr>
      <w:tr>
        <w:tc>
          <w:tcPr>
            <w:tcW w:type="dxa" w:w="2880"/>
          </w:tcPr>
          <w:p>
            <w:r>
              <w:t>Multiples-implied WACC</w:t>
            </w:r>
          </w:p>
        </w:tc>
        <w:tc>
          <w:tcPr>
            <w:tcW w:type="dxa" w:w="2880"/>
          </w:tcPr>
          <w:p>
            <w:r>
              <w:t>K81</w:t>
            </w:r>
          </w:p>
        </w:tc>
        <w:tc>
          <w:tcPr>
            <w:tcW w:type="dxa" w:w="2880"/>
          </w:tcPr>
          <w:p>
            <w:r>
              <w:t>~12.23%  (Excel solver output)</w:t>
            </w:r>
          </w:p>
        </w:tc>
      </w:tr>
      <w:tr>
        <w:tc>
          <w:tcPr>
            <w:tcW w:type="dxa" w:w="2880"/>
          </w:tcPr>
          <w:p>
            <w:r>
              <w:t>Multiples price</w:t>
            </w:r>
          </w:p>
        </w:tc>
        <w:tc>
          <w:tcPr>
            <w:tcW w:type="dxa" w:w="2880"/>
          </w:tcPr>
          <w:p>
            <w:r>
              <w:t>P56</w:t>
            </w:r>
          </w:p>
        </w:tc>
        <w:tc>
          <w:tcPr>
            <w:tcW w:type="dxa" w:w="2880"/>
          </w:tcPr>
          <w:p>
            <w:r>
              <w:t>=SUMPRODUCT(Q54:U54,Q55:U55)</w:t>
            </w:r>
          </w:p>
        </w:tc>
      </w:tr>
    </w:tbl>
    <w:p/>
    <w:p>
      <w:pPr>
        <w:pStyle w:val="Heading2"/>
      </w:pPr>
      <w:r>
        <w:rPr>
          <w:color w:val="2E74B5"/>
        </w:rPr>
        <w:t>17.5  ITS and CFADS Formulas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Cell</w:t>
            </w:r>
          </w:p>
        </w:tc>
        <w:tc>
          <w:tcPr>
            <w:tcW w:type="dxa" w:w="2880"/>
          </w:tcPr>
          <w:p>
            <w:r>
              <w:rPr>
                <w:b/>
              </w:rPr>
              <w:t>Formula</w:t>
            </w:r>
          </w:p>
        </w:tc>
      </w:tr>
      <w:tr>
        <w:tc>
          <w:tcPr>
            <w:tcW w:type="dxa" w:w="2880"/>
          </w:tcPr>
          <w:p>
            <w:r>
              <w:t>ITS per year</w:t>
            </w:r>
          </w:p>
        </w:tc>
        <w:tc>
          <w:tcPr>
            <w:tcW w:type="dxa" w:w="2880"/>
          </w:tcPr>
          <w:p>
            <w:r>
              <w:t>L245</w:t>
            </w:r>
          </w:p>
        </w:tc>
        <w:tc>
          <w:tcPr>
            <w:tcW w:type="dxa" w:w="2880"/>
          </w:tcPr>
          <w:p>
            <w:r>
              <w:t>=L227*$R$25</w:t>
            </w:r>
          </w:p>
        </w:tc>
      </w:tr>
      <w:tr>
        <w:tc>
          <w:tcPr>
            <w:tcW w:type="dxa" w:w="2880"/>
          </w:tcPr>
          <w:p>
            <w:r>
              <w:t>FFCFwITS (method 1: EFCF+ΔIBD)</w:t>
            </w:r>
          </w:p>
        </w:tc>
        <w:tc>
          <w:tcPr>
            <w:tcW w:type="dxa" w:w="2880"/>
          </w:tcPr>
          <w:p>
            <w:r>
              <w:t>L244</w:t>
            </w:r>
          </w:p>
        </w:tc>
        <w:tc>
          <w:tcPr>
            <w:tcW w:type="dxa" w:w="2880"/>
          </w:tcPr>
          <w:p>
            <w:r>
              <w:t>=L224+L226</w:t>
            </w:r>
          </w:p>
        </w:tc>
      </w:tr>
      <w:tr>
        <w:tc>
          <w:tcPr>
            <w:tcW w:type="dxa" w:w="2880"/>
          </w:tcPr>
          <w:p>
            <w:r>
              <w:t>FFCFwITS (method 2: OFCF+ITS)</w:t>
            </w:r>
          </w:p>
        </w:tc>
        <w:tc>
          <w:tcPr>
            <w:tcW w:type="dxa" w:w="2880"/>
          </w:tcPr>
          <w:p>
            <w:r>
              <w:t>L246</w:t>
            </w:r>
          </w:p>
        </w:tc>
        <w:tc>
          <w:tcPr>
            <w:tcW w:type="dxa" w:w="2880"/>
          </w:tcPr>
          <w:p>
            <w:r>
              <w:t>=L22+L245</w:t>
            </w:r>
          </w:p>
        </w:tc>
      </w:tr>
      <w:tr>
        <w:tc>
          <w:tcPr>
            <w:tcW w:type="dxa" w:w="2880"/>
          </w:tcPr>
          <w:p>
            <w:r>
              <w:t>WACC before tax</w:t>
            </w:r>
          </w:p>
        </w:tc>
        <w:tc>
          <w:tcPr>
            <w:tcW w:type="dxa" w:w="2880"/>
          </w:tcPr>
          <w:p>
            <w:r>
              <w:t>L251</w:t>
            </w:r>
          </w:p>
        </w:tc>
        <w:tc>
          <w:tcPr>
            <w:tcW w:type="dxa" w:w="2880"/>
          </w:tcPr>
          <w:p>
            <w:r>
              <w:t>=O25+R27*R25*R26</w:t>
            </w:r>
          </w:p>
        </w:tc>
      </w:tr>
      <w:tr>
        <w:tc>
          <w:tcPr>
            <w:tcW w:type="dxa" w:w="2880"/>
          </w:tcPr>
          <w:p>
            <w:r>
              <w:t>EV_ITS (APV method)</w:t>
            </w:r>
          </w:p>
        </w:tc>
        <w:tc>
          <w:tcPr>
            <w:tcW w:type="dxa" w:w="2880"/>
          </w:tcPr>
          <w:p>
            <w:r>
              <w:t>K252</w:t>
            </w:r>
          </w:p>
        </w:tc>
        <w:tc>
          <w:tcPr>
            <w:tcW w:type="dxa" w:w="2880"/>
          </w:tcPr>
          <w:p>
            <w:r>
              <w:t>=(L252+L246)/(1+L251)^1  (recursive)</w:t>
            </w:r>
          </w:p>
        </w:tc>
      </w:tr>
      <w:tr>
        <w:tc>
          <w:tcPr>
            <w:tcW w:type="dxa" w:w="2880"/>
          </w:tcPr>
          <w:p>
            <w:r>
              <w:t>WACC after tax (variable)</w:t>
            </w:r>
          </w:p>
        </w:tc>
        <w:tc>
          <w:tcPr>
            <w:tcW w:type="dxa" w:w="2880"/>
          </w:tcPr>
          <w:p>
            <w:r>
              <w:t>L256</w:t>
            </w:r>
          </w:p>
        </w:tc>
        <w:tc>
          <w:tcPr>
            <w:tcW w:type="dxa" w:w="2880"/>
          </w:tcPr>
          <w:p>
            <w:r>
              <w:t>=L251-L253*L255*$R$25</w:t>
            </w:r>
          </w:p>
        </w:tc>
      </w:tr>
      <w:tr>
        <w:tc>
          <w:tcPr>
            <w:tcW w:type="dxa" w:w="2880"/>
          </w:tcPr>
          <w:p>
            <w:r>
              <w:t>EV (variable WACC method)</w:t>
            </w:r>
          </w:p>
        </w:tc>
        <w:tc>
          <w:tcPr>
            <w:tcW w:type="dxa" w:w="2880"/>
          </w:tcPr>
          <w:p>
            <w:r>
              <w:t>K257</w:t>
            </w:r>
          </w:p>
        </w:tc>
        <w:tc>
          <w:tcPr>
            <w:tcW w:type="dxa" w:w="2880"/>
          </w:tcPr>
          <w:p>
            <w:r>
              <w:t>=(L257+L22)/(1+L256)^1  (recursive)</w:t>
            </w:r>
          </w:p>
        </w:tc>
      </w:tr>
      <w:tr>
        <w:tc>
          <w:tcPr>
            <w:tcW w:type="dxa" w:w="2880"/>
          </w:tcPr>
          <w:p>
            <w:r>
              <w:t>CFADS actual</w:t>
            </w:r>
          </w:p>
        </w:tc>
        <w:tc>
          <w:tcPr>
            <w:tcW w:type="dxa" w:w="2880"/>
          </w:tcPr>
          <w:p>
            <w:r>
              <w:t>L260</w:t>
            </w:r>
          </w:p>
        </w:tc>
        <w:tc>
          <w:tcPr>
            <w:tcW w:type="dxa" w:w="2880"/>
          </w:tcPr>
          <w:p>
            <w:r>
              <w:t>=NI+D&amp;A+IntExp*(1-tax)-ΔNOWC-CapEx</w:t>
            </w:r>
          </w:p>
        </w:tc>
      </w:tr>
      <w:tr>
        <w:tc>
          <w:tcPr>
            <w:tcW w:type="dxa" w:w="2880"/>
          </w:tcPr>
          <w:p>
            <w:r>
              <w:t>CFADS notional</w:t>
            </w:r>
          </w:p>
        </w:tc>
        <w:tc>
          <w:tcPr>
            <w:tcW w:type="dxa" w:w="2880"/>
          </w:tcPr>
          <w:p>
            <w:r>
              <w:t>L261</w:t>
            </w:r>
          </w:p>
        </w:tc>
        <w:tc>
          <w:tcPr>
            <w:tcW w:type="dxa" w:w="2880"/>
          </w:tcPr>
          <w:p>
            <w:r>
              <w:t>=NI+D&amp;A+IntExp*(1-tax)-ΔNOWC-D&amp;A  (=NI+IntExp*(1-tax)-ΔNOWC)</w:t>
            </w:r>
          </w:p>
        </w:tc>
      </w:tr>
      <w:tr>
        <w:tc>
          <w:tcPr>
            <w:tcW w:type="dxa" w:w="2880"/>
          </w:tcPr>
          <w:p>
            <w:r>
              <w:t>Interest coverage</w:t>
            </w:r>
          </w:p>
        </w:tc>
        <w:tc>
          <w:tcPr>
            <w:tcW w:type="dxa" w:w="2880"/>
          </w:tcPr>
          <w:p>
            <w:r>
              <w:t>L290</w:t>
            </w:r>
          </w:p>
        </w:tc>
        <w:tc>
          <w:tcPr>
            <w:tcW w:type="dxa" w:w="2880"/>
          </w:tcPr>
          <w:p>
            <w:r>
              <w:t>=(L288-L229)/L227  (EBIT/IntExp)</w:t>
            </w:r>
          </w:p>
        </w:tc>
      </w:tr>
      <w:tr>
        <w:tc>
          <w:tcPr>
            <w:tcW w:type="dxa" w:w="2880"/>
          </w:tcPr>
          <w:p>
            <w:r>
              <w:t>CAFDS notional coverage</w:t>
            </w:r>
          </w:p>
        </w:tc>
        <w:tc>
          <w:tcPr>
            <w:tcW w:type="dxa" w:w="2880"/>
          </w:tcPr>
          <w:p>
            <w:r>
              <w:t>L292</w:t>
            </w:r>
          </w:p>
        </w:tc>
        <w:tc>
          <w:tcPr>
            <w:tcW w:type="dxa" w:w="2880"/>
          </w:tcPr>
          <w:p>
            <w:r>
              <w:t>=L261/L227</w:t>
            </w:r>
          </w:p>
        </w:tc>
      </w:tr>
    </w:tbl>
    <w:p/>
    <w:p>
      <w:r>
        <w:br w:type="page"/>
      </w:r>
    </w:p>
    <w:p>
      <w:pPr>
        <w:pStyle w:val="Heading1"/>
      </w:pPr>
      <w:r>
        <w:rPr>
          <w:color w:val="1F497D"/>
        </w:rPr>
        <w:t>Part 18: Historical Performance Context</w:t>
      </w:r>
    </w:p>
    <w:p>
      <w:pPr>
        <w:pStyle w:val="Heading2"/>
      </w:pPr>
      <w:r>
        <w:rPr>
          <w:color w:val="2E74B5"/>
        </w:rPr>
        <w:t>18.1  10-Year Revenue and Profitability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Revenue</w:t>
            </w:r>
          </w:p>
        </w:tc>
        <w:tc>
          <w:tcPr>
            <w:tcW w:type="dxa" w:w="1728"/>
          </w:tcPr>
          <w:p>
            <w:r>
              <w:rPr>
                <w:b/>
              </w:rPr>
              <w:t>Net Income</w:t>
            </w:r>
          </w:p>
        </w:tc>
        <w:tc>
          <w:tcPr>
            <w:tcW w:type="dxa" w:w="1728"/>
          </w:tcPr>
          <w:p>
            <w:r>
              <w:rPr>
                <w:b/>
              </w:rPr>
              <w:t>Net Margin</w:t>
            </w:r>
          </w:p>
        </w:tc>
        <w:tc>
          <w:tcPr>
            <w:tcW w:type="dxa" w:w="1728"/>
          </w:tcPr>
          <w:p>
            <w:r>
              <w:rPr>
                <w:b/>
              </w:rPr>
              <w:t>EBIT</w:t>
            </w:r>
          </w:p>
        </w:tc>
      </w:tr>
      <w:tr>
        <w:tc>
          <w:tcPr>
            <w:tcW w:type="dxa" w:w="1728"/>
          </w:tcPr>
          <w:p>
            <w:r>
              <w:t>FY2015</w:t>
            </w:r>
          </w:p>
        </w:tc>
        <w:tc>
          <w:tcPr>
            <w:tcW w:type="dxa" w:w="1728"/>
          </w:tcPr>
          <w:p>
            <w:r>
              <w:t>$30,601m</w:t>
            </w:r>
          </w:p>
        </w:tc>
        <w:tc>
          <w:tcPr>
            <w:tcW w:type="dxa" w:w="1728"/>
          </w:tcPr>
          <w:p>
            <w:r>
              <w:t>$3,273m</w:t>
            </w:r>
          </w:p>
        </w:tc>
        <w:tc>
          <w:tcPr>
            <w:tcW w:type="dxa" w:w="1728"/>
          </w:tcPr>
          <w:p>
            <w:r>
              <w:t>10.7%</w:t>
            </w:r>
          </w:p>
        </w:tc>
        <w:tc>
          <w:tcPr>
            <w:tcW w:type="dxa" w:w="1728"/>
          </w:tcPr>
          <w:p>
            <w:r>
              <w:t>$4,175m</w:t>
            </w:r>
          </w:p>
        </w:tc>
      </w:tr>
      <w:tr>
        <w:tc>
          <w:tcPr>
            <w:tcW w:type="dxa" w:w="1728"/>
          </w:tcPr>
          <w:p>
            <w:r>
              <w:t>FY2016</w:t>
            </w:r>
          </w:p>
        </w:tc>
        <w:tc>
          <w:tcPr>
            <w:tcW w:type="dxa" w:w="1728"/>
          </w:tcPr>
          <w:p>
            <w:r>
              <w:t>$32,376m</w:t>
            </w:r>
          </w:p>
        </w:tc>
        <w:tc>
          <w:tcPr>
            <w:tcW w:type="dxa" w:w="1728"/>
          </w:tcPr>
          <w:p>
            <w:r>
              <w:t>$3,760m</w:t>
            </w:r>
          </w:p>
        </w:tc>
        <w:tc>
          <w:tcPr>
            <w:tcW w:type="dxa" w:w="1728"/>
          </w:tcPr>
          <w:p>
            <w:r>
              <w:t>11.6%</w:t>
            </w:r>
          </w:p>
        </w:tc>
        <w:tc>
          <w:tcPr>
            <w:tcW w:type="dxa" w:w="1728"/>
          </w:tcPr>
          <w:p>
            <w:r>
              <w:t>$4,502m</w:t>
            </w:r>
          </w:p>
        </w:tc>
      </w:tr>
      <w:tr>
        <w:tc>
          <w:tcPr>
            <w:tcW w:type="dxa" w:w="1728"/>
          </w:tcPr>
          <w:p>
            <w:r>
              <w:t>FY2017</w:t>
            </w:r>
          </w:p>
        </w:tc>
        <w:tc>
          <w:tcPr>
            <w:tcW w:type="dxa" w:w="1728"/>
          </w:tcPr>
          <w:p>
            <w:r>
              <w:t>$34,350m</w:t>
            </w:r>
          </w:p>
        </w:tc>
        <w:tc>
          <w:tcPr>
            <w:tcW w:type="dxa" w:w="1728"/>
          </w:tcPr>
          <w:p>
            <w:r>
              <w:t>$4,240m</w:t>
            </w:r>
          </w:p>
        </w:tc>
        <w:tc>
          <w:tcPr>
            <w:tcW w:type="dxa" w:w="1728"/>
          </w:tcPr>
          <w:p>
            <w:r>
              <w:t>12.3%</w:t>
            </w:r>
          </w:p>
        </w:tc>
        <w:tc>
          <w:tcPr>
            <w:tcW w:type="dxa" w:w="1728"/>
          </w:tcPr>
          <w:p>
            <w:r>
              <w:t>$4,749m</w:t>
            </w:r>
          </w:p>
        </w:tc>
      </w:tr>
      <w:tr>
        <w:tc>
          <w:tcPr>
            <w:tcW w:type="dxa" w:w="1728"/>
          </w:tcPr>
          <w:p>
            <w:r>
              <w:t>FY2018</w:t>
            </w:r>
          </w:p>
        </w:tc>
        <w:tc>
          <w:tcPr>
            <w:tcW w:type="dxa" w:w="1728"/>
          </w:tcPr>
          <w:p>
            <w:r>
              <w:t>$36,397m</w:t>
            </w:r>
          </w:p>
        </w:tc>
        <w:tc>
          <w:tcPr>
            <w:tcW w:type="dxa" w:w="1728"/>
          </w:tcPr>
          <w:p>
            <w:r>
              <w:t>$1,933m</w:t>
            </w:r>
          </w:p>
        </w:tc>
        <w:tc>
          <w:tcPr>
            <w:tcW w:type="dxa" w:w="1728"/>
          </w:tcPr>
          <w:p>
            <w:r>
              <w:t>5.3%</w:t>
            </w:r>
          </w:p>
        </w:tc>
        <w:tc>
          <w:tcPr>
            <w:tcW w:type="dxa" w:w="1728"/>
          </w:tcPr>
          <w:p>
            <w:r>
              <w:t>$4,445m</w:t>
            </w:r>
          </w:p>
        </w:tc>
      </w:tr>
      <w:tr>
        <w:tc>
          <w:tcPr>
            <w:tcW w:type="dxa" w:w="1728"/>
          </w:tcPr>
          <w:p>
            <w:r>
              <w:t>FY2019</w:t>
            </w:r>
          </w:p>
        </w:tc>
        <w:tc>
          <w:tcPr>
            <w:tcW w:type="dxa" w:w="1728"/>
          </w:tcPr>
          <w:p>
            <w:r>
              <w:t>$39,117m</w:t>
            </w:r>
          </w:p>
        </w:tc>
        <w:tc>
          <w:tcPr>
            <w:tcW w:type="dxa" w:w="1728"/>
          </w:tcPr>
          <w:p>
            <w:r>
              <w:t>$4,029m</w:t>
            </w:r>
          </w:p>
        </w:tc>
        <w:tc>
          <w:tcPr>
            <w:tcW w:type="dxa" w:w="1728"/>
          </w:tcPr>
          <w:p>
            <w:r>
              <w:t>10.3%</w:t>
            </w:r>
          </w:p>
        </w:tc>
        <w:tc>
          <w:tcPr>
            <w:tcW w:type="dxa" w:w="1728"/>
          </w:tcPr>
          <w:p>
            <w:r>
              <w:t>$4,772m</w:t>
            </w:r>
          </w:p>
        </w:tc>
      </w:tr>
      <w:tr>
        <w:tc>
          <w:tcPr>
            <w:tcW w:type="dxa" w:w="1728"/>
          </w:tcPr>
          <w:p>
            <w:r>
              <w:t>FY2020</w:t>
            </w:r>
          </w:p>
        </w:tc>
        <w:tc>
          <w:tcPr>
            <w:tcW w:type="dxa" w:w="1728"/>
          </w:tcPr>
          <w:p>
            <w:r>
              <w:t>$37,403m</w:t>
            </w:r>
          </w:p>
        </w:tc>
        <w:tc>
          <w:tcPr>
            <w:tcW w:type="dxa" w:w="1728"/>
          </w:tcPr>
          <w:p>
            <w:r>
              <w:t>$2,539m</w:t>
            </w:r>
          </w:p>
        </w:tc>
        <w:tc>
          <w:tcPr>
            <w:tcW w:type="dxa" w:w="1728"/>
          </w:tcPr>
          <w:p>
            <w:r>
              <w:t>6.8%</w:t>
            </w:r>
          </w:p>
        </w:tc>
        <w:tc>
          <w:tcPr>
            <w:tcW w:type="dxa" w:w="1728"/>
          </w:tcPr>
          <w:p>
            <w:r>
              <w:t>$3,115m</w:t>
            </w:r>
          </w:p>
        </w:tc>
      </w:tr>
      <w:tr>
        <w:tc>
          <w:tcPr>
            <w:tcW w:type="dxa" w:w="1728"/>
          </w:tcPr>
          <w:p>
            <w:r>
              <w:t>FY2021</w:t>
            </w:r>
          </w:p>
        </w:tc>
        <w:tc>
          <w:tcPr>
            <w:tcW w:type="dxa" w:w="1728"/>
          </w:tcPr>
          <w:p>
            <w:r>
              <w:t>$44,538m</w:t>
            </w:r>
          </w:p>
        </w:tc>
        <w:tc>
          <w:tcPr>
            <w:tcW w:type="dxa" w:w="1728"/>
          </w:tcPr>
          <w:p>
            <w:r>
              <w:t>$5,727m</w:t>
            </w:r>
          </w:p>
        </w:tc>
        <w:tc>
          <w:tcPr>
            <w:tcW w:type="dxa" w:w="1728"/>
          </w:tcPr>
          <w:p>
            <w:r>
              <w:t>12.9%</w:t>
            </w:r>
          </w:p>
        </w:tc>
        <w:tc>
          <w:tcPr>
            <w:tcW w:type="dxa" w:w="1728"/>
          </w:tcPr>
          <w:p>
            <w:r>
              <w:t>$7,231m</w:t>
            </w:r>
          </w:p>
        </w:tc>
      </w:tr>
      <w:tr>
        <w:tc>
          <w:tcPr>
            <w:tcW w:type="dxa" w:w="1728"/>
          </w:tcPr>
          <w:p>
            <w:r>
              <w:t>FY2022</w:t>
            </w:r>
          </w:p>
        </w:tc>
        <w:tc>
          <w:tcPr>
            <w:tcW w:type="dxa" w:w="1728"/>
          </w:tcPr>
          <w:p>
            <w:r>
              <w:t>$46,710m</w:t>
            </w:r>
          </w:p>
        </w:tc>
        <w:tc>
          <w:tcPr>
            <w:tcW w:type="dxa" w:w="1728"/>
          </w:tcPr>
          <w:p>
            <w:r>
              <w:t>$6,046m</w:t>
            </w:r>
          </w:p>
        </w:tc>
        <w:tc>
          <w:tcPr>
            <w:tcW w:type="dxa" w:w="1728"/>
          </w:tcPr>
          <w:p>
            <w:r>
              <w:t>12.9%</w:t>
            </w:r>
          </w:p>
        </w:tc>
        <w:tc>
          <w:tcPr>
            <w:tcW w:type="dxa" w:w="1728"/>
          </w:tcPr>
          <w:p>
            <w:r>
              <w:t>$6,675m</w:t>
            </w:r>
          </w:p>
        </w:tc>
      </w:tr>
      <w:tr>
        <w:tc>
          <w:tcPr>
            <w:tcW w:type="dxa" w:w="1728"/>
          </w:tcPr>
          <w:p>
            <w:r>
              <w:t>FY2023</w:t>
            </w:r>
          </w:p>
        </w:tc>
        <w:tc>
          <w:tcPr>
            <w:tcW w:type="dxa" w:w="1728"/>
          </w:tcPr>
          <w:p>
            <w:r>
              <w:t>$51,217m</w:t>
            </w:r>
          </w:p>
        </w:tc>
        <w:tc>
          <w:tcPr>
            <w:tcW w:type="dxa" w:w="1728"/>
          </w:tcPr>
          <w:p>
            <w:r>
              <w:t>$5,070m</w:t>
            </w:r>
          </w:p>
        </w:tc>
        <w:tc>
          <w:tcPr>
            <w:tcW w:type="dxa" w:w="1728"/>
          </w:tcPr>
          <w:p>
            <w:r>
              <w:t>9.9%</w:t>
            </w:r>
          </w:p>
        </w:tc>
        <w:tc>
          <w:tcPr>
            <w:tcW w:type="dxa" w:w="1728"/>
          </w:tcPr>
          <w:p>
            <w:r>
              <w:t>$5,915m</w:t>
            </w:r>
          </w:p>
        </w:tc>
      </w:tr>
      <w:tr>
        <w:tc>
          <w:tcPr>
            <w:tcW w:type="dxa" w:w="1728"/>
          </w:tcPr>
          <w:p>
            <w:r>
              <w:t>FY2024</w:t>
            </w:r>
          </w:p>
        </w:tc>
        <w:tc>
          <w:tcPr>
            <w:tcW w:type="dxa" w:w="1728"/>
          </w:tcPr>
          <w:p>
            <w:r>
              <w:t>$51,362m</w:t>
            </w:r>
          </w:p>
        </w:tc>
        <w:tc>
          <w:tcPr>
            <w:tcW w:type="dxa" w:w="1728"/>
          </w:tcPr>
          <w:p>
            <w:r>
              <w:t>$5,700m</w:t>
            </w:r>
          </w:p>
        </w:tc>
        <w:tc>
          <w:tcPr>
            <w:tcW w:type="dxa" w:w="1728"/>
          </w:tcPr>
          <w:p>
            <w:r>
              <w:t>11.1%</w:t>
            </w:r>
          </w:p>
        </w:tc>
        <w:tc>
          <w:tcPr>
            <w:tcW w:type="dxa" w:w="1728"/>
          </w:tcPr>
          <w:p>
            <w:r>
              <w:t>$6,754m</w:t>
            </w:r>
          </w:p>
        </w:tc>
      </w:tr>
    </w:tbl>
    <w:p/>
    <w:p>
      <w:r>
        <w:t>FY2018 note: Tax reform charge reduced net income. FY2020: COVID impact. FY2021: post-COVID demand surge plus cost leverage.</w:t>
      </w:r>
    </w:p>
    <w:p>
      <w:pPr>
        <w:pStyle w:val="Heading2"/>
      </w:pPr>
      <w:r>
        <w:rPr>
          <w:color w:val="2E74B5"/>
        </w:rPr>
        <w:t>18.2  Capital Allocation History (FY2015–FY2024)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Buybacks</w:t>
            </w:r>
          </w:p>
        </w:tc>
        <w:tc>
          <w:tcPr>
            <w:tcW w:type="dxa" w:w="2160"/>
          </w:tcPr>
          <w:p>
            <w:r>
              <w:rPr>
                <w:b/>
              </w:rPr>
              <w:t>Dividends</w:t>
            </w:r>
          </w:p>
        </w:tc>
        <w:tc>
          <w:tcPr>
            <w:tcW w:type="dxa" w:w="2160"/>
          </w:tcPr>
          <w:p>
            <w:r>
              <w:rPr>
                <w:b/>
              </w:rPr>
              <w:t>Net Income ($000s)</w:t>
            </w:r>
          </w:p>
        </w:tc>
      </w:tr>
      <w:tr>
        <w:tc>
          <w:tcPr>
            <w:tcW w:type="dxa" w:w="2160"/>
          </w:tcPr>
          <w:p>
            <w:r>
              <w:t>FY2015</w:t>
            </w:r>
          </w:p>
        </w:tc>
        <w:tc>
          <w:tcPr>
            <w:tcW w:type="dxa" w:w="2160"/>
          </w:tcPr>
          <w:p>
            <w:r>
              <w:t>$2,534m</w:t>
            </w:r>
          </w:p>
        </w:tc>
        <w:tc>
          <w:tcPr>
            <w:tcW w:type="dxa" w:w="2160"/>
          </w:tcPr>
          <w:p>
            <w:r>
              <w:t>$899m</w:t>
            </w:r>
          </w:p>
        </w:tc>
        <w:tc>
          <w:tcPr>
            <w:tcW w:type="dxa" w:w="2160"/>
          </w:tcPr>
          <w:p>
            <w:r>
              <w:t>3,273</w:t>
            </w:r>
          </w:p>
        </w:tc>
      </w:tr>
      <w:tr>
        <w:tc>
          <w:tcPr>
            <w:tcW w:type="dxa" w:w="2160"/>
          </w:tcPr>
          <w:p>
            <w:r>
              <w:t>FY2016</w:t>
            </w:r>
          </w:p>
        </w:tc>
        <w:tc>
          <w:tcPr>
            <w:tcW w:type="dxa" w:w="2160"/>
          </w:tcPr>
          <w:p>
            <w:r>
              <w:t>$3,260m</w:t>
            </w:r>
          </w:p>
        </w:tc>
        <w:tc>
          <w:tcPr>
            <w:tcW w:type="dxa" w:w="2160"/>
          </w:tcPr>
          <w:p>
            <w:r>
              <w:t>$1,022m</w:t>
            </w:r>
          </w:p>
        </w:tc>
        <w:tc>
          <w:tcPr>
            <w:tcW w:type="dxa" w:w="2160"/>
          </w:tcPr>
          <w:p>
            <w:r>
              <w:t>3,760</w:t>
            </w:r>
          </w:p>
        </w:tc>
      </w:tr>
      <w:tr>
        <w:tc>
          <w:tcPr>
            <w:tcW w:type="dxa" w:w="2160"/>
          </w:tcPr>
          <w:p>
            <w:r>
              <w:t>FY2017</w:t>
            </w:r>
          </w:p>
        </w:tc>
        <w:tc>
          <w:tcPr>
            <w:tcW w:type="dxa" w:w="2160"/>
          </w:tcPr>
          <w:p>
            <w:r>
              <w:t>$3,252m</w:t>
            </w:r>
          </w:p>
        </w:tc>
        <w:tc>
          <w:tcPr>
            <w:tcW w:type="dxa" w:w="2160"/>
          </w:tcPr>
          <w:p>
            <w:r>
              <w:t>$1,133m</w:t>
            </w:r>
          </w:p>
        </w:tc>
        <w:tc>
          <w:tcPr>
            <w:tcW w:type="dxa" w:w="2160"/>
          </w:tcPr>
          <w:p>
            <w:r>
              <w:t>4,240</w:t>
            </w:r>
          </w:p>
        </w:tc>
      </w:tr>
      <w:tr>
        <w:tc>
          <w:tcPr>
            <w:tcW w:type="dxa" w:w="2160"/>
          </w:tcPr>
          <w:p>
            <w:r>
              <w:t>FY2018</w:t>
            </w:r>
          </w:p>
        </w:tc>
        <w:tc>
          <w:tcPr>
            <w:tcW w:type="dxa" w:w="2160"/>
          </w:tcPr>
          <w:p>
            <w:r>
              <w:t>$4,254m</w:t>
            </w:r>
          </w:p>
        </w:tc>
        <w:tc>
          <w:tcPr>
            <w:tcW w:type="dxa" w:w="2160"/>
          </w:tcPr>
          <w:p>
            <w:r>
              <w:t>$1,243m</w:t>
            </w:r>
          </w:p>
        </w:tc>
        <w:tc>
          <w:tcPr>
            <w:tcW w:type="dxa" w:w="2160"/>
          </w:tcPr>
          <w:p>
            <w:r>
              <w:t>1,933</w:t>
            </w:r>
          </w:p>
        </w:tc>
      </w:tr>
      <w:tr>
        <w:tc>
          <w:tcPr>
            <w:tcW w:type="dxa" w:w="2160"/>
          </w:tcPr>
          <w:p>
            <w:r>
              <w:t>FY2019</w:t>
            </w:r>
          </w:p>
        </w:tc>
        <w:tc>
          <w:tcPr>
            <w:tcW w:type="dxa" w:w="2160"/>
          </w:tcPr>
          <w:p>
            <w:r>
              <w:t>$4,286m</w:t>
            </w:r>
          </w:p>
        </w:tc>
        <w:tc>
          <w:tcPr>
            <w:tcW w:type="dxa" w:w="2160"/>
          </w:tcPr>
          <w:p>
            <w:r>
              <w:t>$1,332m</w:t>
            </w:r>
          </w:p>
        </w:tc>
        <w:tc>
          <w:tcPr>
            <w:tcW w:type="dxa" w:w="2160"/>
          </w:tcPr>
          <w:p>
            <w:r>
              <w:t>4,029</w:t>
            </w:r>
          </w:p>
        </w:tc>
      </w:tr>
      <w:tr>
        <w:tc>
          <w:tcPr>
            <w:tcW w:type="dxa" w:w="2160"/>
          </w:tcPr>
          <w:p>
            <w:r>
              <w:t>FY2020</w:t>
            </w:r>
          </w:p>
        </w:tc>
        <w:tc>
          <w:tcPr>
            <w:tcW w:type="dxa" w:w="2160"/>
          </w:tcPr>
          <w:p>
            <w:r>
              <w:t>$3,067m</w:t>
            </w:r>
          </w:p>
        </w:tc>
        <w:tc>
          <w:tcPr>
            <w:tcW w:type="dxa" w:w="2160"/>
          </w:tcPr>
          <w:p>
            <w:r>
              <w:t>$1,452m</w:t>
            </w:r>
          </w:p>
        </w:tc>
        <w:tc>
          <w:tcPr>
            <w:tcW w:type="dxa" w:w="2160"/>
          </w:tcPr>
          <w:p>
            <w:r>
              <w:t>2,539</w:t>
            </w:r>
          </w:p>
        </w:tc>
      </w:tr>
      <w:tr>
        <w:tc>
          <w:tcPr>
            <w:tcW w:type="dxa" w:w="2160"/>
          </w:tcPr>
          <w:p>
            <w:r>
              <w:t>FY2021</w:t>
            </w:r>
          </w:p>
        </w:tc>
        <w:tc>
          <w:tcPr>
            <w:tcW w:type="dxa" w:w="2160"/>
          </w:tcPr>
          <w:p>
            <w:r>
              <w:t>$608m</w:t>
            </w:r>
          </w:p>
        </w:tc>
        <w:tc>
          <w:tcPr>
            <w:tcW w:type="dxa" w:w="2160"/>
          </w:tcPr>
          <w:p>
            <w:r>
              <w:t>$1,638m</w:t>
            </w:r>
          </w:p>
        </w:tc>
        <w:tc>
          <w:tcPr>
            <w:tcW w:type="dxa" w:w="2160"/>
          </w:tcPr>
          <w:p>
            <w:r>
              <w:t>5,727</w:t>
            </w:r>
          </w:p>
        </w:tc>
      </w:tr>
      <w:tr>
        <w:tc>
          <w:tcPr>
            <w:tcW w:type="dxa" w:w="2160"/>
          </w:tcPr>
          <w:p>
            <w:r>
              <w:t>FY2022</w:t>
            </w:r>
          </w:p>
        </w:tc>
        <w:tc>
          <w:tcPr>
            <w:tcW w:type="dxa" w:w="2160"/>
          </w:tcPr>
          <w:p>
            <w:r>
              <w:t>$4,014m</w:t>
            </w:r>
          </w:p>
        </w:tc>
        <w:tc>
          <w:tcPr>
            <w:tcW w:type="dxa" w:w="2160"/>
          </w:tcPr>
          <w:p>
            <w:r>
              <w:t>$1,837m</w:t>
            </w:r>
          </w:p>
        </w:tc>
        <w:tc>
          <w:tcPr>
            <w:tcW w:type="dxa" w:w="2160"/>
          </w:tcPr>
          <w:p>
            <w:r>
              <w:t>6,046</w:t>
            </w:r>
          </w:p>
        </w:tc>
      </w:tr>
      <w:tr>
        <w:tc>
          <w:tcPr>
            <w:tcW w:type="dxa" w:w="2160"/>
          </w:tcPr>
          <w:p>
            <w:r>
              <w:t>FY2023</w:t>
            </w:r>
          </w:p>
        </w:tc>
        <w:tc>
          <w:tcPr>
            <w:tcW w:type="dxa" w:w="2160"/>
          </w:tcPr>
          <w:p>
            <w:r>
              <w:t>$5,480m</w:t>
            </w:r>
          </w:p>
        </w:tc>
        <w:tc>
          <w:tcPr>
            <w:tcW w:type="dxa" w:w="2160"/>
          </w:tcPr>
          <w:p>
            <w:r>
              <w:t>$2,012m</w:t>
            </w:r>
          </w:p>
        </w:tc>
        <w:tc>
          <w:tcPr>
            <w:tcW w:type="dxa" w:w="2160"/>
          </w:tcPr>
          <w:p>
            <w:r>
              <w:t>5,070</w:t>
            </w:r>
          </w:p>
        </w:tc>
      </w:tr>
      <w:tr>
        <w:tc>
          <w:tcPr>
            <w:tcW w:type="dxa" w:w="2160"/>
          </w:tcPr>
          <w:p>
            <w:r>
              <w:t>FY2024</w:t>
            </w:r>
          </w:p>
        </w:tc>
        <w:tc>
          <w:tcPr>
            <w:tcW w:type="dxa" w:w="2160"/>
          </w:tcPr>
          <w:p>
            <w:r>
              <w:t>$4,250m</w:t>
            </w:r>
          </w:p>
        </w:tc>
        <w:tc>
          <w:tcPr>
            <w:tcW w:type="dxa" w:w="2160"/>
          </w:tcPr>
          <w:p>
            <w:r>
              <w:t>$2,169m</w:t>
            </w:r>
          </w:p>
        </w:tc>
        <w:tc>
          <w:tcPr>
            <w:tcW w:type="dxa" w:w="2160"/>
          </w:tcPr>
          <w:p>
            <w:r>
              <w:t>5,700</w:t>
            </w:r>
          </w:p>
        </w:tc>
      </w:tr>
    </w:tbl>
    <w:p/>
    <w:p>
      <w:r>
        <w:t>FY2021 had minimal buybacks ($608m) as NIKE preserved cash during COVID recovery. Total shareholder returns (buybacks + dividends) exceeded net income in FY2018, FY2020, FY2021 — funded by debt or balance sheet cash drawdown.</w:t>
      </w:r>
    </w:p>
    <w:p>
      <w:r>
        <w:br w:type="page"/>
      </w:r>
    </w:p>
    <w:p>
      <w:pPr>
        <w:pStyle w:val="Heading1"/>
      </w:pPr>
      <w:r>
        <w:rPr>
          <w:color w:val="1F497D"/>
        </w:rPr>
        <w:t>Part 19: What the Model Tells Us — The Investment Conclusion</w:t>
      </w:r>
    </w:p>
    <w:p>
      <w:pPr>
        <w:pStyle w:val="Heading2"/>
      </w:pPr>
      <w:r>
        <w:rPr>
          <w:color w:val="2E74B5"/>
        </w:rPr>
        <w:t>19.1  DCF Outcome</w:t>
      </w:r>
    </w:p>
    <w:p>
      <w:r>
        <w:t>The base case DCF produces a share price below the market price of $73.60. At the model's WACC of approximately 10.4% and 4% terminal growth, the implied price is approximately $61/share — suggesting the stock is overvalued on a pure DCF basis at these assumptions.</w:t>
      </w:r>
    </w:p>
    <w:p>
      <w:pPr>
        <w:pStyle w:val="Heading2"/>
      </w:pPr>
      <w:r>
        <w:rPr>
          <w:color w:val="2E74B5"/>
        </w:rPr>
        <w:t>19.2  Market-Implied WACC (IRR) = 9.39%</w:t>
      </w:r>
    </w:p>
    <w:p>
      <w:r>
        <w:t>The market is pricing NIKE as if the appropriate discount rate is 9.39%, not 10.4%. This means either: (a) the market believes NIKE's risk is lower (lower beta or risk premium than modelled), or (b) the market expects better performance than the model's base case (higher growth or better margins), or (c) some combination of both.</w:t>
      </w:r>
    </w:p>
    <w:p>
      <w:pPr>
        <w:pStyle w:val="Heading2"/>
      </w:pPr>
      <w:r>
        <w:rPr>
          <w:color w:val="2E74B5"/>
        </w:rPr>
        <w:t>19.3  Multiples Check</w:t>
      </w:r>
    </w:p>
    <w:p>
      <w:r>
        <w:t>The weighted-average multiples price (P56) is lower than both the market price and the base DCF price, suggesting comparable companies are trading at lower implied valuations relative to NIKE's metrics. NIKE commands a premium over its peers — justified by its brand strength, global scale, and consistent capital returns.</w:t>
      </w:r>
    </w:p>
    <w:p>
      <w:pPr>
        <w:pStyle w:val="Heading2"/>
      </w:pPr>
      <w:r>
        <w:rPr>
          <w:color w:val="2E74B5"/>
        </w:rPr>
        <w:t>19.4  The Model's Conservatism</w:t>
      </w:r>
    </w:p>
    <w:p>
      <w:r>
        <w:t>Several inputs are conservative and could be changed to close the gap:</w:t>
      </w:r>
    </w:p>
    <w:p>
      <w:pPr>
        <w:pStyle w:val="ListBullet"/>
      </w:pPr>
      <w:r>
        <w:t>Restructuring charges: removing the $443m recurring charge would add ~$350m after-tax to each forecast year's FCF.</w:t>
      </w:r>
    </w:p>
    <w:p>
      <w:pPr>
        <w:pStyle w:val="ListBullet"/>
      </w:pPr>
      <w:r>
        <w:t>COGS recovery: achieving even 52% COGS/Sales instead of 51% adds meaningful margin.</w:t>
      </w:r>
    </w:p>
    <w:p>
      <w:pPr>
        <w:pStyle w:val="ListBullet"/>
      </w:pPr>
      <w:r>
        <w:t>Revenue growth: the glide path starts from FY2024's near-flat growth — if NIKE executes its restructuring, growth may re-accelerate faster than modelled.</w:t>
      </w:r>
    </w:p>
    <w:p>
      <w:pPr>
        <w:pStyle w:val="ListBullet"/>
      </w:pPr>
      <w:r>
        <w:t>SG&amp;A leverage: fixed as % of revenue — if restructuring delivers real savings, SG&amp;A margin could improve.</w:t>
      </w:r>
    </w:p>
    <w:p>
      <w:pPr>
        <w:pStyle w:val="Heading2"/>
      </w:pPr>
      <w:r>
        <w:rPr>
          <w:color w:val="2E74B5"/>
        </w:rPr>
        <w:t>19.5  Summary Valuation Output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Source</w:t>
            </w:r>
          </w:p>
        </w:tc>
      </w:tr>
      <w:tr>
        <w:tc>
          <w:tcPr>
            <w:tcW w:type="dxa" w:w="2880"/>
          </w:tcPr>
          <w:p>
            <w:r>
              <w:t>DCF Share Price</w:t>
            </w:r>
          </w:p>
        </w:tc>
        <w:tc>
          <w:tcPr>
            <w:tcW w:type="dxa" w:w="2880"/>
          </w:tcPr>
          <w:p>
            <w:r>
              <w:t>~$61</w:t>
            </w:r>
          </w:p>
        </w:tc>
        <w:tc>
          <w:tcPr>
            <w:tcW w:type="dxa" w:w="2880"/>
          </w:tcPr>
          <w:p>
            <w:r>
              <w:t>K35 at base case WACC ~10.4%, g=4%</w:t>
            </w:r>
          </w:p>
        </w:tc>
      </w:tr>
      <w:tr>
        <w:tc>
          <w:tcPr>
            <w:tcW w:type="dxa" w:w="2880"/>
          </w:tcPr>
          <w:p>
            <w:r>
              <w:t>Market Share Price</w:t>
            </w:r>
          </w:p>
        </w:tc>
        <w:tc>
          <w:tcPr>
            <w:tcW w:type="dxa" w:w="2880"/>
          </w:tcPr>
          <w:p>
            <w:r>
              <w:t>$73.60</w:t>
            </w:r>
          </w:p>
        </w:tc>
        <w:tc>
          <w:tcPr>
            <w:tcW w:type="dxa" w:w="2880"/>
          </w:tcPr>
          <w:p>
            <w:r>
              <w:t>K37, hard-coded</w:t>
            </w:r>
          </w:p>
        </w:tc>
      </w:tr>
      <w:tr>
        <w:tc>
          <w:tcPr>
            <w:tcW w:type="dxa" w:w="2880"/>
          </w:tcPr>
          <w:p>
            <w:r>
              <w:t>Market-Implied WACC (IRR)</w:t>
            </w:r>
          </w:p>
        </w:tc>
        <w:tc>
          <w:tcPr>
            <w:tcW w:type="dxa" w:w="2880"/>
          </w:tcPr>
          <w:p>
            <w:r>
              <w:t>9.39%</w:t>
            </w:r>
          </w:p>
        </w:tc>
        <w:tc>
          <w:tcPr>
            <w:tcW w:type="dxa" w:w="2880"/>
          </w:tcPr>
          <w:p>
            <w:r>
              <w:t>K78</w:t>
            </w:r>
          </w:p>
        </w:tc>
      </w:tr>
      <w:tr>
        <w:tc>
          <w:tcPr>
            <w:tcW w:type="dxa" w:w="2880"/>
          </w:tcPr>
          <w:p>
            <w:r>
              <w:t>Multiples-Implied WACC</w:t>
            </w:r>
          </w:p>
        </w:tc>
        <w:tc>
          <w:tcPr>
            <w:tcW w:type="dxa" w:w="2880"/>
          </w:tcPr>
          <w:p>
            <w:r>
              <w:t>12.23%</w:t>
            </w:r>
          </w:p>
        </w:tc>
        <w:tc>
          <w:tcPr>
            <w:tcW w:type="dxa" w:w="2880"/>
          </w:tcPr>
          <w:p>
            <w:r>
              <w:t>K81</w:t>
            </w:r>
          </w:p>
        </w:tc>
      </w:tr>
      <w:tr>
        <w:tc>
          <w:tcPr>
            <w:tcW w:type="dxa" w:w="2880"/>
          </w:tcPr>
          <w:p>
            <w:r>
              <w:t>Multiples Price (4 metrics, equal weight)</w:t>
            </w:r>
          </w:p>
        </w:tc>
        <w:tc>
          <w:tcPr>
            <w:tcW w:type="dxa" w:w="2880"/>
          </w:tcPr>
          <w:p>
            <w:r>
              <w:t>See P56</w:t>
            </w:r>
          </w:p>
        </w:tc>
        <w:tc>
          <w:tcPr>
            <w:tcW w:type="dxa" w:w="2880"/>
          </w:tcPr>
          <w:p>
            <w:r>
              <w:t>SUMPRODUCT of Q54:T54 × 25% each</w:t>
            </w:r>
          </w:p>
        </w:tc>
      </w:tr>
      <w:tr>
        <w:tc>
          <w:tcPr>
            <w:tcW w:type="dxa" w:w="2880"/>
          </w:tcPr>
          <w:p>
            <w:r>
              <w:t>EV/EBITDA multiple implied</w:t>
            </w:r>
          </w:p>
        </w:tc>
        <w:tc>
          <w:tcPr>
            <w:tcW w:type="dxa" w:w="2880"/>
          </w:tcPr>
          <w:p>
            <w:r>
              <w:t>K28/P51</w:t>
            </w:r>
          </w:p>
        </w:tc>
        <w:tc>
          <w:tcPr>
            <w:tcW w:type="dxa" w:w="2880"/>
          </w:tcPr>
          <w:p>
            <w:r>
              <w:t>DCF EV / NIKE's own EBITDA</w:t>
            </w:r>
          </w:p>
        </w:tc>
      </w:tr>
      <w:tr>
        <w:tc>
          <w:tcPr>
            <w:tcW w:type="dxa" w:w="2880"/>
          </w:tcPr>
          <w:p>
            <w:r>
              <w:t>EV/EBIT multiple implied</w:t>
            </w:r>
          </w:p>
        </w:tc>
        <w:tc>
          <w:tcPr>
            <w:tcW w:type="dxa" w:w="2880"/>
          </w:tcPr>
          <w:p>
            <w:r>
              <w:t>K28/O51</w:t>
            </w:r>
          </w:p>
        </w:tc>
        <w:tc>
          <w:tcPr>
            <w:tcW w:type="dxa" w:w="2880"/>
          </w:tcPr>
          <w:p>
            <w:r/>
          </w:p>
        </w:tc>
      </w:tr>
      <w:tr>
        <w:tc>
          <w:tcPr>
            <w:tcW w:type="dxa" w:w="2880"/>
          </w:tcPr>
          <w:p>
            <w:r>
              <w:t>EV/Sales multiple implied</w:t>
            </w:r>
          </w:p>
        </w:tc>
        <w:tc>
          <w:tcPr>
            <w:tcW w:type="dxa" w:w="2880"/>
          </w:tcPr>
          <w:p>
            <w:r>
              <w:t>K28/M51</w:t>
            </w:r>
          </w:p>
        </w:tc>
        <w:tc>
          <w:tcPr>
            <w:tcW w:type="dxa" w:w="2880"/>
          </w:tcPr>
          <w:p>
            <w:r/>
          </w:p>
        </w:tc>
      </w:tr>
      <w:tr>
        <w:tc>
          <w:tcPr>
            <w:tcW w:type="dxa" w:w="2880"/>
          </w:tcPr>
          <w:p>
            <w:r>
              <w:t>P/E multiple implied</w:t>
            </w:r>
          </w:p>
        </w:tc>
        <w:tc>
          <w:tcPr>
            <w:tcW w:type="dxa" w:w="2880"/>
          </w:tcPr>
          <w:p>
            <w:r>
              <w:t>K32/K17</w:t>
            </w:r>
          </w:p>
        </w:tc>
        <w:tc>
          <w:tcPr>
            <w:tcW w:type="dxa" w:w="2880"/>
          </w:tcPr>
          <w:p>
            <w:r/>
          </w:p>
        </w:tc>
      </w:tr>
      <w:tr>
        <w:tc>
          <w:tcPr>
            <w:tcW w:type="dxa" w:w="2880"/>
          </w:tcPr>
          <w:p>
            <w:r>
              <w:t>Price-to-Book (market)</w:t>
            </w:r>
          </w:p>
        </w:tc>
        <w:tc>
          <w:tcPr>
            <w:tcW w:type="dxa" w:w="2880"/>
          </w:tcPr>
          <w:p>
            <w:r>
              <w:t>K37*K34/K202</w:t>
            </w:r>
          </w:p>
        </w:tc>
        <w:tc>
          <w:tcPr>
            <w:tcW w:type="dxa" w:w="2880"/>
          </w:tcPr>
          <w:p>
            <w:r>
              <w:t>Current market cap / book equity</w:t>
            </w:r>
          </w:p>
        </w:tc>
      </w:tr>
    </w:tbl>
    <w:p/>
    <w:p>
      <w:r>
        <w:br w:type="page"/>
      </w:r>
    </w:p>
    <w:p>
      <w:pPr>
        <w:pStyle w:val="Heading1"/>
      </w:pPr>
      <w:r>
        <w:rPr>
          <w:color w:val="1F497D"/>
        </w:rPr>
        <w:t>Appendix: Sheet1 — Capital IQ Comparable Company Data</w:t>
      </w:r>
    </w:p>
    <w:p>
      <w:pPr>
        <w:pStyle w:val="Heading2"/>
      </w:pPr>
      <w:r>
        <w:rPr>
          <w:color w:val="2E74B5"/>
        </w:rPr>
        <w:t>A.1  Purpose of Sheet1</w:t>
      </w:r>
    </w:p>
    <w:p>
      <w:r>
        <w:t>Sheet1 is a live Capital IQ export that contains the financial data for the five comparable companies (lululemon, Skechers, TJX, Under Armour, Crocs). The analyst pulls these figures from Sheet1 into the comparables table in the valuatione sheet (rows 44–48).</w:t>
      </w:r>
    </w:p>
    <w:p>
      <w:r>
        <w:t>The data includes: equity market capitalisation, book equity, total debt, cash balances, revenue, net income, EBIT, and EBITDA for each comparable company — all denominated in USD thousands to match NIKE's reporting units.</w:t>
      </w:r>
    </w:p>
    <w:p>
      <w:pPr>
        <w:pStyle w:val="Heading2"/>
      </w:pPr>
      <w:r>
        <w:rPr>
          <w:color w:val="2E74B5"/>
        </w:rPr>
        <w:t>A.2  Important Notes on Comparables Quality</w:t>
      </w:r>
    </w:p>
    <w:p>
      <w:r>
        <w:t>Under Armour (row 47): negative net income (−$201m) makes P/E negative and meaningless. The median of the 5 companies on P/E would still be positive if the negative value is included, but the signal is distorted. Professional analysts would typically exclude negative multiples.</w:t>
      </w:r>
    </w:p>
    <w:p>
      <w:r>
        <w:t>TJX Companies (row 46): much larger than NIKE ($155bn market cap vs NIKE's ~$110bn) and is an off-price retailer — structurally different business model. High EV/Sales multiple is less relevant as a peer.</w:t>
      </w:r>
    </w:p>
    <w:p>
      <w:r>
        <w:t>lululemon: highest quality peer — similar brand positioning, direct-to-consumer focus, premium athletic apparel. Best direct comparable to NIKE.</w:t>
      </w:r>
    </w:p>
    <w:p>
      <w:r>
        <w:br w:type="page"/>
      </w:r>
    </w:p>
    <w:p>
      <w:pPr>
        <w:pStyle w:val="Heading1"/>
      </w:pPr>
      <w:r>
        <w:rPr>
          <w:color w:val="1F497D"/>
        </w:rPr>
        <w:t>Appendix: Known Model Quirks and Limitations</w:t>
      </w:r>
    </w:p>
    <w:p>
      <w:r>
        <w:t>The following are known design choices that differ from professional practice or introduce simplifications:</w:t>
      </w:r>
    </w:p>
    <w:p>
      <w:pPr>
        <w:pStyle w:val="ListBullet"/>
      </w:pPr>
      <w:r>
        <w:t>Net PP&amp;E (row 513) is hard-coded from column M onwards at $7,885,490 thousand. Column L uses the % of revenue formula, but columns M–R are overridden. This creates a discontinuity — PP&amp;E doesn't grow with revenue in years 2–7 of the forecast. This will understate CapEx in later forecast years and overstate FCF.</w:t>
      </w:r>
    </w:p>
    <w:p>
      <w:pPr>
        <w:pStyle w:val="ListBullet"/>
      </w:pPr>
      <w:r>
        <w:t>Dividends are flat from year 2 onwards (M464 = L464 = L460/2). This is internally inconsistent with the stated policy of 20% of net income — dividends should grow as net income grows.</w:t>
      </w:r>
    </w:p>
    <w:p>
      <w:pPr>
        <w:pStyle w:val="ListBullet"/>
      </w:pPr>
      <w:r>
        <w:t>Receivable Days and Payable Days use non-standard proxies (accrued expenses as 'receivables', prepaid expenses as 'payables') instead of the conventional AR and AP accounts.</w:t>
      </w:r>
    </w:p>
    <w:p>
      <w:pPr>
        <w:pStyle w:val="ListBullet"/>
      </w:pPr>
      <w:r>
        <w:t>The restructuring charge is carried forward at FY2024's elevated level (−$443m) rather than being phased out or zeroed. This depresses forecast earnings conservatively.</w:t>
      </w:r>
    </w:p>
    <w:p>
      <w:pPr>
        <w:pStyle w:val="ListBullet"/>
      </w:pPr>
      <w:r>
        <w:t>Market cap for WACC D/E split (R29 = $108.7bn) is a static snapshot. As the market cap changes, the actual WACC should update. The model does not dynamically recalculate this.</w:t>
      </w:r>
    </w:p>
    <w:p>
      <w:pPr>
        <w:pStyle w:val="ListBullet"/>
      </w:pPr>
      <w:r>
        <w:t>The tax rate is flat 21% applied to EBT including unusual items. Real tax computation is more complex (credits, deferred taxes, NOL utilisation, transfer pricing).</w:t>
      </w:r>
    </w:p>
    <w:p>
      <w:pPr>
        <w:pStyle w:val="ListBullet"/>
      </w:pPr>
      <w:r>
        <w:t>FX gains/losses and non-operating income are both zeroed in the forecast, which is a conservative simplification but ignores NIKE's historically significant FX exposure.</w:t>
      </w:r>
    </w:p>
    <w:p>
      <w:pPr>
        <w:pStyle w:val="ListBullet"/>
      </w:pPr>
      <w:r>
        <w:t>The Australian risk-free rate (RBA 4.34%) is used rather than the US Treasury rate — slightly unusual for a USD-denominated model, though the rates are currently close.</w:t>
      </w:r>
    </w:p>
    <w:p>
      <w:pPr>
        <w:pStyle w:val="ListBullet"/>
      </w:pPr>
      <w:r>
        <w:t>Interest expense uses the cost of debt (R26 = 4.8%) applied to average IBD. The actual NIKE effective interest rate (from row 327 historical calculation: ~2.35%) is materially lower, suggesting NIKE's debt has lower yields than the 4.8% assumption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