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NIKE Inc. (NYSE: NKE) — Valuation Model Explained</w:t>
      </w:r>
    </w:p>
    <w:p>
      <w:r>
        <w:t>This document explains, in plain English, how the NIKE valuation strategy Excel model works — covering every section, every key formula, and how they all connect to arrive at a final share price estimate.</w:t>
      </w:r>
    </w:p>
    <w:p>
      <w:pPr>
        <w:pStyle w:val="Heading1"/>
      </w:pPr>
      <w:r>
        <w:t>1. Overview — What the Model Does</w:t>
      </w:r>
    </w:p>
    <w:p>
      <w:r>
        <w:t>The spreadsheet is an academic-style equity valuation template applied to NIKE, Inc. It runs 10 years of actual historical data (FY2015 through FY2024, year-ended 31 May each year) and then projects 7 forecast years (FY2025–FY2031) using formula-driven assumptions. All monetary figures are in USD thousands unless stated otherwise. The model has three tabs: "instructions", "valuatione" (the main working tab), and "Sheet1" (live S&amp;P Capital IQ comparable-company data feed).</w:t>
      </w:r>
    </w:p>
    <w:p>
      <w:pPr>
        <w:pStyle w:val="Heading1"/>
      </w:pPr>
      <w:r>
        <w:t>2. Time Axis &amp; Data Flag (Rows 1–3)</w:t>
      </w:r>
    </w:p>
    <w:p>
      <w:r>
        <w:t>Row 1 holds the year-end dates (31 May 2015 to 31 May 2031), columns B through R.</w:t>
        <w:br/>
        <w:t>Row 2 holds a running time index: K2 = 0 (the last historical year, 2024), then L2=1, M2=2 up to R2=7 for the forecast horizon, and B2 through J2 count backwards.</w:t>
        <w:br/>
        <w:t>Row 3 labels columns B–K as "Historical" and L–R as "Forecast".</w:t>
        <w:br/>
        <w:t>This time index is critical because the DCF discounting formula uses it as the exponent: PV = FCF / (1 + WACC)^t.</w:t>
      </w:r>
    </w:p>
    <w:p>
      <w:pPr>
        <w:pStyle w:val="Heading1"/>
      </w:pPr>
      <w:r>
        <w:t>3. Revenue Forecast (Row 338 — Total Revenue)</w:t>
      </w:r>
    </w:p>
    <w:p>
      <w:r>
        <w:t>Historical revenues (B338:K338) are hard-coded from Capital IQ:</w:t>
        <w:br/>
        <w:t xml:space="preserve">  FY2015: $30.6bn through to FY2024: $51.4bn</w:t>
        <w:br/>
        <w:br/>
        <w:t>Growth Rate Assumptions (Row 320):</w:t>
        <w:br/>
        <w:t>Historical growth rates (C320:K320) are back-calculated from the revenue row itself.</w:t>
        <w:br/>
        <w:t>Forecast growth rates (L320:R320) use a linear glide path that steps the most-recent actual rate down toward the terminal rate in R320 (hard-coded at 4.00% p.a.) in seven equal steps.</w:t>
        <w:br/>
        <w:t>Formula: L320 = K320 minus (K320 minus R320)/7, and so on for each subsequent year.</w:t>
        <w:br/>
        <w:br/>
        <w:t>Forecast Revenue: L338 = K338 x (1 + L320)^1</w:t>
        <w:br/>
        <w:t>So each year's revenue compounds at the gradually declining growth rate.</w:t>
      </w:r>
    </w:p>
    <w:p>
      <w:pPr>
        <w:pStyle w:val="Heading1"/>
      </w:pPr>
      <w:r>
        <w:t>4. Income Statement Forecast (Rows 338–364)</w:t>
      </w:r>
    </w:p>
    <w:p>
      <w:r>
        <w:t>The profit and loss account builds line-by-line from revenue downward.</w:t>
      </w:r>
    </w:p>
    <w:p>
      <w:r>
        <w:rPr>
          <w:b/>
        </w:rPr>
        <w:t>4.1  Cost of Goods Sold (Row 339)</w:t>
      </w:r>
    </w:p>
    <w:p>
      <w:r>
        <w:t>COGS is forecast as a percentage of revenue (Row 321 — COGS/Sales ratio). Historically this ratio was around 54–55%; the model glides it to a terminal value of 51% by FY2031. Forecast formula: L339 = L321 x L338.</w:t>
      </w:r>
    </w:p>
    <w:p>
      <w:r>
        <w:rPr>
          <w:b/>
        </w:rPr>
        <w:t>4.2  Gross Profit (Row 340)</w:t>
      </w:r>
    </w:p>
    <w:p>
      <w:r>
        <w:t>Simple subtraction: L340 = L338 minus L339.</w:t>
      </w:r>
    </w:p>
    <w:p>
      <w:r>
        <w:rPr>
          <w:b/>
        </w:rPr>
        <w:t>4.3  SG&amp;A Excluding D&amp;A (Row 342)</w:t>
      </w:r>
    </w:p>
    <w:p>
      <w:r>
        <w:t>Kept as a constant ratio to revenue (same as last historical year). Formula: L342 = K342/K338 x L338.</w:t>
      </w:r>
    </w:p>
    <w:p>
      <w:r>
        <w:rPr>
          <w:b/>
        </w:rPr>
        <w:t>4.4  Depreciation &amp; Amortisation (Row 344)</w:t>
      </w:r>
    </w:p>
    <w:p>
      <w:r>
        <w:t>Pulled from the cash flow statement (Row 437). In the forecast it scales with revenue as a fixed ratio: L344 = K344/K338 x L338.</w:t>
      </w:r>
    </w:p>
    <w:p>
      <w:r>
        <w:rPr>
          <w:b/>
        </w:rPr>
        <w:t>4.5  Operating Income / EBIT (Row 346)</w:t>
      </w:r>
    </w:p>
    <w:p>
      <w:r>
        <w:t>L346 = Gross Profit minus (SG&amp;A + D&amp;A) = L340 minus L345.</w:t>
      </w:r>
    </w:p>
    <w:p>
      <w:r>
        <w:rPr>
          <w:b/>
        </w:rPr>
        <w:t>4.6  Interest Expense (Row 348)</w:t>
      </w:r>
    </w:p>
    <w:p>
      <w:r>
        <w:t>Interest expense is linked to the level of interest-bearing debt (IBD). Forecast formula: L348 = minus Cost_of_Debt x average(K201, L201)/2, where R26 (4.8% p.a.) is the cost of debt and row 201 holds total IBD. This makes interest expense respond dynamically to changes in debt levels.</w:t>
      </w:r>
    </w:p>
    <w:p>
      <w:r>
        <w:rPr>
          <w:b/>
        </w:rPr>
        <w:t>4.7  Tax (Row 359)</w:t>
      </w:r>
    </w:p>
    <w:p>
      <w:r>
        <w:t>Forecast tax = EBT x corporate tax rate. The model hard-codes 21% (cell R25) for all forecast years. Formula: L359 = L355 x L322, where L322 = $R$25 = 21%.</w:t>
      </w:r>
    </w:p>
    <w:p>
      <w:r>
        <w:rPr>
          <w:b/>
        </w:rPr>
        <w:t>4.8  Net Income (Rows 360–364)</w:t>
      </w:r>
    </w:p>
    <w:p>
      <w:r>
        <w:t>L360 = L355 minus L359, flowing through to Net Income (R361) and Net Income to Company (R362).</w:t>
      </w:r>
    </w:p>
    <w:p>
      <w:pPr>
        <w:pStyle w:val="Heading1"/>
      </w:pPr>
      <w:r>
        <w:t>5. Balance Sheet Forecast (Rows 499–541)</w:t>
      </w:r>
    </w:p>
    <w:p>
      <w:r>
        <w:t>The balance sheet is split into Assets (rows ~500–518) and Liabilities + Equity (rows ~519–541).</w:t>
      </w:r>
    </w:p>
    <w:p>
      <w:r>
        <w:rPr>
          <w:b/>
        </w:rPr>
        <w:t>5.1  Cash (Row 500)</w:t>
      </w:r>
    </w:p>
    <w:p>
      <w:r>
        <w:t>Cash in each forecast year is last year's cash plus the net change in cash calculated from the cash flow model. This is the "plug" that makes the balance sheet balance.</w:t>
      </w:r>
    </w:p>
    <w:p>
      <w:r>
        <w:rPr>
          <w:b/>
        </w:rPr>
        <w:t>5.2  Accounts Receivable, Inventories, Other Current Assets (Rows 501–509)</w:t>
      </w:r>
    </w:p>
    <w:p>
      <w:r>
        <w:t>Each line scales with revenue using the ratio from the most recent historical year: L501 = K501/K338 x L338. This keeps working capital as a stable proportion of revenue.</w:t>
      </w:r>
    </w:p>
    <w:p>
      <w:r>
        <w:rPr>
          <w:b/>
        </w:rPr>
        <w:t>5.3  PP&amp;E and Intangibles (Row 513)</w:t>
      </w:r>
    </w:p>
    <w:p>
      <w:r>
        <w:t>PP&amp;E is forecast by: prior year balance + CapEx minus D&amp;A. CapEx itself is derived from the cash flow model (Row 231).</w:t>
      </w:r>
    </w:p>
    <w:p>
      <w:r>
        <w:rPr>
          <w:b/>
        </w:rPr>
        <w:t>5.4  Total Assets (Row 518)</w:t>
      </w:r>
    </w:p>
    <w:p>
      <w:r>
        <w:t>Sum of all asset line items: L518 = SUM(L510, L513:L517).</w:t>
      </w:r>
    </w:p>
    <w:p>
      <w:r>
        <w:rPr>
          <w:b/>
        </w:rPr>
        <w:t>5.5  Accounts Payable, Accrued Expenses, etc. (Rows 520–526)</w:t>
      </w:r>
    </w:p>
    <w:p>
      <w:r>
        <w:t>Like assets, most operating liability lines scale as a fixed ratio of revenue.</w:t>
      </w:r>
    </w:p>
    <w:p>
      <w:r>
        <w:rPr>
          <w:b/>
        </w:rPr>
        <w:t>5.6  Long-term Debt (Row 528)</w:t>
      </w:r>
    </w:p>
    <w:p>
      <w:r>
        <w:t>Long-term debt is driven by the assumed "book long-term debt to asset ratio" (Row 323), fixed at 21% for all forecast years. Formula: L528 = L518 x L323 = L518 x 0.21. This makes debt grow in proportion to asset growth, maintaining a target leverage ratio.</w:t>
      </w:r>
    </w:p>
    <w:p>
      <w:r>
        <w:rPr>
          <w:b/>
        </w:rPr>
        <w:t>5.7  Additional Paid-in Capital (Row 536)</w:t>
      </w:r>
    </w:p>
    <w:p>
      <w:r>
        <w:t>Updated for equity issuances (Row 459) and share buybacks (Row 460): L536 = K536 + L460 + L459.</w:t>
      </w:r>
    </w:p>
    <w:p>
      <w:r>
        <w:rPr>
          <w:b/>
        </w:rPr>
        <w:t>5.8  Retained Earnings (Row 537)</w:t>
      </w:r>
    </w:p>
    <w:p>
      <w:r>
        <w:t>L537 = L361 (net income) + L464 (dividends, negative) + K537 (prior year retained earnings). This rolls retained earnings forward year by year.</w:t>
      </w:r>
    </w:p>
    <w:p>
      <w:r>
        <w:rPr>
          <w:b/>
        </w:rPr>
        <w:t>5.9  Balance Sheet Check (Row 194)</w:t>
      </w:r>
    </w:p>
    <w:p>
      <w:r>
        <w:t>A check formula verifies: Assets minus Liabilities minus Equity = 0. If this is not zero, the model has an error.</w:t>
      </w:r>
    </w:p>
    <w:p>
      <w:pPr>
        <w:pStyle w:val="Heading1"/>
      </w:pPr>
      <w:r>
        <w:t>6. Cash Flow Model (Rows 196–236, Summary Rows 15–22)</w:t>
      </w:r>
    </w:p>
    <w:p>
      <w:r>
        <w:t>The cash flow model is derived from balance sheet changes rather than being separately modelled. This ensures consistency — the balance sheet and cash flow statement always agree.</w:t>
      </w:r>
    </w:p>
    <w:p>
      <w:r>
        <w:rPr>
          <w:b/>
        </w:rPr>
        <w:t>6.1  Working Capital Components</w:t>
      </w:r>
    </w:p>
    <w:p>
      <w:r>
        <w:t>Change in Current Assets excluding Cash (Row 206), Change in Current Liabilities excluding IBD (Row 207), Change in PP&amp;E &amp; Intangibles (Row 209), Change in Non-current liabilities excluding IBD (Row 210) — each is simply (this year minus last year) for the corresponding balance sheet line.</w:t>
      </w:r>
    </w:p>
    <w:p>
      <w:r>
        <w:rPr>
          <w:b/>
        </w:rPr>
        <w:t>6.2  Change in Net Operating Working Capital — DNOWC (Row 230)</w:t>
      </w:r>
    </w:p>
    <w:p>
      <w:r>
        <w:t>L230 = DCA excl. Cash + DNCA excl. PPE minus DCL excl. IBD minus DNCL excl. IBD. This is the working capital drain or release in the year.</w:t>
      </w:r>
    </w:p>
    <w:p>
      <w:r>
        <w:rPr>
          <w:b/>
        </w:rPr>
        <w:t>6.3  Capital Expenditure (Row 231)</w:t>
      </w:r>
    </w:p>
    <w:p>
      <w:r>
        <w:t>L231 = DPPE&amp;Intangibles + D&amp;A minus DReserves. Logic: if PP&amp;E rises after depreciation, the difference must be new capital expenditure.</w:t>
      </w:r>
    </w:p>
    <w:p>
      <w:r>
        <w:rPr>
          <w:b/>
        </w:rPr>
        <w:t>6.4  Operating Cash Flow (Row 233)</w:t>
      </w:r>
    </w:p>
    <w:p>
      <w:r>
        <w:t>L233 = Net Income + D&amp;A minus DNOWC. Classic indirect method.</w:t>
      </w:r>
    </w:p>
    <w:p>
      <w:r>
        <w:rPr>
          <w:b/>
        </w:rPr>
        <w:t>6.5  Investing Cash Flow (Row 234)</w:t>
      </w:r>
    </w:p>
    <w:p>
      <w:r>
        <w:t>L234 = minus CapEx. Capital spending is a cash outflow.</w:t>
      </w:r>
    </w:p>
    <w:p>
      <w:r>
        <w:rPr>
          <w:b/>
        </w:rPr>
        <w:t>6.6  Change in Interest-Bearing Debt (Row 211)</w:t>
      </w:r>
    </w:p>
    <w:p>
      <w:r>
        <w:t>L211 = L201 minus K201 = change in total IBD each year.</w:t>
      </w:r>
    </w:p>
    <w:p>
      <w:r>
        <w:rPr>
          <w:b/>
        </w:rPr>
        <w:t>6.7  Dividends (Row 464)</w:t>
      </w:r>
    </w:p>
    <w:p>
      <w:r>
        <w:t>Dividends are set as half of the share buyback amount: L464 = L460/2.</w:t>
      </w:r>
    </w:p>
    <w:p>
      <w:r>
        <w:rPr>
          <w:b/>
        </w:rPr>
        <w:t>6.8  Share Buybacks (Row 460)</w:t>
      </w:r>
    </w:p>
    <w:p>
      <w:r>
        <w:t>L460 = Net Income x dividend payout ratio (Row 324). Payout ratio is minus 40% for all forecast years, meaning 40% of net income is returned to shareholders via buybacks.</w:t>
      </w:r>
    </w:p>
    <w:p>
      <w:r>
        <w:rPr>
          <w:b/>
        </w:rPr>
        <w:t>6.9  Equity Free Cash Flow — EFCF (Row 224)</w:t>
      </w:r>
    </w:p>
    <w:p>
      <w:r>
        <w:t>EFCF = Dividends + Buybacks minus Equity Raisings. This is what shareholders actually receive net.</w:t>
      </w:r>
    </w:p>
    <w:p>
      <w:r>
        <w:rPr>
          <w:b/>
        </w:rPr>
        <w:t>6.10  Financing Cash Flow (Row 235)</w:t>
      </w:r>
    </w:p>
    <w:p>
      <w:r>
        <w:t>L235 = DIBD minus EFCF. Net new debt raised minus cash paid to equity holders.</w:t>
      </w:r>
    </w:p>
    <w:p>
      <w:r>
        <w:rPr>
          <w:b/>
        </w:rPr>
        <w:t>6.11  Net Change in Cash (Row 469)</w:t>
      </w:r>
    </w:p>
    <w:p>
      <w:r>
        <w:t>L469 = Operating CF + Investing CF + Financing CF + FX adjustments. This number is added to the prior year cash balance to get next year cash on the balance sheet.</w:t>
      </w:r>
    </w:p>
    <w:p>
      <w:r>
        <w:t>The DCF summary table (Rows 13–22) presents the Free Cash Flow in a clean format:</w:t>
        <w:br/>
        <w:t>Total FCF (L22) = Net Income + D&amp;A minus CapEx minus DNOWC + Interest expense x (1 minus tax rate).</w:t>
        <w:br/>
        <w:t>This is the Firm Free Cash Flow used in the DCF valuation.</w:t>
      </w:r>
    </w:p>
    <w:p>
      <w:pPr>
        <w:pStyle w:val="Heading1"/>
      </w:pPr>
      <w:r>
        <w:t>7. WACC &amp; Discount Rate Inputs (Rows 25–29)</w:t>
      </w:r>
    </w:p>
    <w:p>
      <w:r>
        <w:t>All WACC inputs sit in column O (base case) and column R (terminal/cost of debt).</w:t>
      </w:r>
    </w:p>
    <w:p>
      <w:pPr>
        <w:pStyle w:val="ListBullet"/>
      </w:pPr>
      <w:r>
        <w:rPr>
          <w:b/>
        </w:rPr>
        <w:t xml:space="preserve">Corporate Tax Rate (R25): </w:t>
      </w:r>
      <w:r>
        <w:t>21% — US statutory rate applied to the interest expense tax shield.</w:t>
      </w:r>
    </w:p>
    <w:p>
      <w:pPr>
        <w:pStyle w:val="ListBullet"/>
      </w:pPr>
      <w:r>
        <w:rPr>
          <w:b/>
        </w:rPr>
        <w:t xml:space="preserve">Risk-Free Rate (O26): </w:t>
      </w:r>
      <w:r>
        <w:t>4.34% — based on US government bond yields.</w:t>
      </w:r>
    </w:p>
    <w:p>
      <w:pPr>
        <w:pStyle w:val="ListBullet"/>
      </w:pPr>
      <w:r>
        <w:rPr>
          <w:b/>
        </w:rPr>
        <w:t xml:space="preserve">Cost of Debt (R26): </w:t>
      </w:r>
      <w:r>
        <w:t>4.8% — assumed average interest rate on NIKE's debt.</w:t>
      </w:r>
    </w:p>
    <w:p>
      <w:pPr>
        <w:pStyle w:val="ListBullet"/>
      </w:pPr>
      <w:r>
        <w:rPr>
          <w:b/>
        </w:rPr>
        <w:t xml:space="preserve">Beta of Equity (O27): </w:t>
      </w:r>
      <w:r>
        <w:t>1.24 — measures NIKE's systematic risk relative to the market.</w:t>
      </w:r>
    </w:p>
    <w:p>
      <w:pPr>
        <w:pStyle w:val="ListBullet"/>
      </w:pPr>
      <w:r>
        <w:rPr>
          <w:b/>
        </w:rPr>
        <w:t xml:space="preserve">Market Risk Premium (O28): </w:t>
      </w:r>
      <w:r>
        <w:t>5.5% — expected excess return of equities over the risk-free rate.</w:t>
      </w:r>
    </w:p>
    <w:p>
      <w:pPr>
        <w:pStyle w:val="ListBullet"/>
      </w:pPr>
      <w:r>
        <w:rPr>
          <w:b/>
        </w:rPr>
        <w:t xml:space="preserve">Cost of Equity (O29): </w:t>
      </w:r>
      <w:r>
        <w:t>= Risk-free rate + Beta x MRP = 4.34% + 1.24 x 5.5% = approximately 11.16%.</w:t>
      </w:r>
    </w:p>
    <w:p>
      <w:pPr>
        <w:pStyle w:val="ListBullet"/>
      </w:pPr>
      <w:r>
        <w:rPr>
          <w:b/>
        </w:rPr>
        <w:t xml:space="preserve">Debt-to-Assets Ratio (R27): </w:t>
      </w:r>
      <w:r>
        <w:t>= Total IBD / (Total IBD + Market Cap). Market-value weight of debt.</w:t>
      </w:r>
    </w:p>
    <w:p>
      <w:pPr>
        <w:pStyle w:val="ListBullet"/>
      </w:pPr>
      <w:r>
        <w:rPr>
          <w:b/>
        </w:rPr>
        <w:t xml:space="preserve">Market Cap (R29): </w:t>
      </w:r>
      <w:r>
        <w:t>$108.7bn — hard-coded as the current market capitalisation.</w:t>
      </w:r>
    </w:p>
    <w:p>
      <w:pPr>
        <w:pStyle w:val="ListBullet"/>
      </w:pPr>
      <w:r>
        <w:rPr>
          <w:b/>
        </w:rPr>
        <w:t xml:space="preserve">WACC (O25): </w:t>
      </w:r>
      <w:r>
        <w:t>= (1 minus D/A) x Cost_of_Equity + D/A x Cost_of_Debt x (1 minus Tax)</w:t>
        <w:br/>
        <w:t xml:space="preserve">  The standard after-tax weighted average cost of capital formula.</w:t>
      </w:r>
    </w:p>
    <w:p>
      <w:pPr>
        <w:pStyle w:val="ListBullet"/>
      </w:pPr>
      <w:r>
        <w:rPr>
          <w:b/>
        </w:rPr>
        <w:t xml:space="preserve">Terminal Growth Rate (R28): </w:t>
      </w:r>
      <w:r>
        <w:t>Set equal to the terminal revenue growth rate (R320 = 4.0%).</w:t>
      </w:r>
    </w:p>
    <w:p>
      <w:pPr>
        <w:pStyle w:val="Heading1"/>
      </w:pPr>
      <w:r>
        <w:t>8. DCF Valuation — The Core Calculation (Rows 13–35)</w:t>
      </w:r>
    </w:p>
    <w:p>
      <w:r>
        <w:t>The DCF valuation follows these eight sequential steps:</w:t>
      </w:r>
    </w:p>
    <w:p>
      <w:r>
        <w:rPr>
          <w:b/>
        </w:rPr>
        <w:t>Step 1: Project FCF for 7 years</w:t>
      </w:r>
    </w:p>
    <w:p>
      <w:r>
        <w:t>For each forecast year (L to R, i.e., FY2025–FY2031), the model calculates Total FCF (Row 22) using the income statement and cash flow components above.</w:t>
      </w:r>
    </w:p>
    <w:p>
      <w:r>
        <w:rPr>
          <w:b/>
        </w:rPr>
        <w:t>Step 2: Discount each FCF to present value</w:t>
      </w:r>
    </w:p>
    <w:p>
      <w:r>
        <w:t>L23 = L22 / (1 + WACC)^L13, where L13 is the time index (1 for year 1, 2 for year 2, etc.). The WACC used is O25 (the base-case WACC), held constant across all years.</w:t>
      </w:r>
    </w:p>
    <w:p>
      <w:r>
        <w:rPr>
          <w:b/>
        </w:rPr>
        <w:t>Step 3: Terminal Value (Cell K25)</w:t>
      </w:r>
    </w:p>
    <w:p>
      <w:r>
        <w:t>At year 7 (column R = FY2031), the model calculates a terminal value using the Gordon Growth Model:</w:t>
        <w:br/>
        <w:t>TV = FCF_year7 / (WACC minus g) = R22 / (O25 minus R28).</w:t>
        <w:br/>
        <w:t>This represents the value of all cash flows beyond the explicit 7-year forecast horizon.</w:t>
      </w:r>
    </w:p>
    <w:p>
      <w:r>
        <w:rPr>
          <w:b/>
        </w:rPr>
        <w:t>Step 4: PV of Terminal Value (Cell K26)</w:t>
      </w:r>
    </w:p>
    <w:p>
      <w:r>
        <w:t>K26 = TV / (1 + WACC)^R13, discounting the terminal value back to today using the 7-year time exponent.</w:t>
      </w:r>
    </w:p>
    <w:p>
      <w:r>
        <w:rPr>
          <w:b/>
        </w:rPr>
        <w:t>Step 5: Sum of PV FCFs (Cell K27)</w:t>
      </w:r>
    </w:p>
    <w:p>
      <w:r>
        <w:t>K27 = SUM(L23:Q23) — adds up the present values of the first 6 explicitly forecast FCFs. Year 7 is captured in the terminal value.</w:t>
      </w:r>
    </w:p>
    <w:p>
      <w:r>
        <w:rPr>
          <w:b/>
        </w:rPr>
        <w:t>Step 6: Enterprise Value (Cell K28)</w:t>
      </w:r>
    </w:p>
    <w:p>
      <w:r>
        <w:t>K28 = K27 + K26 = PV of FCFs + PV of Terminal Value.</w:t>
      </w:r>
    </w:p>
    <w:p>
      <w:r>
        <w:rPr>
          <w:b/>
        </w:rPr>
        <w:t>Step 7: Bridge to Equity Value (Cells K29–K32)</w:t>
      </w:r>
    </w:p>
    <w:p>
      <w:r>
        <w:t>Equity value = Enterprise Value + Cash minus Debt.</w:t>
        <w:br/>
        <w:t>K29 = Cash (K203), K30 = Total IBD (K201), K31 = Net Debt = K30 minus K29.</w:t>
        <w:br/>
        <w:t>K32 = K28 + K29 minus K30.</w:t>
      </w:r>
    </w:p>
    <w:p>
      <w:r>
        <w:rPr>
          <w:b/>
        </w:rPr>
        <w:t>Step 8: Per Share Value (Cell K35)</w:t>
      </w:r>
    </w:p>
    <w:p>
      <w:r>
        <w:t>K35 = Equity Value / Number of Shares = K32 / K34.</w:t>
        <w:br/>
        <w:t>Number of shares: K34 = Diluted shares outstanding (K371) divided by 1,000.</w:t>
      </w:r>
    </w:p>
    <w:p>
      <w:r>
        <w:t>A pre-built narrative in cells G9–G10 uses a formula that assembles all these figures into readable text automatically, for example: "We derive a DCF valuation of $X.XX per share, based on a cost of debt of 4.80%, risk free rate of 4.34%, market risk premium of 5.50%, equity beta of 1.24, WACC of X.XX% and terminal growth rate of 4.00%."</w:t>
      </w:r>
    </w:p>
    <w:p>
      <w:pPr>
        <w:pStyle w:val="Heading1"/>
      </w:pPr>
      <w:r>
        <w:t>9. Comparable Companies Valuation (Rows 42–56)</w:t>
      </w:r>
    </w:p>
    <w:p>
      <w:r>
        <w:t>Five peer companies are listed: lululemon (LULU), Skechers (SKX), TJX Companies (TJX), Under Armour (UAA), and Crocs (CROX).</w:t>
        <w:br/>
        <w:t>For each, the following multiples are calculated:</w:t>
        <w:br/>
        <w:t xml:space="preserve">  EV/EBITDA, EV/EBIT, EV/Sales, P/E (Price-to-Earnings), Price-to-Book</w:t>
        <w:br/>
        <w:br/>
        <w:t>Enterprise Value for each comp = Market Cap + Debt minus Cash.</w:t>
        <w:br/>
        <w:br/>
        <w:t>Median multiples (Row 50) are calculated using MEDIAN() across all five peers.</w:t>
        <w:br/>
        <w:br/>
        <w:t>NIKE's implied EV at the median EV/EBITDA multiple:</w:t>
        <w:br/>
        <w:t xml:space="preserve">  Q53 = median EV/EBITDA x NIKE's EBITDA</w:t>
        <w:br/>
        <w:br/>
        <w:t>Implied share price from each multiple:</w:t>
        <w:br/>
        <w:t xml:space="preserve">  Q54 = (Implied EV + Cash minus Debt) / Shares</w:t>
        <w:br/>
        <w:br/>
        <w:t>Each multiple gets a weight (Row 55; currently 25% each for EV/EBITDA, EV/EBIT, EV/Sales, and P/E; 0% for Price/Book). The weighted average gives the multiples-based share price estimate (P56).</w:t>
      </w:r>
    </w:p>
    <w:p>
      <w:pPr>
        <w:pStyle w:val="Heading1"/>
      </w:pPr>
      <w:r>
        <w:t>10. Sensitivity Analysis (Rows 60–74)</w:t>
      </w:r>
    </w:p>
    <w:p>
      <w:r>
        <w:t>A two-way sensitivity table shows how the DCF share price changes across different combinations of WACC (rows) and terminal growth rate (columns). The range covers WACC from roughly 9.5% to 19% and terminal growth from 3% to 8%.</w:t>
        <w:br/>
        <w:br/>
        <w:t>The base-case result sits at the intersection of the actual WACC and actual terminal growth rate, and this cell is highlighted. The table is built using Excel's built-in DATA TABLE feature. Conditional formatting colour-codes the range of outcomes.</w:t>
      </w:r>
    </w:p>
    <w:p>
      <w:pPr>
        <w:pStyle w:val="Heading1"/>
      </w:pPr>
      <w:r>
        <w:t>11. IRR / Implied WACC Calculations (Rows 77–93)</w:t>
      </w:r>
    </w:p>
    <w:p>
      <w:r>
        <w:t>Question 4a (Cell K78): The WACC at which the DCF share price equals the current market price ($73.60). This is the market's implied required return — found at approximately 9.39%.</w:t>
        <w:br/>
        <w:br/>
        <w:t>Question 4b (Cell K81): The WACC at which the DCF share price equals the multiples-triangulated price. Found at approximately 12.23%.</w:t>
        <w:br/>
        <w:br/>
        <w:t>These two WACCs bracket the range of "fair" discount rates and illustrate how sensitive the conclusion is to the discount rate assumption. A graph plots DCF share price vs WACC and marks these reference points.</w:t>
      </w:r>
    </w:p>
    <w:p>
      <w:pPr>
        <w:pStyle w:val="Heading1"/>
      </w:pPr>
      <w:r>
        <w:t>12. DuPont Analysis (Rows 166–172)</w:t>
      </w:r>
    </w:p>
    <w:p>
      <w:r>
        <w:t>The DuPont decomposition breaks Return on Equity (RoE) into three drivers:</w:t>
        <w:br/>
        <w:br/>
        <w:t xml:space="preserve">  RoE = Profit Margin x Asset Turnover x Equity Multiplier</w:t>
        <w:br/>
        <w:br/>
        <w:t xml:space="preserve">  Profit Margin (Row 169): Net Income / Revenue</w:t>
        <w:br/>
        <w:t xml:space="preserve">  Asset Turnover (Row 170): Revenue / Total Assets</w:t>
        <w:br/>
        <w:t xml:space="preserve">  Equity Multiplier (Row 171): Total Assets / Book Equity</w:t>
        <w:br/>
        <w:t xml:space="preserve">  RoE (Row 172): Net Income / Book Equity</w:t>
        <w:br/>
        <w:br/>
        <w:t>Calculated for all 17 years (historical + forecast) and graphed so you can see which driver is most responsible for changes in NIKE's RoE over time.</w:t>
      </w:r>
    </w:p>
    <w:p>
      <w:pPr>
        <w:pStyle w:val="Heading1"/>
      </w:pPr>
      <w:r>
        <w:t>13. Efficiency, Liquidity &amp; Coverage Ratios (Rows 269–292)</w:t>
      </w:r>
    </w:p>
    <w:p>
      <w:pPr>
        <w:pStyle w:val="ListBullet"/>
      </w:pPr>
      <w:r>
        <w:rPr>
          <w:b/>
        </w:rPr>
        <w:t xml:space="preserve">Receivable Days (Row 270): </w:t>
      </w:r>
      <w:r>
        <w:t>Accounts Receivable / Revenue x 365</w:t>
      </w:r>
    </w:p>
    <w:p>
      <w:pPr>
        <w:pStyle w:val="ListBullet"/>
      </w:pPr>
      <w:r>
        <w:rPr>
          <w:b/>
        </w:rPr>
        <w:t xml:space="preserve">Inventory Days (Row 271): </w:t>
      </w:r>
      <w:r>
        <w:t>Inventory / COGS x 365</w:t>
      </w:r>
    </w:p>
    <w:p>
      <w:pPr>
        <w:pStyle w:val="ListBullet"/>
      </w:pPr>
      <w:r>
        <w:rPr>
          <w:b/>
        </w:rPr>
        <w:t xml:space="preserve">Payable Days (Row 272): </w:t>
      </w:r>
      <w:r>
        <w:t>Accounts Payable / COGS x 365</w:t>
      </w:r>
    </w:p>
    <w:p>
      <w:pPr>
        <w:pStyle w:val="ListBullet"/>
      </w:pPr>
      <w:r>
        <w:rPr>
          <w:b/>
        </w:rPr>
        <w:t xml:space="preserve">Cash Conversion Cycle (Row 273): </w:t>
      </w:r>
      <w:r>
        <w:t>Receivable Days + Inventory Days minus Payable Days</w:t>
      </w:r>
    </w:p>
    <w:p>
      <w:pPr>
        <w:pStyle w:val="ListBullet"/>
      </w:pPr>
      <w:r>
        <w:rPr>
          <w:b/>
        </w:rPr>
        <w:t xml:space="preserve">Fixed Asset Turnover (Row 274): </w:t>
      </w:r>
      <w:r>
        <w:t>Revenue / Average PP&amp;E</w:t>
      </w:r>
    </w:p>
    <w:p>
      <w:pPr>
        <w:pStyle w:val="ListBullet"/>
      </w:pPr>
      <w:r>
        <w:rPr>
          <w:b/>
        </w:rPr>
        <w:t xml:space="preserve">Current Ratio (Row 277): </w:t>
      </w:r>
      <w:r>
        <w:t>Current Assets / Current Liabilities</w:t>
      </w:r>
    </w:p>
    <w:p>
      <w:pPr>
        <w:pStyle w:val="ListBullet"/>
      </w:pPr>
      <w:r>
        <w:rPr>
          <w:b/>
        </w:rPr>
        <w:t xml:space="preserve">Quick Ratio (Row 278): </w:t>
      </w:r>
      <w:r>
        <w:t>(Current Assets minus Inventory) / Current Liabilities</w:t>
      </w:r>
    </w:p>
    <w:p>
      <w:pPr>
        <w:pStyle w:val="ListBullet"/>
      </w:pPr>
      <w:r>
        <w:rPr>
          <w:b/>
        </w:rPr>
        <w:t xml:space="preserve">Debt-to-Assets (Row 284): </w:t>
      </w:r>
      <w:r>
        <w:t>Total IBD / Total Assets</w:t>
      </w:r>
    </w:p>
    <w:p>
      <w:pPr>
        <w:pStyle w:val="ListBullet"/>
      </w:pPr>
      <w:r>
        <w:rPr>
          <w:b/>
        </w:rPr>
        <w:t xml:space="preserve">Debt-to-Equity (Row 285): </w:t>
      </w:r>
      <w:r>
        <w:t>Total IBD / Book Equity</w:t>
      </w:r>
    </w:p>
    <w:p>
      <w:pPr>
        <w:pStyle w:val="ListBullet"/>
      </w:pPr>
      <w:r>
        <w:rPr>
          <w:b/>
        </w:rPr>
        <w:t xml:space="preserve">Interest Coverage (Row 290): </w:t>
      </w:r>
      <w:r>
        <w:t>EBIT / Interest Expense</w:t>
      </w:r>
    </w:p>
    <w:p>
      <w:pPr>
        <w:pStyle w:val="ListBullet"/>
      </w:pPr>
      <w:r>
        <w:rPr>
          <w:b/>
        </w:rPr>
        <w:t xml:space="preserve">EBITDA less Tax Coverage (Row 291): </w:t>
      </w:r>
      <w:r>
        <w:t>(EBITDA minus Tax) / Interest Expense</w:t>
      </w:r>
    </w:p>
    <w:p>
      <w:pPr>
        <w:pStyle w:val="ListBullet"/>
      </w:pPr>
      <w:r>
        <w:rPr>
          <w:b/>
        </w:rPr>
        <w:t xml:space="preserve">CAFDS Notional Coverage (Row 292): </w:t>
      </w:r>
      <w:r>
        <w:t>Cash Flow Available for Debt Service / Interest Expense</w:t>
      </w:r>
    </w:p>
    <w:p>
      <w:pPr>
        <w:pStyle w:val="Heading1"/>
      </w:pPr>
      <w:r>
        <w:t>14. Interest Tax Shield Analysis (Rows 240–257)</w:t>
      </w:r>
    </w:p>
    <w:p>
      <w:r>
        <w:t>This section is an academic demonstration of two equivalent methods for handling the interest tax shield (the fact that debt interest is tax-deductible, making debt cheaper):</w:t>
        <w:br/>
        <w:br/>
        <w:t>Method 1 — Standard WACC Approach:</w:t>
        <w:br/>
        <w:t xml:space="preserve">  Use after-tax WACC (which already incorporates the tax shield benefit) to discount Operating Free Cash Flows that exclude the tax shield.</w:t>
        <w:br/>
        <w:br/>
        <w:t>Method 2 — Pre-Tax WACC (APV-style) Approach:</w:t>
        <w:br/>
        <w:t xml:space="preserve">  Use WACC before tax (higher, Row 251) to discount Firm FCF WITH Interest Tax Shields (FFCFwITS = OFCF + ITS, Row 246).</w:t>
        <w:br/>
        <w:br/>
        <w:t>The model proves these two methods give the same Enterprise Value at each point in time (rows 252 vs 257) when the D/V ratio changes over time and WACC is adjusted accordingly. This confirms the mathematical equivalence of both approaches.</w:t>
      </w:r>
    </w:p>
    <w:p>
      <w:pPr>
        <w:pStyle w:val="Heading1"/>
      </w:pPr>
      <w:r>
        <w:t>15. Forecast Assumptions Summary</w:t>
      </w:r>
    </w:p>
    <w:p>
      <w:r>
        <w:t>Key assumptions driving the entire model:</w:t>
      </w:r>
    </w:p>
    <w:p>
      <w:pPr>
        <w:pStyle w:val="ListBullet"/>
      </w:pPr>
      <w:r>
        <w:rPr>
          <w:b/>
        </w:rPr>
        <w:t xml:space="preserve">Revenue growth: </w:t>
      </w:r>
      <w:r>
        <w:t>Glides from the most recent historical rate down to 4.0% terminal growth</w:t>
      </w:r>
    </w:p>
    <w:p>
      <w:pPr>
        <w:pStyle w:val="ListBullet"/>
      </w:pPr>
      <w:r>
        <w:rPr>
          <w:b/>
        </w:rPr>
        <w:t xml:space="preserve">COGS/Sales ratio: </w:t>
      </w:r>
      <w:r>
        <w:t>Glides to 51% terminal by FY2031</w:t>
      </w:r>
    </w:p>
    <w:p>
      <w:pPr>
        <w:pStyle w:val="ListBullet"/>
      </w:pPr>
      <w:r>
        <w:rPr>
          <w:b/>
        </w:rPr>
        <w:t xml:space="preserve">SG&amp;A, D&amp;A, Working Capital: </w:t>
      </w:r>
      <w:r>
        <w:t>All held as a fixed % of revenue from the last historical year</w:t>
      </w:r>
    </w:p>
    <w:p>
      <w:pPr>
        <w:pStyle w:val="ListBullet"/>
      </w:pPr>
      <w:r>
        <w:rPr>
          <w:b/>
        </w:rPr>
        <w:t xml:space="preserve">Long-term debt: </w:t>
      </w:r>
      <w:r>
        <w:t>21% of total assets each year</w:t>
      </w:r>
    </w:p>
    <w:p>
      <w:pPr>
        <w:pStyle w:val="ListBullet"/>
      </w:pPr>
      <w:r>
        <w:rPr>
          <w:b/>
        </w:rPr>
        <w:t xml:space="preserve">Dividend payout (buybacks): </w:t>
      </w:r>
      <w:r>
        <w:t>40% of net income</w:t>
      </w:r>
    </w:p>
    <w:p>
      <w:pPr>
        <w:pStyle w:val="ListBullet"/>
      </w:pPr>
      <w:r>
        <w:rPr>
          <w:b/>
        </w:rPr>
        <w:t xml:space="preserve">Dividends paid: </w:t>
      </w:r>
      <w:r>
        <w:t>Set as half the buyback amount</w:t>
      </w:r>
    </w:p>
    <w:p>
      <w:pPr>
        <w:pStyle w:val="ListBullet"/>
      </w:pPr>
      <w:r>
        <w:rPr>
          <w:b/>
        </w:rPr>
        <w:t xml:space="preserve">Equity issuances: </w:t>
      </w:r>
      <w:r>
        <w:t>Held constant at last historical year level</w:t>
      </w:r>
    </w:p>
    <w:p>
      <w:pPr>
        <w:pStyle w:val="ListBullet"/>
      </w:pPr>
      <w:r>
        <w:rPr>
          <w:b/>
        </w:rPr>
        <w:t xml:space="preserve">Corporate tax rate: </w:t>
      </w:r>
      <w:r>
        <w:t>21% flat (US statutory)</w:t>
      </w:r>
    </w:p>
    <w:p>
      <w:pPr>
        <w:pStyle w:val="ListBullet"/>
      </w:pPr>
      <w:r>
        <w:rPr>
          <w:b/>
        </w:rPr>
        <w:t xml:space="preserve">Cost of debt: </w:t>
      </w:r>
      <w:r>
        <w:t>4.8% per annum</w:t>
      </w:r>
    </w:p>
    <w:p>
      <w:pPr>
        <w:pStyle w:val="ListBullet"/>
      </w:pPr>
      <w:r>
        <w:rPr>
          <w:b/>
        </w:rPr>
        <w:t xml:space="preserve">Risk-free rate: </w:t>
      </w:r>
      <w:r>
        <w:t>4.34%</w:t>
      </w:r>
    </w:p>
    <w:p>
      <w:pPr>
        <w:pStyle w:val="ListBullet"/>
      </w:pPr>
      <w:r>
        <w:rPr>
          <w:b/>
        </w:rPr>
        <w:t xml:space="preserve">Equity beta: </w:t>
      </w:r>
      <w:r>
        <w:t>1.24</w:t>
      </w:r>
    </w:p>
    <w:p>
      <w:pPr>
        <w:pStyle w:val="ListBullet"/>
      </w:pPr>
      <w:r>
        <w:rPr>
          <w:b/>
        </w:rPr>
        <w:t xml:space="preserve">Market risk premium: </w:t>
      </w:r>
      <w:r>
        <w:t>5.5%</w:t>
      </w:r>
    </w:p>
    <w:p>
      <w:pPr>
        <w:pStyle w:val="ListBullet"/>
      </w:pPr>
      <w:r>
        <w:rPr>
          <w:b/>
        </w:rPr>
        <w:t xml:space="preserve">Terminal growth rate: </w:t>
      </w:r>
      <w:r>
        <w:t>4.0%</w:t>
      </w:r>
    </w:p>
    <w:p>
      <w:pPr>
        <w:pStyle w:val="ListBullet"/>
      </w:pPr>
      <w:r>
        <w:rPr>
          <w:b/>
        </w:rPr>
        <w:t xml:space="preserve">FX gains/losses: </w:t>
      </w:r>
      <w:r>
        <w:t>Set to zero in the forecast period (simplification)</w:t>
      </w:r>
    </w:p>
    <w:p>
      <w:pPr>
        <w:pStyle w:val="Heading1"/>
      </w:pPr>
      <w:r>
        <w:t>16. Rough Work Area — Historical Data (Rows 301–566)</w:t>
      </w:r>
    </w:p>
    <w:p>
      <w:r>
        <w:t>Rows 301 onwards contain the raw historical financial data pasted from S&amp;P Capital IQ:</w:t>
        <w:br/>
        <w:br/>
        <w:t>Rows 301–413: Income Statement (FY2015–FY2024)</w:t>
        <w:br/>
        <w:t xml:space="preserve">  Revenue, COGS, Gross Profit, SG&amp;A, D&amp;A, Operating Income, Interest Expense, Tax, Net Income, EPS (basic and diluted), stock-based compensation, marketing expense, lease data.</w:t>
        <w:br/>
        <w:br/>
        <w:t>Rows 415–478: Cash Flow Statement (FY2015–FY2024)</w:t>
        <w:br/>
        <w:t xml:space="preserve">  Operating CF, CapEx, Investing CF, Debt issued/repaid, Dividends, Share Buybacks, Equity Issuances, levered/unlevered FCF.</w:t>
        <w:br/>
        <w:br/>
        <w:t>Rows 480–566: Balance Sheet (FY2015–FY2024)</w:t>
        <w:br/>
        <w:t xml:space="preserve">  All asset, liability and equity line items in full detail including supplemental items (shares outstanding, book value per share, net debt, tangible book value, NOL carryforwards, PP&amp;E breakdown by component, employee count).</w:t>
        <w:br/>
        <w:br/>
        <w:t>Important: The raw income statement data in Rows 301–413 is in MILLIONS of dollars as sourced. Row 317 converts these to thousands (x 1,000): B317 = B316 x 1,000. All model formulas reference the thousands rows (Row 338 etc.), not the raw rows, ensuring consistency with the balance sheet and cash flow data which are already in thousands.</w:t>
      </w:r>
    </w:p>
    <w:p>
      <w:pPr>
        <w:pStyle w:val="Heading1"/>
      </w:pPr>
      <w:r>
        <w:t>17. Comparable Companies Data Feed — Sheet1</w:t>
      </w:r>
    </w:p>
    <w:p>
      <w:r>
        <w:t>Sheet1 is a live data pull from S&amp;P Capital IQ using SPGTable and SPGLabel functions. It pulls real-time financial data for the five comparable companies: lululemon (LULU), Skechers (SKX), TJX Companies (TJX), Under Armour (UAA), Crocs (CROX).</w:t>
        <w:br/>
        <w:br/>
        <w:t>Data fields include: total debt, total enterprise value, revenue, EBITDA, EBIT, cash, net income, market cap, and total equity — all on a latest-twelve-months or most-recent-year basis.</w:t>
        <w:br/>
        <w:br/>
        <w:t>The comparables analysis section (Rows 42–56) references these values via cell links, so when Capital IQ data refreshes, the multiples analysis updates automatically.</w:t>
      </w:r>
    </w:p>
    <w:p>
      <w:pPr>
        <w:pStyle w:val="Heading1"/>
      </w:pPr>
      <w:r>
        <w:t>18. How Everything Links Together — The Full Chain</w:t>
      </w:r>
    </w:p>
    <w:p>
      <w:r>
        <w:t>Here is the complete flow from raw data to final valuation:</w:t>
      </w:r>
    </w:p>
    <w:p>
      <w:pPr>
        <w:pStyle w:val="ListNumber"/>
      </w:pPr>
      <w:r>
        <w:t>1. Raw historical data (Rows 301–566) extracted from Capital IQ, converted to $000s.</w:t>
      </w:r>
    </w:p>
    <w:p>
      <w:pPr>
        <w:pStyle w:val="ListNumber"/>
      </w:pPr>
      <w:r>
        <w:t>2. Key assumptions (Rows 320–327): growth rates, margins, leverage, payout ratios derived from history and set for the future.</w:t>
      </w:r>
    </w:p>
    <w:p>
      <w:pPr>
        <w:pStyle w:val="ListNumber"/>
      </w:pPr>
      <w:r>
        <w:t>3. Revenue forecast (Row 338) drives all income statement lines (COGS, SG&amp;A, D&amp;A, Operating Income).</w:t>
      </w:r>
    </w:p>
    <w:p>
      <w:pPr>
        <w:pStyle w:val="ListNumber"/>
      </w:pPr>
      <w:r>
        <w:t>4. Income statement: Net Income (Row 361) flows into retained earnings and EFCF.</w:t>
      </w:r>
    </w:p>
    <w:p>
      <w:pPr>
        <w:pStyle w:val="ListNumber"/>
      </w:pPr>
      <w:r>
        <w:t>5. Balance sheet: assets scale with revenue; debt set at 21% of assets; equity rolled forward via retained earnings + buybacks + issuances.</w:t>
      </w:r>
    </w:p>
    <w:p>
      <w:pPr>
        <w:pStyle w:val="ListNumber"/>
      </w:pPr>
      <w:r>
        <w:t>6. Cash flow: derived from balance sheet changes; CapEx = DPPE + D&amp;A; DNOWC = working capital changes; Operating CF = NI + D&amp;A minus DNOWC.</w:t>
      </w:r>
    </w:p>
    <w:p>
      <w:pPr>
        <w:pStyle w:val="ListNumber"/>
      </w:pPr>
      <w:r>
        <w:t>7. Total FCF (Row 22) = NI + D&amp;A minus CapEx minus DNOWC + Interest after tax — used in the DCF.</w:t>
      </w:r>
    </w:p>
    <w:p>
      <w:pPr>
        <w:pStyle w:val="ListNumber"/>
      </w:pPr>
      <w:r>
        <w:t>8. WACC (O25) computed from equity beta, MRP, risk-free rate, cost of debt, and debt/assets ratio.</w:t>
      </w:r>
    </w:p>
    <w:p>
      <w:pPr>
        <w:pStyle w:val="ListNumber"/>
      </w:pPr>
      <w:r>
        <w:t>9. DCF: each year FCF discounted at WACC, summed, terminal value added = Enterprise Value.</w:t>
      </w:r>
    </w:p>
    <w:p>
      <w:pPr>
        <w:pStyle w:val="ListNumber"/>
      </w:pPr>
      <w:r>
        <w:t>10. EV + Cash minus Debt = Equity Value divided by Shares = DCF share price (Cell K35).</w:t>
      </w:r>
    </w:p>
    <w:p>
      <w:pPr>
        <w:pStyle w:val="ListNumber"/>
      </w:pPr>
      <w:r>
        <w:t>11. Cross-check: multiples-based price from peer comparables (P56) triangulated against DCF price.</w:t>
      </w:r>
    </w:p>
    <w:p>
      <w:pPr>
        <w:pStyle w:val="ListNumber"/>
      </w:pPr>
      <w:r>
        <w:t>12. IRR analysis: find the WACC that reconciles DCF to market price (K78) and to multiples price (K81).</w:t>
      </w:r>
    </w:p>
    <w:p>
      <w:pPr>
        <w:pStyle w:val="ListNumber"/>
      </w:pPr>
      <w:r>
        <w:t>13. Sensitivity: 2-way table shows DCF price across WACC x terminal growth combinations.</w:t>
      </w:r>
    </w:p>
    <w:p>
      <w:pPr>
        <w:pStyle w:val="ListNumber"/>
      </w:pPr>
      <w:r>
        <w:t>14. DuPont, ratios, CAFDS, and ITS analysis provide additional context and cross-checks.</w:t>
      </w:r>
    </w:p>
    <w:p>
      <w:pPr>
        <w:pStyle w:val="Heading1"/>
      </w:pPr>
      <w:r>
        <w:t>19. Current Market Comparison</w:t>
      </w:r>
    </w:p>
    <w:p>
      <w:r>
        <w:t>The current share price used for comparison is $73.60 (hard-coded in cell K37). The upside from the DCF model = (DCF price / $73.60 minus 1) x 100%.</w:t>
        <w:br/>
        <w:br/>
        <w:t>If the market is correctly pricing NIKE at $73.60, the implied WACC (IRR) is approximately 9.39% — meaning the market is pricing NIKE at a discount rate of about 9.4%. The model's base-case WACC of about 10.4% generates a higher DCF valuation than $73.60, suggesting NIKE looks undervalued at current prices under the model's assumptions.</w:t>
      </w:r>
    </w:p>
    <w:p>
      <w:pPr>
        <w:pStyle w:val="Heading1"/>
      </w:pPr>
      <w:r>
        <w:t>20. Key Formula Reference Table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Formula (simplified)</w:t>
            </w:r>
          </w:p>
        </w:tc>
        <w:tc>
          <w:tcPr>
            <w:tcW w:type="dxa" w:w="2880"/>
          </w:tcPr>
          <w:p>
            <w:r>
              <w:t>What It Does</w:t>
            </w:r>
          </w:p>
        </w:tc>
        <w:tc>
          <w:tcPr>
            <w:tcW w:type="dxa" w:w="2880"/>
          </w:tcPr>
          <w:p>
            <w:r>
              <w:t>Location</w:t>
            </w:r>
          </w:p>
        </w:tc>
      </w:tr>
      <w:tr>
        <w:tc>
          <w:tcPr>
            <w:tcW w:type="dxa" w:w="2880"/>
          </w:tcPr>
          <w:p>
            <w:r>
              <w:t>L338 = K338 x (1 + L320)</w:t>
            </w:r>
          </w:p>
        </w:tc>
        <w:tc>
          <w:tcPr>
            <w:tcW w:type="dxa" w:w="2880"/>
          </w:tcPr>
          <w:p>
            <w:r>
              <w:t>Revenue next year = this year x (1 + growth rate)</w:t>
            </w:r>
          </w:p>
        </w:tc>
        <w:tc>
          <w:tcPr>
            <w:tcW w:type="dxa" w:w="2880"/>
          </w:tcPr>
          <w:p>
            <w:r>
              <w:t>Row 338</w:t>
            </w:r>
          </w:p>
        </w:tc>
      </w:tr>
      <w:tr>
        <w:tc>
          <w:tcPr>
            <w:tcW w:type="dxa" w:w="2880"/>
          </w:tcPr>
          <w:p>
            <w:r>
              <w:t>L339 = L321 x L338</w:t>
            </w:r>
          </w:p>
        </w:tc>
        <w:tc>
          <w:tcPr>
            <w:tcW w:type="dxa" w:w="2880"/>
          </w:tcPr>
          <w:p>
            <w:r>
              <w:t>COGS = COGS% x Revenue</w:t>
            </w:r>
          </w:p>
        </w:tc>
        <w:tc>
          <w:tcPr>
            <w:tcW w:type="dxa" w:w="2880"/>
          </w:tcPr>
          <w:p>
            <w:r>
              <w:t>Row 339</w:t>
            </w:r>
          </w:p>
        </w:tc>
      </w:tr>
      <w:tr>
        <w:tc>
          <w:tcPr>
            <w:tcW w:type="dxa" w:w="2880"/>
          </w:tcPr>
          <w:p>
            <w:r>
              <w:t>L344 = K344/K338 x L338</w:t>
            </w:r>
          </w:p>
        </w:tc>
        <w:tc>
          <w:tcPr>
            <w:tcW w:type="dxa" w:w="2880"/>
          </w:tcPr>
          <w:p>
            <w:r>
              <w:t>D&amp;A scales with revenue</w:t>
            </w:r>
          </w:p>
        </w:tc>
        <w:tc>
          <w:tcPr>
            <w:tcW w:type="dxa" w:w="2880"/>
          </w:tcPr>
          <w:p>
            <w:r>
              <w:t>Row 344</w:t>
            </w:r>
          </w:p>
        </w:tc>
      </w:tr>
      <w:tr>
        <w:tc>
          <w:tcPr>
            <w:tcW w:type="dxa" w:w="2880"/>
          </w:tcPr>
          <w:p>
            <w:r>
              <w:t>L528 = L518 x 0.21</w:t>
            </w:r>
          </w:p>
        </w:tc>
        <w:tc>
          <w:tcPr>
            <w:tcW w:type="dxa" w:w="2880"/>
          </w:tcPr>
          <w:p>
            <w:r>
              <w:t>Long-term debt = 21% x Total Assets</w:t>
            </w:r>
          </w:p>
        </w:tc>
        <w:tc>
          <w:tcPr>
            <w:tcW w:type="dxa" w:w="2880"/>
          </w:tcPr>
          <w:p>
            <w:r>
              <w:t>Row 528</w:t>
            </w:r>
          </w:p>
        </w:tc>
      </w:tr>
      <w:tr>
        <w:tc>
          <w:tcPr>
            <w:tcW w:type="dxa" w:w="2880"/>
          </w:tcPr>
          <w:p>
            <w:r>
              <w:t>L537 = L361 + L464 + K537</w:t>
            </w:r>
          </w:p>
        </w:tc>
        <w:tc>
          <w:tcPr>
            <w:tcW w:type="dxa" w:w="2880"/>
          </w:tcPr>
          <w:p>
            <w:r>
              <w:t>Retained earnings roll-forward</w:t>
            </w:r>
          </w:p>
        </w:tc>
        <w:tc>
          <w:tcPr>
            <w:tcW w:type="dxa" w:w="2880"/>
          </w:tcPr>
          <w:p>
            <w:r>
              <w:t>Row 537</w:t>
            </w:r>
          </w:p>
        </w:tc>
      </w:tr>
      <w:tr>
        <w:tc>
          <w:tcPr>
            <w:tcW w:type="dxa" w:w="2880"/>
          </w:tcPr>
          <w:p>
            <w:r>
              <w:t>L231 = DPPE + D&amp;A</w:t>
            </w:r>
          </w:p>
        </w:tc>
        <w:tc>
          <w:tcPr>
            <w:tcW w:type="dxa" w:w="2880"/>
          </w:tcPr>
          <w:p>
            <w:r>
              <w:t>CapEx derived from balance sheet</w:t>
            </w:r>
          </w:p>
        </w:tc>
        <w:tc>
          <w:tcPr>
            <w:tcW w:type="dxa" w:w="2880"/>
          </w:tcPr>
          <w:p>
            <w:r>
              <w:t>Row 231</w:t>
            </w:r>
          </w:p>
        </w:tc>
      </w:tr>
      <w:tr>
        <w:tc>
          <w:tcPr>
            <w:tcW w:type="dxa" w:w="2880"/>
          </w:tcPr>
          <w:p>
            <w:r>
              <w:t>L22 = NI+D&amp;A-CapEx-DNOWC+Int(1-t)</w:t>
            </w:r>
          </w:p>
        </w:tc>
        <w:tc>
          <w:tcPr>
            <w:tcW w:type="dxa" w:w="2880"/>
          </w:tcPr>
          <w:p>
            <w:r>
              <w:t>Total Free Cash Flow</w:t>
            </w:r>
          </w:p>
        </w:tc>
        <w:tc>
          <w:tcPr>
            <w:tcW w:type="dxa" w:w="2880"/>
          </w:tcPr>
          <w:p>
            <w:r>
              <w:t>Row 22</w:t>
            </w:r>
          </w:p>
        </w:tc>
      </w:tr>
      <w:tr>
        <w:tc>
          <w:tcPr>
            <w:tcW w:type="dxa" w:w="2880"/>
          </w:tcPr>
          <w:p>
            <w:r>
              <w:t>O25 = (1-D/A)xKe + D/AxKdx(1-t)</w:t>
            </w:r>
          </w:p>
        </w:tc>
        <w:tc>
          <w:tcPr>
            <w:tcW w:type="dxa" w:w="2880"/>
          </w:tcPr>
          <w:p>
            <w:r>
              <w:t>WACC</w:t>
            </w:r>
          </w:p>
        </w:tc>
        <w:tc>
          <w:tcPr>
            <w:tcW w:type="dxa" w:w="2880"/>
          </w:tcPr>
          <w:p>
            <w:r>
              <w:t>Row 25, col O</w:t>
            </w:r>
          </w:p>
        </w:tc>
      </w:tr>
      <w:tr>
        <w:tc>
          <w:tcPr>
            <w:tcW w:type="dxa" w:w="2880"/>
          </w:tcPr>
          <w:p>
            <w:r>
              <w:t>K25 = FCF7 / (WACC minus g)</w:t>
            </w:r>
          </w:p>
        </w:tc>
        <w:tc>
          <w:tcPr>
            <w:tcW w:type="dxa" w:w="2880"/>
          </w:tcPr>
          <w:p>
            <w:r>
              <w:t>Terminal Value (Gordon Growth Model)</w:t>
            </w:r>
          </w:p>
        </w:tc>
        <w:tc>
          <w:tcPr>
            <w:tcW w:type="dxa" w:w="2880"/>
          </w:tcPr>
          <w:p>
            <w:r>
              <w:t>Row 25, col K</w:t>
            </w:r>
          </w:p>
        </w:tc>
      </w:tr>
      <w:tr>
        <w:tc>
          <w:tcPr>
            <w:tcW w:type="dxa" w:w="2880"/>
          </w:tcPr>
          <w:p>
            <w:r>
              <w:t>K28 = K27 + K26</w:t>
            </w:r>
          </w:p>
        </w:tc>
        <w:tc>
          <w:tcPr>
            <w:tcW w:type="dxa" w:w="2880"/>
          </w:tcPr>
          <w:p>
            <w:r>
              <w:t>Enterprise Value = PV FCFs + PV Terminal Value</w:t>
            </w:r>
          </w:p>
        </w:tc>
        <w:tc>
          <w:tcPr>
            <w:tcW w:type="dxa" w:w="2880"/>
          </w:tcPr>
          <w:p>
            <w:r>
              <w:t>Row 28</w:t>
            </w:r>
          </w:p>
        </w:tc>
      </w:tr>
      <w:tr>
        <w:tc>
          <w:tcPr>
            <w:tcW w:type="dxa" w:w="2880"/>
          </w:tcPr>
          <w:p>
            <w:r>
              <w:t>K32 = K28 + K29 minus K30</w:t>
            </w:r>
          </w:p>
        </w:tc>
        <w:tc>
          <w:tcPr>
            <w:tcW w:type="dxa" w:w="2880"/>
          </w:tcPr>
          <w:p>
            <w:r>
              <w:t>Equity Value = EV + Cash minus Debt</w:t>
            </w:r>
          </w:p>
        </w:tc>
        <w:tc>
          <w:tcPr>
            <w:tcW w:type="dxa" w:w="2880"/>
          </w:tcPr>
          <w:p>
            <w:r>
              <w:t>Row 32</w:t>
            </w:r>
          </w:p>
        </w:tc>
      </w:tr>
      <w:tr>
        <w:tc>
          <w:tcPr>
            <w:tcW w:type="dxa" w:w="2880"/>
          </w:tcPr>
          <w:p>
            <w:r>
              <w:t>K35 = K32 / K34</w:t>
            </w:r>
          </w:p>
        </w:tc>
        <w:tc>
          <w:tcPr>
            <w:tcW w:type="dxa" w:w="2880"/>
          </w:tcPr>
          <w:p>
            <w:r>
              <w:t>DCF Share Price = Equity Value / Shares</w:t>
            </w:r>
          </w:p>
        </w:tc>
        <w:tc>
          <w:tcPr>
            <w:tcW w:type="dxa" w:w="2880"/>
          </w:tcPr>
          <w:p>
            <w:r>
              <w:t>Row 35</w:t>
            </w:r>
          </w:p>
        </w:tc>
      </w:tr>
      <w:tr>
        <w:tc>
          <w:tcPr>
            <w:tcW w:type="dxa" w:w="2880"/>
          </w:tcPr>
          <w:p>
            <w:r>
              <w:t>Q50 = MEDIAN(Q44:Q48)</w:t>
            </w:r>
          </w:p>
        </w:tc>
        <w:tc>
          <w:tcPr>
            <w:tcW w:type="dxa" w:w="2880"/>
          </w:tcPr>
          <w:p>
            <w:r>
              <w:t>Median EV/EBITDA of peer group</w:t>
            </w:r>
          </w:p>
        </w:tc>
        <w:tc>
          <w:tcPr>
            <w:tcW w:type="dxa" w:w="2880"/>
          </w:tcPr>
          <w:p>
            <w:r>
              <w:t>Row 50</w:t>
            </w:r>
          </w:p>
        </w:tc>
      </w:tr>
      <w:tr>
        <w:tc>
          <w:tcPr>
            <w:tcW w:type="dxa" w:w="2880"/>
          </w:tcPr>
          <w:p>
            <w:r>
              <w:t>Q54 = (Q53+Cash-Debt)/Shares</w:t>
            </w:r>
          </w:p>
        </w:tc>
        <w:tc>
          <w:tcPr>
            <w:tcW w:type="dxa" w:w="2880"/>
          </w:tcPr>
          <w:p>
            <w:r>
              <w:t>Implied price from EV/EBITDA multiple</w:t>
            </w:r>
          </w:p>
        </w:tc>
        <w:tc>
          <w:tcPr>
            <w:tcW w:type="dxa" w:w="2880"/>
          </w:tcPr>
          <w:p>
            <w:r>
              <w:t>Row 54</w:t>
            </w:r>
          </w:p>
        </w:tc>
      </w:tr>
      <w:tr>
        <w:tc>
          <w:tcPr>
            <w:tcW w:type="dxa" w:w="2880"/>
          </w:tcPr>
          <w:p>
            <w:r>
              <w:t>P56 = SUMPRODUCT(prices, weights)</w:t>
            </w:r>
          </w:p>
        </w:tc>
        <w:tc>
          <w:tcPr>
            <w:tcW w:type="dxa" w:w="2880"/>
          </w:tcPr>
          <w:p>
            <w:r>
              <w:t>Weighted average multiples price</w:t>
            </w:r>
          </w:p>
        </w:tc>
        <w:tc>
          <w:tcPr>
            <w:tcW w:type="dxa" w:w="2880"/>
          </w:tcPr>
          <w:p>
            <w:r>
              <w:t>Row 56</w:t>
            </w:r>
          </w:p>
        </w:tc>
      </w:tr>
    </w:tbl>
    <w:p>
      <w:pPr>
        <w:pStyle w:val="Heading1"/>
      </w:pPr>
      <w:r>
        <w:t>21. Summary</w:t>
      </w:r>
    </w:p>
    <w:p>
      <w:r>
        <w:t>The NIKE valuation model is a complete, integrated, three-statement financial model with a full DCF and comparables analysis layered on top. Every number in the forecast flows from either the explicit assumptions (growth rates, margins, WACC inputs) or is derived mechanically from those assumptions via formula chains. Nothing in the forecast is a standalone hard-coded number — all 7 forecast years of income statement, balance sheet, and cash flow are entirely formula-driven, which means changing a single assumption such as the terminal growth rate cascades automatically through the entire model to update the final share price.</w:t>
        <w:br/>
        <w:br/>
        <w:t>The model arrives at a DCF share price (cell K35), cross-checks it with a multiples-based estimate (P56), and then tests sensitivity via a 2-way table and IRR analysis. Together these tools give a fully-rounded, rigorous, academic-quality equity valuation of NIKE. The current market price of $73.60 implies a WACC of 9.39%, while the model's base-case WACC of approximately 10.4% produces a higher intrinsic value, suggesting upside to the current share price under these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