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2966B2"/>
          <w:sz w:val="26"/>
        </w:rPr>
        <w:t>PROJECT SYNOPSIS</w:t>
        <w:br/>
      </w:r>
      <w:r>
        <w:rPr>
          <w:rFonts w:ascii="Calibri" w:hAnsi="Calibri"/>
          <w:b/>
          <w:color w:val="1B2B4B"/>
          <w:sz w:val="38"/>
        </w:rPr>
        <w:t>AI Learning Companion: An AI-Based YouTube Video Learning and Study Material Generation System</w:t>
      </w:r>
    </w:p>
    <w:p>
      <w:pPr>
        <w:spacing w:before="80" w:after="360"/>
        <w:jc w:val="center"/>
      </w:pPr>
      <w:r>
        <w:rPr>
          <w:rFonts w:ascii="Calibri" w:hAnsi="Calibri"/>
          <w:color w:val="646464"/>
          <w:sz w:val="20"/>
        </w:rPr>
        <w:t>Degree Level: Master of Science in Information Technology (MSc IT)</w:t>
        <w:br/>
        <w:t>Academic Domain: Educational Technology | Natural Language Processing | Web Engineering</w:t>
      </w:r>
    </w:p>
    <w:p>
      <w:pPr>
        <w:spacing w:before="0" w:after="240"/>
        <w:pBdr>
          <w:bottom w:val="single" w:sz="12" w:space="1" w:color="1B2B4B"/>
        </w:pBdr>
      </w:pPr>
    </w:p>
    <w:p>
      <w:pPr>
        <w:keepNext/>
        <w:spacing w:before="320" w:after="120"/>
      </w:pPr>
      <w:r>
        <w:rPr>
          <w:rFonts w:ascii="Calibri" w:hAnsi="Calibri"/>
          <w:b/>
          <w:color w:val="1B2B4B"/>
          <w:sz w:val="28"/>
        </w:rPr>
        <w:t>1. Introduction</w:t>
      </w:r>
    </w:p>
    <w:p>
      <w:pPr>
        <w:spacing w:before="0" w:after="200" w:line="276" w:lineRule="auto"/>
        <w:jc w:val="both"/>
      </w:pPr>
      <w:r>
        <w:rPr>
          <w:rFonts w:ascii="Calibri" w:hAnsi="Calibri"/>
          <w:color w:val="222222"/>
          <w:sz w:val="22"/>
        </w:rPr>
        <w:t>In modern higher education and professional training, digital learning technologies and open-access multimedia platforms have fundamentally reshaped instructional delivery and autonomous knowledge acquisition. Video-sharing platforms, particularly YouTube, have emerged as primary repositories for educational content, offering millions of instructional lectures across science, engineering, humanities, and technical disciplines. Despite the abundance of online video lectures, passive video consumption often lacks the pedagogical scaffolding required for sustained cognitive engagement, systematic note-taking, and active self-assessment. Consequently, the intersection of educational technology and Natural Language Processing offers immense potential to transform unformatted multimedia streams into structured, student-centric academic artifacts. To realize this transformation, the system leverages Transformer-based generative language modeling via the Google Gemini large language model, coupled with automated caption retrieval protocols, to process lecture transcripts through constrained prompt engineering. Through zero-shot instructional decomposition and strict schema enforcement, the natural language processing pipeline systematically extracts semantic hierarchies, conceptual definitions, review items, and evaluative question-answer pairs. Navigating lengthy educational recordings is cognitively demanding and time-intensive, creating significant barriers for learners seeking efficient revision and targeted concept comprehension. The proposed AI Learning Companion resolves this challenge by automatically transforming raw video transcripts into a comprehensive learning suite—comprising concise summaries, high-yield takeaways, domain glossaries, interactive flashcards, self-grading quizzes, and exportable PDF study guides—thereby optimizing study time and promoting active recall.</w:t>
      </w:r>
    </w:p>
    <w:p>
      <w:pPr>
        <w:keepNext/>
        <w:spacing w:before="320" w:after="120"/>
      </w:pPr>
      <w:r>
        <w:rPr>
          <w:rFonts w:ascii="Calibri" w:hAnsi="Calibri"/>
          <w:b/>
          <w:color w:val="1B2B4B"/>
          <w:sz w:val="28"/>
        </w:rPr>
        <w:t>2. Literature Review</w:t>
      </w:r>
    </w:p>
    <w:p>
      <w:pPr>
        <w:spacing w:before="0" w:after="80" w:line="276" w:lineRule="auto"/>
        <w:ind w:left="432" w:hanging="432"/>
        <w:jc w:val="both"/>
      </w:pPr>
      <w:r>
        <w:rPr>
          <w:rFonts w:ascii="Calibri" w:hAnsi="Calibri"/>
          <w:b/>
          <w:color w:val="1B2B4B"/>
          <w:sz w:val="22"/>
        </w:rPr>
        <w:t xml:space="preserve">1.  </w:t>
      </w:r>
      <w:r>
        <w:rPr>
          <w:rFonts w:ascii="Calibri" w:hAnsi="Calibri"/>
          <w:b/>
          <w:color w:val="222222"/>
          <w:sz w:val="22"/>
        </w:rPr>
        <w:t xml:space="preserve">A. Vaswani, N. Shazeer, N. Parmar, J. Uszkoreit, L. Jones, A. N. Gomez, Ł. Kaiser, and I. Polosukhin (2017) – Attention Is All You Need – </w:t>
      </w:r>
      <w:r>
        <w:rPr>
          <w:rFonts w:ascii="Calibri" w:hAnsi="Calibri"/>
          <w:color w:val="222222"/>
          <w:sz w:val="22"/>
        </w:rPr>
        <w:t>This foundational paper introduced the multi-head self-attention Transformer architecture, eliminating recurrent mechanisms and establishing the core language modeling paradigm that enables modern large language models to capture long-range contextual dependencies across extensive video transcripts.</w:t>
      </w:r>
    </w:p>
    <w:p>
      <w:pPr>
        <w:spacing w:before="0" w:after="80" w:line="276" w:lineRule="auto"/>
        <w:ind w:left="432" w:hanging="432"/>
        <w:jc w:val="both"/>
      </w:pPr>
      <w:r>
        <w:rPr>
          <w:rFonts w:ascii="Calibri" w:hAnsi="Calibri"/>
          <w:b/>
          <w:color w:val="1B2B4B"/>
          <w:sz w:val="22"/>
        </w:rPr>
        <w:t xml:space="preserve">2.  </w:t>
      </w:r>
      <w:r>
        <w:rPr>
          <w:rFonts w:ascii="Calibri" w:hAnsi="Calibri"/>
          <w:b/>
          <w:color w:val="222222"/>
          <w:sz w:val="22"/>
        </w:rPr>
        <w:t xml:space="preserve">M. Lewis, Y. Liu, N. Goyal, M. Ghazvininejad, A. Mohamed, O. Levy, V. Stoyanov, and L. Zettlemoyer (2020) – BART: Denoising Sequence-to-Sequence Pre-training for Natural Language Generation, Translation, and Comprehension – </w:t>
      </w:r>
      <w:r>
        <w:rPr>
          <w:rFonts w:ascii="Calibri" w:hAnsi="Calibri"/>
          <w:color w:val="222222"/>
          <w:sz w:val="22"/>
        </w:rPr>
        <w:t>The authors formulated a sequence-to-sequence denoising autoencoder that demonstrated the efficacy of bidirectional and autoregressive pre-training for abstractive text summarization and text synthesis, which underpins the automated distillation of unstructured transcript discourse into structured educational summaries.</w:t>
      </w:r>
    </w:p>
    <w:p>
      <w:pPr>
        <w:spacing w:before="0" w:after="80" w:line="276" w:lineRule="auto"/>
        <w:ind w:left="432" w:hanging="432"/>
        <w:jc w:val="both"/>
      </w:pPr>
      <w:r>
        <w:rPr>
          <w:rFonts w:ascii="Calibri" w:hAnsi="Calibri"/>
          <w:b/>
          <w:color w:val="1B2B4B"/>
          <w:sz w:val="22"/>
        </w:rPr>
        <w:t xml:space="preserve">3.  </w:t>
      </w:r>
      <w:r>
        <w:rPr>
          <w:rFonts w:ascii="Calibri" w:hAnsi="Calibri"/>
          <w:b/>
          <w:color w:val="222222"/>
          <w:sz w:val="22"/>
        </w:rPr>
        <w:t xml:space="preserve">X. Du, J. Shao, and C. Cardie (2017) – Learning to Ask: Neural Question Generation for Reading Comprehension – </w:t>
      </w:r>
      <w:r>
        <w:rPr>
          <w:rFonts w:ascii="Calibri" w:hAnsi="Calibri"/>
          <w:color w:val="222222"/>
          <w:sz w:val="22"/>
        </w:rPr>
        <w:t>This research validated that attention-based neural networks can generate syntactically and semantically valid assessment questions directly from raw textual contexts, proving the computational feasibility of automated quiz and flashcard synthesis for educational self-assessment.</w:t>
      </w:r>
    </w:p>
    <w:p>
      <w:pPr>
        <w:spacing w:before="0" w:after="80" w:line="276" w:lineRule="auto"/>
        <w:ind w:left="432" w:hanging="432"/>
        <w:jc w:val="both"/>
      </w:pPr>
      <w:r>
        <w:rPr>
          <w:rFonts w:ascii="Calibri" w:hAnsi="Calibri"/>
          <w:b/>
          <w:color w:val="1B2B4B"/>
          <w:sz w:val="22"/>
        </w:rPr>
        <w:t xml:space="preserve">4.  </w:t>
      </w:r>
      <w:r>
        <w:rPr>
          <w:rFonts w:ascii="Calibri" w:hAnsi="Calibri"/>
          <w:b/>
          <w:color w:val="222222"/>
          <w:sz w:val="22"/>
        </w:rPr>
        <w:t xml:space="preserve">T. Brown, B. Mann, N. Ryder, M. Subbiah, J. D. Kaplan, P. Dhariwal, A. Neelakantan, P. Shyam, G. Sastry, A. Askell, et al. (2020) – Language Models are Few-Shot Learners – </w:t>
      </w:r>
      <w:r>
        <w:rPr>
          <w:rFonts w:ascii="Calibri" w:hAnsi="Calibri"/>
          <w:color w:val="222222"/>
          <w:sz w:val="22"/>
        </w:rPr>
        <w:t>This study demonstrated that massive autoregressive language models can perform complex cross-domain tasks via natural language prompting and zero-shot task decomposition, directly informing this project’s design of generating multi-component JSON learning suites without necessitating expensive domain-specific model fine-tuning.</w:t>
      </w:r>
    </w:p>
    <w:p>
      <w:pPr>
        <w:keepNext/>
        <w:spacing w:before="320" w:after="120"/>
      </w:pPr>
      <w:r>
        <w:rPr>
          <w:rFonts w:ascii="Calibri" w:hAnsi="Calibri"/>
          <w:b/>
          <w:color w:val="1B2B4B"/>
          <w:sz w:val="28"/>
        </w:rPr>
        <w:t>3. Scope of the Project</w:t>
      </w:r>
    </w:p>
    <w:p>
      <w:pPr>
        <w:pStyle w:val="ListBullet"/>
        <w:spacing w:before="0" w:after="80" w:line="276" w:lineRule="auto"/>
        <w:jc w:val="both"/>
      </w:pPr>
      <w:r>
        <w:rPr>
          <w:rFonts w:ascii="Calibri" w:hAnsi="Calibri"/>
          <w:b/>
          <w:color w:val="222222"/>
          <w:sz w:val="22"/>
        </w:rPr>
        <w:t xml:space="preserve">Automated Video Metadata &amp; Transcript Ingestion: </w:t>
      </w:r>
      <w:r>
        <w:rPr>
          <w:rFonts w:ascii="Calibri" w:hAnsi="Calibri"/>
          <w:color w:val="222222"/>
          <w:sz w:val="22"/>
        </w:rPr>
        <w:t>Parsing user-submitted YouTube URLs, extracting canonical video identifiers, retrieving public metadata (title, author, thumbnail) via YouTube’s oEmbed endpoint without API quotas, and harvesting multi-language captions via the youtube-transcript-api.</w:t>
      </w:r>
    </w:p>
    <w:p>
      <w:pPr>
        <w:pStyle w:val="ListBullet"/>
        <w:spacing w:before="0" w:after="80" w:line="276" w:lineRule="auto"/>
        <w:jc w:val="both"/>
      </w:pPr>
      <w:r>
        <w:rPr>
          <w:rFonts w:ascii="Calibri" w:hAnsi="Calibri"/>
          <w:b/>
          <w:color w:val="222222"/>
          <w:sz w:val="22"/>
        </w:rPr>
        <w:t xml:space="preserve">Context Window Management &amp; Text Preprocessing: </w:t>
      </w:r>
      <w:r>
        <w:rPr>
          <w:rFonts w:ascii="Calibri" w:hAnsi="Calibri"/>
          <w:color w:val="222222"/>
          <w:sz w:val="22"/>
        </w:rPr>
        <w:t>Normalizing raw transcript sequences and applying a 45,000-character safety window truncation to ensure prompt transmission remains within optimal token limits.</w:t>
      </w:r>
    </w:p>
    <w:p>
      <w:pPr>
        <w:pStyle w:val="ListBullet"/>
        <w:spacing w:before="0" w:after="80" w:line="276" w:lineRule="auto"/>
        <w:jc w:val="both"/>
      </w:pPr>
      <w:r>
        <w:rPr>
          <w:rFonts w:ascii="Calibri" w:hAnsi="Calibri"/>
          <w:b/>
          <w:color w:val="222222"/>
          <w:sz w:val="22"/>
        </w:rPr>
        <w:t xml:space="preserve">Generative Natural Language Synthesis: </w:t>
      </w:r>
      <w:r>
        <w:rPr>
          <w:rFonts w:ascii="Calibri" w:hAnsi="Calibri"/>
          <w:color w:val="222222"/>
          <w:sz w:val="22"/>
        </w:rPr>
        <w:t>Interfacing with Google Gemini (gemini-1.5-flash) under deterministic low-temperature controls and strict JSON MIME-type constraints to enforce reproducible, structured educational outputs.</w:t>
      </w:r>
    </w:p>
    <w:p>
      <w:pPr>
        <w:pStyle w:val="ListBullet"/>
        <w:spacing w:before="0" w:after="80" w:line="276" w:lineRule="auto"/>
        <w:jc w:val="both"/>
      </w:pPr>
      <w:r>
        <w:rPr>
          <w:rFonts w:ascii="Calibri" w:hAnsi="Calibri"/>
          <w:b/>
          <w:color w:val="222222"/>
          <w:sz w:val="22"/>
        </w:rPr>
        <w:t xml:space="preserve">Structured Multi-Modal Study Material Generation: </w:t>
      </w:r>
      <w:r>
        <w:rPr>
          <w:rFonts w:ascii="Calibri" w:hAnsi="Calibri"/>
          <w:color w:val="222222"/>
          <w:sz w:val="22"/>
        </w:rPr>
        <w:t>Automatically producing an executive video summary, 6–10 bulleted key concepts, 4–8 technical glossary definitions, 8–12 active-recall flashcards, and 5–8 four-option multiple-choice quiz questions with diagnostic explanations.</w:t>
      </w:r>
    </w:p>
    <w:p>
      <w:pPr>
        <w:pStyle w:val="ListBullet"/>
        <w:spacing w:before="0" w:after="80" w:line="276" w:lineRule="auto"/>
        <w:jc w:val="both"/>
      </w:pPr>
      <w:r>
        <w:rPr>
          <w:rFonts w:ascii="Calibri" w:hAnsi="Calibri"/>
          <w:b/>
          <w:color w:val="222222"/>
          <w:sz w:val="22"/>
        </w:rPr>
        <w:t xml:space="preserve">Interactive Client-Side Learning Suite: </w:t>
      </w:r>
      <w:r>
        <w:rPr>
          <w:rFonts w:ascii="Calibri" w:hAnsi="Calibri"/>
          <w:color w:val="222222"/>
          <w:sz w:val="22"/>
        </w:rPr>
        <w:t>Providing a tabbed web interface equipped with asynchronous form handling, interactive CSS3 3D flashcard-flip animations, and an instant client-side quiz scoring engine with immediate pedagogical feedback.</w:t>
      </w:r>
    </w:p>
    <w:p>
      <w:pPr>
        <w:pStyle w:val="ListBullet"/>
        <w:spacing w:before="0" w:after="80" w:line="276" w:lineRule="auto"/>
        <w:jc w:val="both"/>
      </w:pPr>
      <w:r>
        <w:rPr>
          <w:rFonts w:ascii="Calibri" w:hAnsi="Calibri"/>
          <w:b/>
          <w:color w:val="222222"/>
          <w:sz w:val="22"/>
        </w:rPr>
        <w:t xml:space="preserve">Persistence, Access Control &amp; Document Exportation: </w:t>
      </w:r>
      <w:r>
        <w:rPr>
          <w:rFonts w:ascii="Calibri" w:hAnsi="Calibri"/>
          <w:color w:val="222222"/>
          <w:sz w:val="22"/>
        </w:rPr>
        <w:t>Managing user sessions with password hashing (PBKDF2), role-based administrative auditing, relational data persistence across SQLite and MySQL, and programmatic PDF generation via ReportLab for offline study.</w:t>
      </w:r>
    </w:p>
    <w:p>
      <w:pPr>
        <w:keepNext/>
        <w:spacing w:before="320" w:after="120"/>
      </w:pPr>
      <w:r>
        <w:rPr>
          <w:rFonts w:ascii="Calibri" w:hAnsi="Calibri"/>
          <w:b/>
          <w:color w:val="1B2B4B"/>
          <w:sz w:val="28"/>
        </w:rPr>
        <w:t>4. Objectives</w:t>
      </w:r>
    </w:p>
    <w:p>
      <w:pPr>
        <w:spacing w:before="0" w:after="80" w:line="276" w:lineRule="auto"/>
        <w:ind w:left="432" w:hanging="432"/>
        <w:jc w:val="both"/>
      </w:pPr>
      <w:r>
        <w:rPr>
          <w:rFonts w:ascii="Calibri" w:hAnsi="Calibri"/>
          <w:b/>
          <w:color w:val="1B2B4B"/>
          <w:sz w:val="22"/>
        </w:rPr>
        <w:t xml:space="preserve">1. </w:t>
      </w:r>
      <w:r>
        <w:rPr>
          <w:rFonts w:ascii="Calibri" w:hAnsi="Calibri"/>
          <w:b/>
          <w:color w:val="222222"/>
          <w:sz w:val="22"/>
        </w:rPr>
        <w:t>To develop an automated transcript retrieval pipeline</w:t>
      </w:r>
      <w:r>
        <w:rPr>
          <w:rFonts w:ascii="Calibri" w:hAnsi="Calibri"/>
          <w:color w:val="222222"/>
          <w:sz w:val="22"/>
        </w:rPr>
        <w:t xml:space="preserve"> that validates YouTube URLs, identifies video identifiers, fetches public video metadata via oEmbed, and extracts available closed captions and subtitle tracks.</w:t>
      </w:r>
    </w:p>
    <w:p>
      <w:pPr>
        <w:spacing w:before="0" w:after="80" w:line="276" w:lineRule="auto"/>
        <w:ind w:left="432" w:hanging="432"/>
        <w:jc w:val="both"/>
      </w:pPr>
      <w:r>
        <w:rPr>
          <w:rFonts w:ascii="Calibri" w:hAnsi="Calibri"/>
          <w:b/>
          <w:color w:val="1B2B4B"/>
          <w:sz w:val="22"/>
        </w:rPr>
        <w:t xml:space="preserve">2. </w:t>
      </w:r>
      <w:r>
        <w:rPr>
          <w:rFonts w:ascii="Calibri" w:hAnsi="Calibri"/>
          <w:b/>
          <w:color w:val="222222"/>
          <w:sz w:val="22"/>
        </w:rPr>
        <w:t>To implement a robust natural language processing service</w:t>
      </w:r>
      <w:r>
        <w:rPr>
          <w:rFonts w:ascii="Calibri" w:hAnsi="Calibri"/>
          <w:color w:val="222222"/>
          <w:sz w:val="22"/>
        </w:rPr>
        <w:t xml:space="preserve"> integrating the Google Gemini API to perform semantic summarization and information extraction on unstructured transcript text.</w:t>
      </w:r>
    </w:p>
    <w:p>
      <w:pPr>
        <w:spacing w:before="0" w:after="80" w:line="276" w:lineRule="auto"/>
        <w:ind w:left="432" w:hanging="432"/>
        <w:jc w:val="both"/>
      </w:pPr>
      <w:r>
        <w:rPr>
          <w:rFonts w:ascii="Calibri" w:hAnsi="Calibri"/>
          <w:b/>
          <w:color w:val="1B2B4B"/>
          <w:sz w:val="22"/>
        </w:rPr>
        <w:t xml:space="preserve">3. </w:t>
      </w:r>
      <w:r>
        <w:rPr>
          <w:rFonts w:ascii="Calibri" w:hAnsi="Calibri"/>
          <w:b/>
          <w:color w:val="222222"/>
          <w:sz w:val="22"/>
        </w:rPr>
        <w:t>To enforce strict structured JSON schema generation</w:t>
      </w:r>
      <w:r>
        <w:rPr>
          <w:rFonts w:ascii="Calibri" w:hAnsi="Calibri"/>
          <w:color w:val="222222"/>
          <w:sz w:val="22"/>
        </w:rPr>
        <w:t xml:space="preserve"> using constrained prompting and response formatting, ensuring deterministic output parsing of summaries, key points, glossaries, flashcards, and quizzes.</w:t>
      </w:r>
    </w:p>
    <w:p>
      <w:pPr>
        <w:spacing w:before="0" w:after="80" w:line="276" w:lineRule="auto"/>
        <w:ind w:left="432" w:hanging="432"/>
        <w:jc w:val="both"/>
      </w:pPr>
      <w:r>
        <w:rPr>
          <w:rFonts w:ascii="Calibri" w:hAnsi="Calibri"/>
          <w:b/>
          <w:color w:val="1B2B4B"/>
          <w:sz w:val="22"/>
        </w:rPr>
        <w:t xml:space="preserve">4. </w:t>
      </w:r>
      <w:r>
        <w:rPr>
          <w:rFonts w:ascii="Calibri" w:hAnsi="Calibri"/>
          <w:b/>
          <w:color w:val="222222"/>
          <w:sz w:val="22"/>
        </w:rPr>
        <w:t>To extract specialized domain terminology and definitions</w:t>
      </w:r>
      <w:r>
        <w:rPr>
          <w:rFonts w:ascii="Calibri" w:hAnsi="Calibri"/>
          <w:color w:val="222222"/>
          <w:sz w:val="22"/>
        </w:rPr>
        <w:t>, automatically compiling an indexed technical glossary to aid student comprehension of complex subject matter.</w:t>
      </w:r>
    </w:p>
    <w:p>
      <w:pPr>
        <w:spacing w:before="0" w:after="80" w:line="276" w:lineRule="auto"/>
        <w:ind w:left="432" w:hanging="432"/>
        <w:jc w:val="both"/>
      </w:pPr>
      <w:r>
        <w:rPr>
          <w:rFonts w:ascii="Calibri" w:hAnsi="Calibri"/>
          <w:b/>
          <w:color w:val="1B2B4B"/>
          <w:sz w:val="22"/>
        </w:rPr>
        <w:t xml:space="preserve">5. </w:t>
      </w:r>
      <w:r>
        <w:rPr>
          <w:rFonts w:ascii="Calibri" w:hAnsi="Calibri"/>
          <w:b/>
          <w:color w:val="222222"/>
          <w:sz w:val="22"/>
        </w:rPr>
        <w:t>To generate active-recall educational instruments</w:t>
      </w:r>
      <w:r>
        <w:rPr>
          <w:rFonts w:ascii="Calibri" w:hAnsi="Calibri"/>
          <w:color w:val="222222"/>
          <w:sz w:val="22"/>
        </w:rPr>
        <w:t>, including two-sided flashcards and four-option multiple-choice practice quizzes with pedagogical explanations for correct options.</w:t>
      </w:r>
    </w:p>
    <w:p>
      <w:pPr>
        <w:spacing w:before="0" w:after="80" w:line="276" w:lineRule="auto"/>
        <w:ind w:left="432" w:hanging="432"/>
        <w:jc w:val="both"/>
      </w:pPr>
      <w:r>
        <w:rPr>
          <w:rFonts w:ascii="Calibri" w:hAnsi="Calibri"/>
          <w:b/>
          <w:color w:val="1B2B4B"/>
          <w:sz w:val="22"/>
        </w:rPr>
        <w:t xml:space="preserve">6. </w:t>
      </w:r>
      <w:r>
        <w:rPr>
          <w:rFonts w:ascii="Calibri" w:hAnsi="Calibri"/>
          <w:b/>
          <w:color w:val="222222"/>
          <w:sz w:val="22"/>
        </w:rPr>
        <w:t>To design a responsive, accessible user interface</w:t>
      </w:r>
      <w:r>
        <w:rPr>
          <w:rFonts w:ascii="Calibri" w:hAnsi="Calibri"/>
          <w:color w:val="222222"/>
          <w:sz w:val="22"/>
        </w:rPr>
        <w:t xml:space="preserve"> using modern HTML5, CSS3, Bootstrap 5, and JavaScript to deliver an interactive study dashboard featuring real-time quiz grading and flip-card animations.</w:t>
      </w:r>
    </w:p>
    <w:p>
      <w:pPr>
        <w:spacing w:before="0" w:after="80" w:line="276" w:lineRule="auto"/>
        <w:ind w:left="432" w:hanging="432"/>
        <w:jc w:val="both"/>
      </w:pPr>
      <w:r>
        <w:rPr>
          <w:rFonts w:ascii="Calibri" w:hAnsi="Calibri"/>
          <w:b/>
          <w:color w:val="1B2B4B"/>
          <w:sz w:val="22"/>
        </w:rPr>
        <w:t xml:space="preserve">7. </w:t>
      </w:r>
      <w:r>
        <w:rPr>
          <w:rFonts w:ascii="Calibri" w:hAnsi="Calibri"/>
          <w:b/>
          <w:color w:val="222222"/>
          <w:sz w:val="22"/>
        </w:rPr>
        <w:t>To build an automated document compilation engine</w:t>
      </w:r>
      <w:r>
        <w:rPr>
          <w:rFonts w:ascii="Calibri" w:hAnsi="Calibri"/>
          <w:color w:val="222222"/>
          <w:sz w:val="22"/>
        </w:rPr>
        <w:t xml:space="preserve"> using ReportLab that programmatically renders the complete generated study suite into a standardized, printable PDF document.</w:t>
      </w:r>
    </w:p>
    <w:p>
      <w:pPr>
        <w:spacing w:before="0" w:after="80" w:line="276" w:lineRule="auto"/>
        <w:ind w:left="432" w:hanging="432"/>
        <w:jc w:val="both"/>
      </w:pPr>
      <w:r>
        <w:rPr>
          <w:rFonts w:ascii="Calibri" w:hAnsi="Calibri"/>
          <w:b/>
          <w:color w:val="1B2B4B"/>
          <w:sz w:val="22"/>
        </w:rPr>
        <w:t xml:space="preserve">8. </w:t>
      </w:r>
      <w:r>
        <w:rPr>
          <w:rFonts w:ascii="Calibri" w:hAnsi="Calibri"/>
          <w:b/>
          <w:color w:val="222222"/>
          <w:sz w:val="22"/>
        </w:rPr>
        <w:t>To incorporate secure user authentication and persistent storage</w:t>
      </w:r>
      <w:r>
        <w:rPr>
          <w:rFonts w:ascii="Calibri" w:hAnsi="Calibri"/>
          <w:color w:val="222222"/>
          <w:sz w:val="22"/>
        </w:rPr>
        <w:t xml:space="preserve"> using Flask session management, password hashing, and SQLAlchemy ORM compatible with both SQLite and MySQL backends.</w:t>
      </w:r>
    </w:p>
    <w:p>
      <w:pPr>
        <w:keepNext/>
        <w:spacing w:before="320" w:after="120"/>
      </w:pPr>
      <w:r>
        <w:rPr>
          <w:rFonts w:ascii="Calibri" w:hAnsi="Calibri"/>
          <w:b/>
          <w:color w:val="1B2B4B"/>
          <w:sz w:val="28"/>
        </w:rPr>
        <w:t>5. Technologies to be Used</w:t>
      </w:r>
    </w:p>
    <w:p>
      <w:pPr>
        <w:keepNext/>
        <w:spacing w:before="240" w:after="80"/>
      </w:pPr>
      <w:r>
        <w:rPr>
          <w:rFonts w:ascii="Calibri" w:hAnsi="Calibri"/>
          <w:b/>
          <w:color w:val="2966B2"/>
          <w:sz w:val="24"/>
        </w:rPr>
        <w:t>5.1 Hardware Technologies</w:t>
      </w:r>
    </w:p>
    <w:p>
      <w:pPr>
        <w:spacing w:before="0" w:after="120" w:line="276" w:lineRule="auto"/>
        <w:jc w:val="both"/>
      </w:pPr>
      <w:r>
        <w:rPr>
          <w:rFonts w:ascii="Calibri" w:hAnsi="Calibri"/>
          <w:color w:val="222222"/>
          <w:sz w:val="22"/>
        </w:rPr>
        <w:t>The architecture offloads heavy Large Language Model transformer inference to Google’s cloud infrastructure via the Gemini API. Consequently, the local hosting server and user client run efficiently on commodity computing hardware without requiring specialized graphical processing units (GPUs).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sz="0" w:space="0" w:color="auto"/>
          <w:right w:val="none" w:sz="0" w:space="0" w:color="auto"/>
          <w:insideH w:val="single" w:sz="4" w:space="0" w:color="D3D3D3"/>
          <w:insideV w:val="none" w:sz="0" w:space="0" w:color="auto"/>
        </w:tblBorders>
      </w:tblPr>
      <w:tblGrid>
        <w:gridCol w:w="3120"/>
        <w:gridCol w:w="3120"/>
        <w:gridCol w:w="3120"/>
      </w:tblGrid>
      <w:tr>
        <w:tc>
          <w:tcPr>
            <w:tcW w:type="dxa" w:w="2160"/>
            <w:vAlign w:val="center"/>
            <w:tcMar>
              <w:top w:w="80" w:type="dxa"/>
              <w:bottom w:w="80" w:type="dxa"/>
              <w:left w:w="120" w:type="dxa"/>
              <w:right w:w="120" w:type="dxa"/>
            </w:tcMar>
            <w:shd w:fill="1B2B4B"/>
          </w:tcPr>
          <w:p>
            <w:pPr>
              <w:spacing w:before="0" w:after="0" w:line="264" w:lineRule="auto"/>
            </w:pPr>
            <w:r>
              <w:rPr>
                <w:rFonts w:ascii="Calibri" w:hAnsi="Calibri"/>
                <w:b/>
                <w:color w:val="FFFFFF"/>
                <w:sz w:val="20"/>
              </w:rPr>
              <w:t>Component</w:t>
            </w:r>
          </w:p>
        </w:tc>
        <w:tc>
          <w:tcPr>
            <w:tcW w:type="dxa" w:w="3168"/>
            <w:vAlign w:val="center"/>
            <w:tcMar>
              <w:top w:w="80" w:type="dxa"/>
              <w:bottom w:w="80" w:type="dxa"/>
              <w:left w:w="120" w:type="dxa"/>
              <w:right w:w="120" w:type="dxa"/>
            </w:tcMar>
            <w:shd w:fill="1B2B4B"/>
          </w:tcPr>
          <w:p>
            <w:pPr>
              <w:spacing w:before="0" w:after="0" w:line="264" w:lineRule="auto"/>
            </w:pPr>
            <w:r>
              <w:rPr>
                <w:rFonts w:ascii="Calibri" w:hAnsi="Calibri"/>
                <w:b/>
                <w:color w:val="FFFFFF"/>
                <w:sz w:val="20"/>
              </w:rPr>
              <w:t>Minimum / Recommended Requirement</w:t>
            </w:r>
          </w:p>
        </w:tc>
        <w:tc>
          <w:tcPr>
            <w:tcW w:type="dxa" w:w="4032"/>
            <w:vAlign w:val="center"/>
            <w:tcMar>
              <w:top w:w="80" w:type="dxa"/>
              <w:bottom w:w="80" w:type="dxa"/>
              <w:left w:w="120" w:type="dxa"/>
              <w:right w:w="120" w:type="dxa"/>
            </w:tcMar>
            <w:shd w:fill="1B2B4B"/>
          </w:tcPr>
          <w:p>
            <w:pPr>
              <w:spacing w:before="0" w:after="0" w:line="264" w:lineRule="auto"/>
            </w:pPr>
            <w:r>
              <w:rPr>
                <w:rFonts w:ascii="Calibri" w:hAnsi="Calibri"/>
                <w:b/>
                <w:color w:val="FFFFFF"/>
                <w:sz w:val="20"/>
              </w:rPr>
              <w:t>Purpose in Proposed System</w:t>
            </w:r>
          </w:p>
        </w:tc>
      </w:tr>
      <w:tr>
        <w:tc>
          <w:tcPr>
            <w:tcW w:type="dxa" w:w="2160"/>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Processor (CPU)</w:t>
            </w:r>
          </w:p>
        </w:tc>
        <w:tc>
          <w:tcPr>
            <w:tcW w:type="dxa" w:w="3168"/>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Intel Core i3 / AMD Ryzen 3 / Apple Silicon M-series (Dual-core 2.0 GHz min; Quad-core rec.)</w:t>
            </w:r>
          </w:p>
        </w:tc>
        <w:tc>
          <w:tcPr>
            <w:tcW w:type="dxa" w:w="4032"/>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Application execution, request routing, JSON parsing, and ReportLab PDF document compilation</w:t>
            </w:r>
          </w:p>
        </w:tc>
      </w:tr>
      <w:tr>
        <w:tc>
          <w:tcPr>
            <w:tcW w:type="dxa" w:w="2160"/>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RAM</w:t>
            </w:r>
          </w:p>
        </w:tc>
        <w:tc>
          <w:tcPr>
            <w:tcW w:type="dxa" w:w="3168"/>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4 GB minimum (8 GB recommended)</w:t>
            </w:r>
          </w:p>
        </w:tc>
        <w:tc>
          <w:tcPr>
            <w:tcW w:type="dxa" w:w="4032"/>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Running Python WSGI environment, database connection pooling, and in-memory text manipulation</w:t>
            </w:r>
          </w:p>
        </w:tc>
      </w:tr>
      <w:tr>
        <w:tc>
          <w:tcPr>
            <w:tcW w:type="dxa" w:w="2160"/>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Storage</w:t>
            </w:r>
          </w:p>
        </w:tc>
        <w:tc>
          <w:tcPr>
            <w:tcW w:type="dxa" w:w="3168"/>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10 GB available solid-state storage</w:t>
            </w:r>
          </w:p>
        </w:tc>
        <w:tc>
          <w:tcPr>
            <w:tcW w:type="dxa" w:w="4032"/>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Housing codebase, virtual environment libraries, relational database files, and exported PDF artifacts</w:t>
            </w:r>
          </w:p>
        </w:tc>
      </w:tr>
      <w:tr>
        <w:tc>
          <w:tcPr>
            <w:tcW w:type="dxa" w:w="2160"/>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Network Interface</w:t>
            </w:r>
          </w:p>
        </w:tc>
        <w:tc>
          <w:tcPr>
            <w:tcW w:type="dxa" w:w="3168"/>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Broadband Internet connection (≥ 10 Mbps)</w:t>
            </w:r>
          </w:p>
        </w:tc>
        <w:tc>
          <w:tcPr>
            <w:tcW w:type="dxa" w:w="4032"/>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Performing outbound HTTPS requests to YouTube oEmbed, transcript servers, and the Google Gemini API</w:t>
            </w:r>
          </w:p>
        </w:tc>
      </w:tr>
      <w:tr>
        <w:tc>
          <w:tcPr>
            <w:tcW w:type="dxa" w:w="2160"/>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Display Device</w:t>
            </w:r>
          </w:p>
        </w:tc>
        <w:tc>
          <w:tcPr>
            <w:tcW w:type="dxa" w:w="3168"/>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Standard display (1366 × 768 minimum; 1920 × 1080 recommended)</w:t>
            </w:r>
          </w:p>
        </w:tc>
        <w:tc>
          <w:tcPr>
            <w:tcW w:type="dxa" w:w="4032"/>
            <w:vAlign w:val="center"/>
            <w:tcMar>
              <w:top w:w="80" w:type="dxa"/>
              <w:bottom w:w="80" w:type="dxa"/>
              <w:left w:w="120" w:type="dxa"/>
              <w:right w:w="120" w:type="dxa"/>
            </w:tcMar>
            <w:shd w:fill="F8F9FA"/>
          </w:tcPr>
          <w:p>
            <w:pPr>
              <w:spacing w:before="0" w:after="0" w:line="264" w:lineRule="auto"/>
            </w:pPr>
            <w:r>
              <w:rPr>
                <w:rFonts w:ascii="Calibri" w:hAnsi="Calibri"/>
                <w:color w:val="222222"/>
                <w:sz w:val="19"/>
              </w:rPr>
              <w:t>Visualization of responsive dashboards, interactive study tabs, and administrative consoles</w:t>
            </w:r>
          </w:p>
        </w:tc>
      </w:tr>
      <w:tr>
        <w:tc>
          <w:tcPr>
            <w:tcW w:type="dxa" w:w="2160"/>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GPU Acceleration</w:t>
            </w:r>
          </w:p>
        </w:tc>
        <w:tc>
          <w:tcPr>
            <w:tcW w:type="dxa" w:w="3168"/>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Optional / Not Required</w:t>
            </w:r>
          </w:p>
        </w:tc>
        <w:tc>
          <w:tcPr>
            <w:tcW w:type="dxa" w:w="4032"/>
            <w:vAlign w:val="center"/>
            <w:tcMar>
              <w:top w:w="80" w:type="dxa"/>
              <w:bottom w:w="80" w:type="dxa"/>
              <w:left w:w="120" w:type="dxa"/>
              <w:right w:w="120" w:type="dxa"/>
            </w:tcMar>
            <w:shd w:fill="FFFFFF"/>
          </w:tcPr>
          <w:p>
            <w:pPr>
              <w:spacing w:before="0" w:after="0" w:line="264" w:lineRule="auto"/>
            </w:pPr>
            <w:r>
              <w:rPr>
                <w:rFonts w:ascii="Calibri" w:hAnsi="Calibri"/>
                <w:color w:val="222222"/>
                <w:sz w:val="19"/>
              </w:rPr>
              <w:t>Dedicated GPU is not mandatory because deep learning inference is executed remotely via cloud endpoints</w:t>
            </w:r>
          </w:p>
        </w:tc>
      </w:tr>
    </w:tbl>
    <w:p>
      <w:pPr>
        <w:spacing w:after="80"/>
      </w:pPr>
    </w:p>
    <w:p>
      <w:pPr>
        <w:keepNext/>
        <w:spacing w:before="240" w:after="80"/>
      </w:pPr>
      <w:r>
        <w:rPr>
          <w:rFonts w:ascii="Calibri" w:hAnsi="Calibri"/>
          <w:b/>
          <w:color w:val="2966B2"/>
          <w:sz w:val="24"/>
        </w:rPr>
        <w:t>5.2 Software Technologies</w:t>
      </w:r>
    </w:p>
    <w:p>
      <w:pPr>
        <w:spacing w:before="0" w:after="120" w:line="276" w:lineRule="auto"/>
        <w:jc w:val="both"/>
      </w:pPr>
      <w:r>
        <w:rPr>
          <w:rFonts w:ascii="Calibri" w:hAnsi="Calibri"/>
          <w:color w:val="222222"/>
          <w:sz w:val="22"/>
        </w:rPr>
        <w:t>The system is platform-independent and can be developed, tested, and deployed across major POSIX and Windows environments. Supported operating systems include macOS (macOS 12+), Linux (Ubuntu 20.04/22.04 LTS, Debian 11+, CentOS), and Microsoft Windows 10/11 (64-bit).</w:t>
      </w:r>
    </w:p>
    <w:tbl>
      <w:tblPr>
        <w:tblW w:type="auto" w:w="0"/>
        <w:jc w:val="center"/>
        <w:tblLayout w:type="fixed"/>
        <w:tblLook w:firstColumn="1" w:firstRow="1" w:lastColumn="0" w:lastRow="0" w:noHBand="0" w:noVBand="1" w:val="04A0"/>
        <w:tblBorders>
          <w:top w:val="single" w:sz="6" w:space="0" w:color="D3D3D3"/>
          <w:bottom w:val="single" w:sz="6" w:space="0" w:color="D3D3D3"/>
          <w:left w:val="none" w:sz="0" w:space="0" w:color="auto"/>
          <w:right w:val="none" w:sz="0" w:space="0" w:color="auto"/>
          <w:insideH w:val="single" w:sz="4" w:space="0" w:color="D3D3D3"/>
          <w:insideV w:val="none" w:sz="0" w:space="0" w:color="auto"/>
        </w:tblBorders>
      </w:tblPr>
      <w:tblGrid>
        <w:gridCol w:w="3120"/>
        <w:gridCol w:w="3120"/>
        <w:gridCol w:w="3120"/>
      </w:tblGrid>
      <w:tr>
        <w:tc>
          <w:tcPr>
            <w:tcW w:type="dxa" w:w="2592"/>
            <w:vAlign w:val="center"/>
            <w:tcMar>
              <w:top w:w="70" w:type="dxa"/>
              <w:bottom w:w="70" w:type="dxa"/>
              <w:left w:w="120" w:type="dxa"/>
              <w:right w:w="120" w:type="dxa"/>
            </w:tcMar>
            <w:shd w:fill="1B2B4B"/>
          </w:tcPr>
          <w:p>
            <w:pPr>
              <w:spacing w:before="0" w:after="0" w:line="264" w:lineRule="auto"/>
            </w:pPr>
            <w:r>
              <w:rPr>
                <w:rFonts w:ascii="Calibri" w:hAnsi="Calibri"/>
                <w:b/>
                <w:color w:val="FFFFFF"/>
                <w:sz w:val="20"/>
              </w:rPr>
              <w:t>Software / Technology</w:t>
            </w:r>
          </w:p>
        </w:tc>
        <w:tc>
          <w:tcPr>
            <w:tcW w:type="dxa" w:w="2448"/>
            <w:vAlign w:val="center"/>
            <w:tcMar>
              <w:top w:w="70" w:type="dxa"/>
              <w:bottom w:w="70" w:type="dxa"/>
              <w:left w:w="120" w:type="dxa"/>
              <w:right w:w="120" w:type="dxa"/>
            </w:tcMar>
            <w:shd w:fill="1B2B4B"/>
          </w:tcPr>
          <w:p>
            <w:pPr>
              <w:spacing w:before="0" w:after="0" w:line="264" w:lineRule="auto"/>
            </w:pPr>
            <w:r>
              <w:rPr>
                <w:rFonts w:ascii="Calibri" w:hAnsi="Calibri"/>
                <w:b/>
                <w:color w:val="FFFFFF"/>
                <w:sz w:val="20"/>
              </w:rPr>
              <w:t>Category</w:t>
            </w:r>
          </w:p>
        </w:tc>
        <w:tc>
          <w:tcPr>
            <w:tcW w:type="dxa" w:w="4320"/>
            <w:vAlign w:val="center"/>
            <w:tcMar>
              <w:top w:w="70" w:type="dxa"/>
              <w:bottom w:w="70" w:type="dxa"/>
              <w:left w:w="120" w:type="dxa"/>
              <w:right w:w="120" w:type="dxa"/>
            </w:tcMar>
            <w:shd w:fill="1B2B4B"/>
          </w:tcPr>
          <w:p>
            <w:pPr>
              <w:spacing w:before="0" w:after="0" w:line="264" w:lineRule="auto"/>
            </w:pPr>
            <w:r>
              <w:rPr>
                <w:rFonts w:ascii="Calibri" w:hAnsi="Calibri"/>
                <w:b/>
                <w:color w:val="FFFFFF"/>
                <w:sz w:val="20"/>
              </w:rPr>
              <w:t>Purpose in Proposed System</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Operating System</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System Platform</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Host environment for runtime execution, filesystem management, and process scheduling</w:t>
            </w:r>
          </w:p>
        </w:tc>
      </w:tr>
      <w:tr>
        <w:tc>
          <w:tcPr>
            <w:tcW w:type="dxa" w:w="2592"/>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Python (v3.10+)</w:t>
            </w:r>
          </w:p>
        </w:tc>
        <w:tc>
          <w:tcPr>
            <w:tcW w:type="dxa" w:w="2448"/>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Programming Language</w:t>
            </w:r>
          </w:p>
        </w:tc>
        <w:tc>
          <w:tcPr>
            <w:tcW w:type="dxa" w:w="4320"/>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Core backend language powering the application server, data processing, and API orchestration</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Flask (v3.0.3)</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Web Framework</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Lightweight WSGI microframework managing HTTP routing, request dispatching, sessions, and templates</w:t>
            </w:r>
          </w:p>
        </w:tc>
      </w:tr>
      <w:tr>
        <w:tc>
          <w:tcPr>
            <w:tcW w:type="dxa" w:w="2592"/>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SQLite 3</w:t>
            </w:r>
          </w:p>
        </w:tc>
        <w:tc>
          <w:tcPr>
            <w:tcW w:type="dxa" w:w="2448"/>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Embedded Database</w:t>
            </w:r>
          </w:p>
        </w:tc>
        <w:tc>
          <w:tcPr>
            <w:tcW w:type="dxa" w:w="4320"/>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Default zero-configuration relational database engine for localized development and persistence</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MySQL (v8.0+)</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Enterprise Database</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Production-grade relational database engine supported via standard SQL database connection strings</w:t>
            </w:r>
          </w:p>
        </w:tc>
      </w:tr>
      <w:tr>
        <w:tc>
          <w:tcPr>
            <w:tcW w:type="dxa" w:w="2592"/>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HTML5</w:t>
            </w:r>
          </w:p>
        </w:tc>
        <w:tc>
          <w:tcPr>
            <w:tcW w:type="dxa" w:w="2448"/>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Markup Language</w:t>
            </w:r>
          </w:p>
        </w:tc>
        <w:tc>
          <w:tcPr>
            <w:tcW w:type="dxa" w:w="4320"/>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Semantic structural foundation for all dashboard views, result tabs, and authentication templates</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CSS3 (Custom System)</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Stylesheet Language</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Custom-engineered design system featuring fluid layouts, responsive breakpoints, and animations</w:t>
            </w:r>
          </w:p>
        </w:tc>
      </w:tr>
      <w:tr>
        <w:tc>
          <w:tcPr>
            <w:tcW w:type="dxa" w:w="2592"/>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Bootstrap (v5.3.3)</w:t>
            </w:r>
          </w:p>
        </w:tc>
        <w:tc>
          <w:tcPr>
            <w:tcW w:type="dxa" w:w="2448"/>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CSS Framework</w:t>
            </w:r>
          </w:p>
        </w:tc>
        <w:tc>
          <w:tcPr>
            <w:tcW w:type="dxa" w:w="4320"/>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Responsive grid layout, flexbox utilities, modal containers, and navigation bars</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JavaScript (ES6+)</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Client-Side Scripting</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Asynchronous API communication (fetch), dynamic DOM mutation, and quiz evaluation</w:t>
            </w:r>
          </w:p>
        </w:tc>
      </w:tr>
      <w:tr>
        <w:tc>
          <w:tcPr>
            <w:tcW w:type="dxa" w:w="2592"/>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Git</w:t>
            </w:r>
          </w:p>
        </w:tc>
        <w:tc>
          <w:tcPr>
            <w:tcW w:type="dxa" w:w="2448"/>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Version Control</w:t>
            </w:r>
          </w:p>
        </w:tc>
        <w:tc>
          <w:tcPr>
            <w:tcW w:type="dxa" w:w="4320"/>
            <w:vAlign w:val="center"/>
            <w:tcMar>
              <w:top w:w="70" w:type="dxa"/>
              <w:bottom w:w="70" w:type="dxa"/>
              <w:left w:w="120" w:type="dxa"/>
              <w:right w:w="120" w:type="dxa"/>
            </w:tcMar>
            <w:shd w:fill="FFFFFF"/>
          </w:tcPr>
          <w:p>
            <w:pPr>
              <w:spacing w:before="0" w:after="0" w:line="264" w:lineRule="auto"/>
            </w:pPr>
            <w:r>
              <w:rPr>
                <w:rFonts w:ascii="Calibri" w:hAnsi="Calibri"/>
                <w:color w:val="222222"/>
                <w:sz w:val="19"/>
              </w:rPr>
              <w:t>Source code tracking, distributed collaboration, and release versioning</w:t>
            </w:r>
          </w:p>
        </w:tc>
      </w:tr>
      <w:tr>
        <w:tc>
          <w:tcPr>
            <w:tcW w:type="dxa" w:w="2592"/>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Python Virtual Env (venv)</w:t>
            </w:r>
          </w:p>
        </w:tc>
        <w:tc>
          <w:tcPr>
            <w:tcW w:type="dxa" w:w="2448"/>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Package Isolation</w:t>
            </w:r>
          </w:p>
        </w:tc>
        <w:tc>
          <w:tcPr>
            <w:tcW w:type="dxa" w:w="4320"/>
            <w:vAlign w:val="center"/>
            <w:tcMar>
              <w:top w:w="70" w:type="dxa"/>
              <w:bottom w:w="70" w:type="dxa"/>
              <w:left w:w="120" w:type="dxa"/>
              <w:right w:w="120" w:type="dxa"/>
            </w:tcMar>
            <w:shd w:fill="F8F9FA"/>
          </w:tcPr>
          <w:p>
            <w:pPr>
              <w:spacing w:before="0" w:after="0" w:line="264" w:lineRule="auto"/>
            </w:pPr>
            <w:r>
              <w:rPr>
                <w:rFonts w:ascii="Calibri" w:hAnsi="Calibri"/>
                <w:color w:val="222222"/>
                <w:sz w:val="19"/>
              </w:rPr>
              <w:t>Isolated sandboxing of application dependencies to avoid runtime library conflicts</w:t>
            </w:r>
          </w:p>
        </w:tc>
      </w:tr>
    </w:tbl>
    <w:p>
      <w:pPr>
        <w:spacing w:after="80"/>
      </w:pPr>
    </w:p>
    <w:p>
      <w:pPr>
        <w:keepNext/>
        <w:spacing w:before="240" w:after="80"/>
      </w:pPr>
      <w:r>
        <w:rPr>
          <w:rFonts w:ascii="Calibri" w:hAnsi="Calibri"/>
          <w:b/>
          <w:color w:val="2966B2"/>
          <w:sz w:val="24"/>
        </w:rPr>
        <w:t>5.3 Libraries and APIs</w:t>
      </w:r>
    </w:p>
    <w:p>
      <w:pPr>
        <w:spacing w:before="0" w:after="120" w:line="276" w:lineRule="auto"/>
        <w:jc w:val="both"/>
      </w:pPr>
      <w:r>
        <w:rPr>
          <w:rFonts w:ascii="Calibri" w:hAnsi="Calibri"/>
          <w:color w:val="222222"/>
          <w:sz w:val="22"/>
        </w:rPr>
        <w:t>The project relies on a focused set of open-source Python libraries, frameworks, and web APIs: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sz="0" w:space="0" w:color="auto"/>
          <w:right w:val="none" w:sz="0" w:space="0" w:color="auto"/>
          <w:insideH w:val="single" w:sz="4" w:space="0" w:color="D3D3D3"/>
          <w:insideV w:val="none" w:sz="0" w:space="0" w:color="auto"/>
        </w:tblBorders>
      </w:tblPr>
      <w:tblGrid>
        <w:gridCol w:w="2340"/>
        <w:gridCol w:w="2340"/>
        <w:gridCol w:w="2340"/>
        <w:gridCol w:w="2340"/>
      </w:tblGrid>
      <w:tr>
        <w:tc>
          <w:tcPr>
            <w:tcW w:type="dxa" w:w="2160"/>
            <w:vAlign w:val="center"/>
            <w:tcMar>
              <w:top w:w="70" w:type="dxa"/>
              <w:bottom w:w="70" w:type="dxa"/>
              <w:left w:w="100" w:type="dxa"/>
              <w:right w:w="100" w:type="dxa"/>
            </w:tcMar>
            <w:shd w:fill="1B2B4B"/>
          </w:tcPr>
          <w:p>
            <w:pPr>
              <w:spacing w:before="0" w:after="0" w:line="264" w:lineRule="auto"/>
            </w:pPr>
            <w:r>
              <w:rPr>
                <w:rFonts w:ascii="Calibri" w:hAnsi="Calibri"/>
                <w:b/>
                <w:color w:val="FFFFFF"/>
                <w:sz w:val="19"/>
              </w:rPr>
              <w:t>Library / Framework</w:t>
            </w:r>
          </w:p>
        </w:tc>
        <w:tc>
          <w:tcPr>
            <w:tcW w:type="dxa" w:w="1008"/>
            <w:vAlign w:val="center"/>
            <w:tcMar>
              <w:top w:w="70" w:type="dxa"/>
              <w:bottom w:w="70" w:type="dxa"/>
              <w:left w:w="100" w:type="dxa"/>
              <w:right w:w="100" w:type="dxa"/>
            </w:tcMar>
            <w:shd w:fill="1B2B4B"/>
          </w:tcPr>
          <w:p>
            <w:pPr>
              <w:spacing w:before="0" w:after="0" w:line="264" w:lineRule="auto"/>
            </w:pPr>
            <w:r>
              <w:rPr>
                <w:rFonts w:ascii="Calibri" w:hAnsi="Calibri"/>
                <w:b/>
                <w:color w:val="FFFFFF"/>
                <w:sz w:val="19"/>
              </w:rPr>
              <w:t>Version</w:t>
            </w:r>
          </w:p>
        </w:tc>
        <w:tc>
          <w:tcPr>
            <w:tcW w:type="dxa" w:w="2448"/>
            <w:vAlign w:val="center"/>
            <w:tcMar>
              <w:top w:w="70" w:type="dxa"/>
              <w:bottom w:w="70" w:type="dxa"/>
              <w:left w:w="100" w:type="dxa"/>
              <w:right w:w="100" w:type="dxa"/>
            </w:tcMar>
            <w:shd w:fill="1B2B4B"/>
          </w:tcPr>
          <w:p>
            <w:pPr>
              <w:spacing w:before="0" w:after="0" w:line="264" w:lineRule="auto"/>
            </w:pPr>
            <w:r>
              <w:rPr>
                <w:rFonts w:ascii="Calibri" w:hAnsi="Calibri"/>
                <w:b/>
                <w:color w:val="FFFFFF"/>
                <w:sz w:val="19"/>
              </w:rPr>
              <w:t>Primary Purpose</w:t>
            </w:r>
          </w:p>
        </w:tc>
        <w:tc>
          <w:tcPr>
            <w:tcW w:type="dxa" w:w="3744"/>
            <w:vAlign w:val="center"/>
            <w:tcMar>
              <w:top w:w="70" w:type="dxa"/>
              <w:bottom w:w="70" w:type="dxa"/>
              <w:left w:w="100" w:type="dxa"/>
              <w:right w:w="100" w:type="dxa"/>
            </w:tcMar>
            <w:shd w:fill="1B2B4B"/>
          </w:tcPr>
          <w:p>
            <w:pPr>
              <w:spacing w:before="0" w:after="0" w:line="264" w:lineRule="auto"/>
            </w:pPr>
            <w:r>
              <w:rPr>
                <w:rFonts w:ascii="Calibri" w:hAnsi="Calibri"/>
                <w:b/>
                <w:color w:val="FFFFFF"/>
                <w:sz w:val="19"/>
              </w:rPr>
              <w:t>Key Modules / Classes / Functions Utilized</w:t>
            </w:r>
          </w:p>
        </w:tc>
      </w:tr>
      <w:tr>
        <w:tc>
          <w:tcPr>
            <w:tcW w:type="dxa" w:w="2160"/>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Flask</w:t>
            </w:r>
          </w:p>
        </w:tc>
        <w:tc>
          <w:tcPr>
            <w:tcW w:type="dxa" w:w="100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3.0.3</w:t>
            </w:r>
          </w:p>
        </w:tc>
        <w:tc>
          <w:tcPr>
            <w:tcW w:type="dxa" w:w="244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Backend Web Framework</w:t>
            </w:r>
          </w:p>
        </w:tc>
        <w:tc>
          <w:tcPr>
            <w:tcW w:type="dxa" w:w="3744"/>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Flask, request, jsonify, render_template, send_file, session, redirect, url_for, abort, flash</w:t>
            </w:r>
          </w:p>
        </w:tc>
      </w:tr>
      <w:tr>
        <w:tc>
          <w:tcPr>
            <w:tcW w:type="dxa" w:w="2160"/>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Flask-SQLAlchemy</w:t>
            </w:r>
          </w:p>
        </w:tc>
        <w:tc>
          <w:tcPr>
            <w:tcW w:type="dxa" w:w="100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3.1.1</w:t>
            </w:r>
          </w:p>
        </w:tc>
        <w:tc>
          <w:tcPr>
            <w:tcW w:type="dxa" w:w="244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Object Relational Mapping</w:t>
            </w:r>
          </w:p>
        </w:tc>
        <w:tc>
          <w:tcPr>
            <w:tcW w:type="dxa" w:w="3744"/>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SQLAlchemy(), db.Model, db.Column, db.relationship(), db.session.add(), db.session.commit()</w:t>
            </w:r>
          </w:p>
        </w:tc>
      </w:tr>
      <w:tr>
        <w:tc>
          <w:tcPr>
            <w:tcW w:type="dxa" w:w="2160"/>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google-generativeai</w:t>
            </w:r>
          </w:p>
        </w:tc>
        <w:tc>
          <w:tcPr>
            <w:tcW w:type="dxa" w:w="100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0.8.3</w:t>
            </w:r>
          </w:p>
        </w:tc>
        <w:tc>
          <w:tcPr>
            <w:tcW w:type="dxa" w:w="244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Generative AI SDK</w:t>
            </w:r>
          </w:p>
        </w:tc>
        <w:tc>
          <w:tcPr>
            <w:tcW w:type="dxa" w:w="3744"/>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genai.configure(), genai.GenerativeModel(), model.generate_content(), generation_config</w:t>
            </w:r>
          </w:p>
        </w:tc>
      </w:tr>
      <w:tr>
        <w:tc>
          <w:tcPr>
            <w:tcW w:type="dxa" w:w="2160"/>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youtube-transcript-api</w:t>
            </w:r>
          </w:p>
        </w:tc>
        <w:tc>
          <w:tcPr>
            <w:tcW w:type="dxa" w:w="100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0.6.2</w:t>
            </w:r>
          </w:p>
        </w:tc>
        <w:tc>
          <w:tcPr>
            <w:tcW w:type="dxa" w:w="244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Caption Track Extraction</w:t>
            </w:r>
          </w:p>
        </w:tc>
        <w:tc>
          <w:tcPr>
            <w:tcW w:type="dxa" w:w="3744"/>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YouTubeTranscriptApi(), .list(), .find_transcript(), .fetch(), NoTranscriptFound, TranscriptsDisabled</w:t>
            </w:r>
          </w:p>
        </w:tc>
      </w:tr>
      <w:tr>
        <w:tc>
          <w:tcPr>
            <w:tcW w:type="dxa" w:w="2160"/>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reportlab</w:t>
            </w:r>
          </w:p>
        </w:tc>
        <w:tc>
          <w:tcPr>
            <w:tcW w:type="dxa" w:w="100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4.2.5</w:t>
            </w:r>
          </w:p>
        </w:tc>
        <w:tc>
          <w:tcPr>
            <w:tcW w:type="dxa" w:w="244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PDF Compilation</w:t>
            </w:r>
          </w:p>
        </w:tc>
        <w:tc>
          <w:tcPr>
            <w:tcW w:type="dxa" w:w="3744"/>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SimpleDocTemplate, Paragraph, Table, TableStyle, ListFlowable, ListItem, HRFlowable, PageBreak, Spacer</w:t>
            </w:r>
          </w:p>
        </w:tc>
      </w:tr>
      <w:tr>
        <w:tc>
          <w:tcPr>
            <w:tcW w:type="dxa" w:w="2160"/>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requests</w:t>
            </w:r>
          </w:p>
        </w:tc>
        <w:tc>
          <w:tcPr>
            <w:tcW w:type="dxa" w:w="100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2.32.3</w:t>
            </w:r>
          </w:p>
        </w:tc>
        <w:tc>
          <w:tcPr>
            <w:tcW w:type="dxa" w:w="244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HTTP Client Library</w:t>
            </w:r>
          </w:p>
        </w:tc>
        <w:tc>
          <w:tcPr>
            <w:tcW w:type="dxa" w:w="3744"/>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requests.get() with timeout controls to query the YouTube oEmbed REST endpoint</w:t>
            </w:r>
          </w:p>
        </w:tc>
      </w:tr>
      <w:tr>
        <w:tc>
          <w:tcPr>
            <w:tcW w:type="dxa" w:w="2160"/>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python-dotenv</w:t>
            </w:r>
          </w:p>
        </w:tc>
        <w:tc>
          <w:tcPr>
            <w:tcW w:type="dxa" w:w="100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1.0.1</w:t>
            </w:r>
          </w:p>
        </w:tc>
        <w:tc>
          <w:tcPr>
            <w:tcW w:type="dxa" w:w="2448"/>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Configuration Management</w:t>
            </w:r>
          </w:p>
        </w:tc>
        <w:tc>
          <w:tcPr>
            <w:tcW w:type="dxa" w:w="3744"/>
            <w:vAlign w:val="center"/>
            <w:tcMar>
              <w:top w:w="70" w:type="dxa"/>
              <w:bottom w:w="70" w:type="dxa"/>
              <w:left w:w="100" w:type="dxa"/>
              <w:right w:w="100" w:type="dxa"/>
            </w:tcMar>
            <w:shd w:fill="F8F9FA"/>
          </w:tcPr>
          <w:p>
            <w:pPr>
              <w:spacing w:before="0" w:after="0" w:line="264" w:lineRule="auto"/>
            </w:pPr>
            <w:r>
              <w:rPr>
                <w:rFonts w:ascii="Calibri" w:hAnsi="Calibri"/>
                <w:color w:val="222222"/>
                <w:sz w:val="18"/>
              </w:rPr>
              <w:t>load_dotenv() to parse .env files into OS environment variables (GEMINI_API_KEY, DATABASE_URL)</w:t>
            </w:r>
          </w:p>
        </w:tc>
      </w:tr>
      <w:tr>
        <w:tc>
          <w:tcPr>
            <w:tcW w:type="dxa" w:w="2160"/>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Werkzeug</w:t>
            </w:r>
          </w:p>
        </w:tc>
        <w:tc>
          <w:tcPr>
            <w:tcW w:type="dxa" w:w="100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3.0.x</w:t>
            </w:r>
          </w:p>
        </w:tc>
        <w:tc>
          <w:tcPr>
            <w:tcW w:type="dxa" w:w="2448"/>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Security &amp; Cryptography</w:t>
            </w:r>
          </w:p>
        </w:tc>
        <w:tc>
          <w:tcPr>
            <w:tcW w:type="dxa" w:w="3744"/>
            <w:vAlign w:val="center"/>
            <w:tcMar>
              <w:top w:w="70" w:type="dxa"/>
              <w:bottom w:w="70" w:type="dxa"/>
              <w:left w:w="100" w:type="dxa"/>
              <w:right w:w="100" w:type="dxa"/>
            </w:tcMar>
            <w:shd w:fill="FFFFFF"/>
          </w:tcPr>
          <w:p>
            <w:pPr>
              <w:spacing w:before="0" w:after="0" w:line="264" w:lineRule="auto"/>
            </w:pPr>
            <w:r>
              <w:rPr>
                <w:rFonts w:ascii="Calibri" w:hAnsi="Calibri"/>
                <w:color w:val="222222"/>
                <w:sz w:val="18"/>
              </w:rPr>
              <w:t>generate_password_hash(), check_password_hash() for PBKDF2 SHA-256 password security</w:t>
            </w:r>
          </w:p>
        </w:tc>
      </w:tr>
    </w:tbl>
    <w:p>
      <w:pPr>
        <w:spacing w:after="120"/>
      </w:pPr>
    </w:p>
    <w:p>
      <w:pPr>
        <w:spacing w:before="0" w:after="120" w:line="276" w:lineRule="auto"/>
        <w:jc w:val="both"/>
      </w:pPr>
      <w:r>
        <w:rPr>
          <w:rFonts w:ascii="Calibri" w:hAnsi="Calibri"/>
          <w:b/>
          <w:color w:val="222222"/>
          <w:sz w:val="22"/>
        </w:rPr>
        <w:t xml:space="preserve">1. </w:t>
      </w:r>
      <w:r>
        <w:rPr>
          <w:rFonts w:ascii="Calibri" w:hAnsi="Calibri"/>
          <w:color w:val="222222"/>
          <w:sz w:val="22"/>
        </w:rPr>
        <w:t xml:space="preserve">Google Gemini Generative AI API (gemini-1.5-flash): </w:t>
      </w:r>
    </w:p>
    <w:p>
      <w:pPr>
        <w:pStyle w:val="ListBullet"/>
        <w:spacing w:before="0" w:after="80" w:line="276" w:lineRule="auto"/>
        <w:jc w:val="both"/>
      </w:pPr>
      <w:r>
        <w:rPr>
          <w:rFonts w:ascii="Calibri" w:hAnsi="Calibri"/>
          <w:color w:val="222222"/>
          <w:sz w:val="22"/>
        </w:rPr>
        <w:t>Purpose: Performs semantic comprehension of the video transcript to generate summaries, key points, glossaries, flashcards, and multiple-choice quizzes.</w:t>
      </w:r>
    </w:p>
    <w:p>
      <w:pPr>
        <w:pStyle w:val="ListBullet"/>
        <w:spacing w:before="0" w:after="80" w:line="276" w:lineRule="auto"/>
        <w:jc w:val="both"/>
      </w:pPr>
      <w:r>
        <w:rPr>
          <w:rFonts w:ascii="Calibri" w:hAnsi="Calibri"/>
          <w:color w:val="222222"/>
          <w:sz w:val="22"/>
        </w:rPr>
        <w:t>Authentication: Secure API Key transmitted via client configuration (GEMINI_API_KEY) initialized at runtime.</w:t>
      </w:r>
    </w:p>
    <w:p>
      <w:pPr>
        <w:pStyle w:val="ListBullet"/>
        <w:spacing w:before="0" w:after="80" w:line="276" w:lineRule="auto"/>
        <w:jc w:val="both"/>
      </w:pPr>
      <w:r>
        <w:rPr>
          <w:rFonts w:ascii="Calibri" w:hAnsi="Calibri"/>
          <w:color w:val="222222"/>
          <w:sz w:val="22"/>
        </w:rPr>
        <w:t>Request Structure: System-level prompt template embedding the video title and character-bounded transcript text (up to 45,000 characters), combined with generation_config={'temperature': 0.4, 'response_mime_type': 'application/json'}.</w:t>
      </w:r>
    </w:p>
    <w:p>
      <w:pPr>
        <w:pStyle w:val="ListBullet"/>
        <w:spacing w:before="0" w:after="80" w:line="276" w:lineRule="auto"/>
        <w:jc w:val="both"/>
      </w:pPr>
      <w:r>
        <w:rPr>
          <w:rFonts w:ascii="Calibri" w:hAnsi="Calibri"/>
          <w:color w:val="222222"/>
          <w:sz w:val="22"/>
        </w:rPr>
        <w:t>Response Structure: Strict JSON object containing keys: summary (string), key_points (array of strings), glossary (array of {term, definition} objects), quiz (array of {question, options, correct_index, explanation} objects), and flashcards (array of {front, back} objects).</w:t>
      </w:r>
    </w:p>
    <w:p>
      <w:pPr>
        <w:pStyle w:val="ListBullet"/>
        <w:spacing w:before="0" w:after="80" w:line="276" w:lineRule="auto"/>
        <w:jc w:val="both"/>
      </w:pPr>
      <w:r>
        <w:rPr>
          <w:rFonts w:ascii="Calibri" w:hAnsi="Calibri"/>
          <w:color w:val="222222"/>
          <w:sz w:val="22"/>
        </w:rPr>
        <w:t>Application Integration: Cleaned by regex fallback, validated for required fields, committed to the database, rendered dynamically on /result/&lt;id&gt;, and compiled into PDF.</w:t>
      </w:r>
    </w:p>
    <w:p>
      <w:pPr>
        <w:spacing w:before="0" w:after="120" w:line="276" w:lineRule="auto"/>
        <w:jc w:val="both"/>
      </w:pPr>
      <w:r>
        <w:rPr>
          <w:rFonts w:ascii="Calibri" w:hAnsi="Calibri"/>
          <w:b/>
          <w:color w:val="222222"/>
          <w:sz w:val="22"/>
        </w:rPr>
        <w:t xml:space="preserve">2. </w:t>
      </w:r>
      <w:r>
        <w:rPr>
          <w:rFonts w:ascii="Calibri" w:hAnsi="Calibri"/>
          <w:color w:val="222222"/>
          <w:sz w:val="22"/>
        </w:rPr>
        <w:t xml:space="preserve">YouTube Public oEmbed API (https://www.youtube.com/oembed): </w:t>
      </w:r>
    </w:p>
    <w:p>
      <w:pPr>
        <w:pStyle w:val="ListBullet"/>
        <w:spacing w:before="0" w:after="80" w:line="276" w:lineRule="auto"/>
        <w:jc w:val="both"/>
      </w:pPr>
      <w:r>
        <w:rPr>
          <w:rFonts w:ascii="Calibri" w:hAnsi="Calibri"/>
          <w:color w:val="222222"/>
          <w:sz w:val="22"/>
        </w:rPr>
        <w:t>Purpose: Retrieves public video metadata without requiring developer quota or a YouTube Data API v3 registration key.</w:t>
      </w:r>
    </w:p>
    <w:p>
      <w:pPr>
        <w:pStyle w:val="ListBullet"/>
        <w:spacing w:before="0" w:after="80" w:line="276" w:lineRule="auto"/>
        <w:jc w:val="both"/>
      </w:pPr>
      <w:r>
        <w:rPr>
          <w:rFonts w:ascii="Calibri" w:hAnsi="Calibri"/>
          <w:color w:val="222222"/>
          <w:sz w:val="22"/>
        </w:rPr>
        <w:t>Authentication: None required (open public HTTP GET endpoint).</w:t>
      </w:r>
    </w:p>
    <w:p>
      <w:pPr>
        <w:pStyle w:val="ListBullet"/>
        <w:spacing w:before="0" w:after="80" w:line="276" w:lineRule="auto"/>
        <w:jc w:val="both"/>
      </w:pPr>
      <w:r>
        <w:rPr>
          <w:rFonts w:ascii="Calibri" w:hAnsi="Calibri"/>
          <w:color w:val="222222"/>
          <w:sz w:val="22"/>
        </w:rPr>
        <w:t>Request Structure: HTTP GET request with query parameter: ?url=https://www.youtube.com/watch?v={video_id}&amp;format=json.</w:t>
      </w:r>
    </w:p>
    <w:p>
      <w:pPr>
        <w:pStyle w:val="ListBullet"/>
        <w:spacing w:before="0" w:after="80" w:line="276" w:lineRule="auto"/>
        <w:jc w:val="both"/>
      </w:pPr>
      <w:r>
        <w:rPr>
          <w:rFonts w:ascii="Calibri" w:hAnsi="Calibri"/>
          <w:color w:val="222222"/>
          <w:sz w:val="22"/>
        </w:rPr>
        <w:t>Response Structure: JSON response containing title, author_name, and thumbnail_url.</w:t>
      </w:r>
    </w:p>
    <w:p>
      <w:pPr>
        <w:pStyle w:val="ListBullet"/>
        <w:spacing w:before="0" w:after="80" w:line="276" w:lineRule="auto"/>
        <w:jc w:val="both"/>
      </w:pPr>
      <w:r>
        <w:rPr>
          <w:rFonts w:ascii="Calibri" w:hAnsi="Calibri"/>
          <w:color w:val="222222"/>
          <w:sz w:val="22"/>
        </w:rPr>
        <w:t>Application Integration: Populates video metadata attributes in the video_analyses database table, displays cards in the dashboard, and formats document headers in generated PDFs.</w:t>
      </w:r>
    </w:p>
    <w:p>
      <w:pPr>
        <w:keepNext/>
        <w:spacing w:before="320" w:after="120"/>
      </w:pPr>
      <w:r>
        <w:rPr>
          <w:rFonts w:ascii="Calibri" w:hAnsi="Calibri"/>
          <w:b/>
          <w:color w:val="1B2B4B"/>
          <w:sz w:val="28"/>
        </w:rPr>
        <w:t>6. Project Workflow</w:t>
      </w:r>
    </w:p>
    <w:p>
      <w:pPr>
        <w:spacing w:before="0" w:after="120" w:line="276" w:lineRule="auto"/>
        <w:jc w:val="both"/>
      </w:pPr>
      <w:r>
        <w:rPr>
          <w:rFonts w:ascii="Calibri" w:hAnsi="Calibri"/>
          <w:color w:val="222222"/>
          <w:sz w:val="22"/>
        </w:rPr>
        <w:t>The end-to-end processing pipeline operates in the following sequential stages:</w:t>
      </w:r>
    </w:p>
    <w:p>
      <w:pPr>
        <w:spacing w:before="0" w:after="80" w:line="276" w:lineRule="auto"/>
        <w:ind w:left="432" w:hanging="432"/>
        <w:jc w:val="both"/>
      </w:pPr>
      <w:r>
        <w:rPr>
          <w:rFonts w:ascii="Calibri" w:hAnsi="Calibri"/>
          <w:b/>
          <w:color w:val="1B2B4B"/>
          <w:sz w:val="22"/>
        </w:rPr>
        <w:t xml:space="preserve">1. </w:t>
      </w:r>
      <w:r>
        <w:rPr>
          <w:rFonts w:ascii="Calibri" w:hAnsi="Calibri"/>
          <w:b/>
          <w:color w:val="222222"/>
          <w:sz w:val="22"/>
        </w:rPr>
        <w:t xml:space="preserve">User Authentication &amp; URL Submission: </w:t>
      </w:r>
      <w:r>
        <w:rPr>
          <w:rFonts w:ascii="Calibri" w:hAnsi="Calibri"/>
          <w:color w:val="222222"/>
          <w:sz w:val="22"/>
        </w:rPr>
        <w:t>The authenticated user inputs a YouTube video URL into the dashboard interface; asynchronous client-side JavaScript captures the submission and initiates an HTTP POST request to /api/analyze.</w:t>
      </w:r>
    </w:p>
    <w:p>
      <w:pPr>
        <w:spacing w:before="0" w:after="80" w:line="276" w:lineRule="auto"/>
        <w:ind w:left="432" w:hanging="432"/>
        <w:jc w:val="both"/>
      </w:pPr>
      <w:r>
        <w:rPr>
          <w:rFonts w:ascii="Calibri" w:hAnsi="Calibri"/>
          <w:b/>
          <w:color w:val="1B2B4B"/>
          <w:sz w:val="22"/>
        </w:rPr>
        <w:t xml:space="preserve">2. </w:t>
      </w:r>
      <w:r>
        <w:rPr>
          <w:rFonts w:ascii="Calibri" w:hAnsi="Calibri"/>
          <w:b/>
          <w:color w:val="222222"/>
          <w:sz w:val="22"/>
        </w:rPr>
        <w:t xml:space="preserve">URL Validation &amp; Video Identification: </w:t>
      </w:r>
      <w:r>
        <w:rPr>
          <w:rFonts w:ascii="Calibri" w:hAnsi="Calibri"/>
          <w:color w:val="222222"/>
          <w:sz w:val="22"/>
        </w:rPr>
        <w:t>The server executes regular expression patterns to extract the canonical 11-character YouTube video identifier from standard, shortened, or embed URLs.</w:t>
      </w:r>
    </w:p>
    <w:p>
      <w:pPr>
        <w:spacing w:before="0" w:after="80" w:line="276" w:lineRule="auto"/>
        <w:ind w:left="432" w:hanging="432"/>
        <w:jc w:val="both"/>
      </w:pPr>
      <w:r>
        <w:rPr>
          <w:rFonts w:ascii="Calibri" w:hAnsi="Calibri"/>
          <w:b/>
          <w:color w:val="1B2B4B"/>
          <w:sz w:val="22"/>
        </w:rPr>
        <w:t xml:space="preserve">3. </w:t>
      </w:r>
      <w:r>
        <w:rPr>
          <w:rFonts w:ascii="Calibri" w:hAnsi="Calibri"/>
          <w:b/>
          <w:color w:val="222222"/>
          <w:sz w:val="22"/>
        </w:rPr>
        <w:t xml:space="preserve">Metadata &amp; Transcript Ingestion: </w:t>
      </w:r>
      <w:r>
        <w:rPr>
          <w:rFonts w:ascii="Calibri" w:hAnsi="Calibri"/>
          <w:color w:val="222222"/>
          <w:sz w:val="22"/>
        </w:rPr>
        <w:t>The backend concurrently queries YouTube's public oEmbed endpoint for the video title, creator channel, and thumbnail URL, while utilizing youtube-transcript-api to search for and download prioritized English or native caption tracks.</w:t>
      </w:r>
    </w:p>
    <w:p>
      <w:pPr>
        <w:spacing w:before="0" w:after="80" w:line="276" w:lineRule="auto"/>
        <w:ind w:left="432" w:hanging="432"/>
        <w:jc w:val="both"/>
      </w:pPr>
      <w:r>
        <w:rPr>
          <w:rFonts w:ascii="Calibri" w:hAnsi="Calibri"/>
          <w:b/>
          <w:color w:val="1B2B4B"/>
          <w:sz w:val="22"/>
        </w:rPr>
        <w:t xml:space="preserve">4. </w:t>
      </w:r>
      <w:r>
        <w:rPr>
          <w:rFonts w:ascii="Calibri" w:hAnsi="Calibri"/>
          <w:b/>
          <w:color w:val="222222"/>
          <w:sz w:val="22"/>
        </w:rPr>
        <w:t xml:space="preserve">Transcript Normalization &amp; Windowing: </w:t>
      </w:r>
      <w:r>
        <w:rPr>
          <w:rFonts w:ascii="Calibri" w:hAnsi="Calibri"/>
          <w:color w:val="222222"/>
          <w:sz w:val="22"/>
        </w:rPr>
        <w:t>The raw transcript segments are concatenated into a sanitized text body and bounded to a maximum of 45,000 characters to prevent context-window overflow and maintain operational latency.</w:t>
      </w:r>
    </w:p>
    <w:p>
      <w:pPr>
        <w:spacing w:before="0" w:after="80" w:line="276" w:lineRule="auto"/>
        <w:ind w:left="432" w:hanging="432"/>
        <w:jc w:val="both"/>
      </w:pPr>
      <w:r>
        <w:rPr>
          <w:rFonts w:ascii="Calibri" w:hAnsi="Calibri"/>
          <w:b/>
          <w:color w:val="1B2B4B"/>
          <w:sz w:val="22"/>
        </w:rPr>
        <w:t xml:space="preserve">5. </w:t>
      </w:r>
      <w:r>
        <w:rPr>
          <w:rFonts w:ascii="Calibri" w:hAnsi="Calibri"/>
          <w:b/>
          <w:color w:val="222222"/>
          <w:sz w:val="22"/>
        </w:rPr>
        <w:t xml:space="preserve">Prompt Construction &amp; LLM Inference: </w:t>
      </w:r>
      <w:r>
        <w:rPr>
          <w:rFonts w:ascii="Calibri" w:hAnsi="Calibri"/>
          <w:color w:val="222222"/>
          <w:sz w:val="22"/>
        </w:rPr>
        <w:t>The system injects the sanitized transcript into a pedagogical prompt template and invokes the Google Gemini API (gemini-1.5-flash) under constrained JSON output parameters with temperature set to 0.4.</w:t>
      </w:r>
    </w:p>
    <w:p>
      <w:pPr>
        <w:spacing w:before="0" w:after="80" w:line="276" w:lineRule="auto"/>
        <w:ind w:left="432" w:hanging="432"/>
        <w:jc w:val="both"/>
      </w:pPr>
      <w:r>
        <w:rPr>
          <w:rFonts w:ascii="Calibri" w:hAnsi="Calibri"/>
          <w:b/>
          <w:color w:val="1B2B4B"/>
          <w:sz w:val="22"/>
        </w:rPr>
        <w:t xml:space="preserve">6. </w:t>
      </w:r>
      <w:r>
        <w:rPr>
          <w:rFonts w:ascii="Calibri" w:hAnsi="Calibri"/>
          <w:b/>
          <w:color w:val="222222"/>
          <w:sz w:val="22"/>
        </w:rPr>
        <w:t xml:space="preserve">Output Parsing &amp; Database Persistence: </w:t>
      </w:r>
      <w:r>
        <w:rPr>
          <w:rFonts w:ascii="Calibri" w:hAnsi="Calibri"/>
          <w:color w:val="222222"/>
          <w:sz w:val="22"/>
        </w:rPr>
        <w:t>The resulting JSON payload is extracted, sanitized against markdown wrappers, validated against the structural schema, and persisted into the video_analyses relational database table linked to the current user.</w:t>
      </w:r>
    </w:p>
    <w:p>
      <w:pPr>
        <w:spacing w:before="0" w:after="80" w:line="276" w:lineRule="auto"/>
        <w:ind w:left="432" w:hanging="432"/>
        <w:jc w:val="both"/>
      </w:pPr>
      <w:r>
        <w:rPr>
          <w:rFonts w:ascii="Calibri" w:hAnsi="Calibri"/>
          <w:b/>
          <w:color w:val="1B2B4B"/>
          <w:sz w:val="22"/>
        </w:rPr>
        <w:t xml:space="preserve">7. </w:t>
      </w:r>
      <w:r>
        <w:rPr>
          <w:rFonts w:ascii="Calibri" w:hAnsi="Calibri"/>
          <w:b/>
          <w:color w:val="222222"/>
          <w:sz w:val="22"/>
        </w:rPr>
        <w:t xml:space="preserve">Interactive Client Presentation: </w:t>
      </w:r>
      <w:r>
        <w:rPr>
          <w:rFonts w:ascii="Calibri" w:hAnsi="Calibri"/>
          <w:color w:val="222222"/>
          <w:sz w:val="22"/>
        </w:rPr>
        <w:t>The browser redirects to /result/&lt;analysis_id&gt;, where Jinja2 and Bootstrap render interactive tabs allowing learners to inspect the summary, review key points, study technical terms, flip flashcards, and complete interactive practice quizzes with instant grading.</w:t>
      </w:r>
    </w:p>
    <w:p>
      <w:pPr>
        <w:spacing w:before="0" w:after="80" w:line="276" w:lineRule="auto"/>
        <w:ind w:left="432" w:hanging="432"/>
        <w:jc w:val="both"/>
      </w:pPr>
      <w:r>
        <w:rPr>
          <w:rFonts w:ascii="Calibri" w:hAnsi="Calibri"/>
          <w:b/>
          <w:color w:val="1B2B4B"/>
          <w:sz w:val="22"/>
        </w:rPr>
        <w:t xml:space="preserve">8. </w:t>
      </w:r>
      <w:r>
        <w:rPr>
          <w:rFonts w:ascii="Calibri" w:hAnsi="Calibri"/>
          <w:b/>
          <w:color w:val="222222"/>
          <w:sz w:val="22"/>
        </w:rPr>
        <w:t xml:space="preserve">Automated PDF Compilation: </w:t>
      </w:r>
      <w:r>
        <w:rPr>
          <w:rFonts w:ascii="Calibri" w:hAnsi="Calibri"/>
          <w:color w:val="222222"/>
          <w:sz w:val="22"/>
        </w:rPr>
        <w:t>When the user clicks 'Download PDF', the server executes the ReportLab pipeline, constructing a publication-quality study guide document that is streamed directly to the client as an attachment.</w:t>
      </w:r>
    </w:p>
    <w:p>
      <w:pPr>
        <w:keepNext/>
        <w:spacing w:before="320" w:after="120"/>
      </w:pPr>
      <w:r>
        <w:rPr>
          <w:rFonts w:ascii="Calibri" w:hAnsi="Calibri"/>
          <w:b/>
          <w:color w:val="1B2B4B"/>
          <w:sz w:val="28"/>
        </w:rPr>
        <w:t>7. References</w:t>
      </w:r>
    </w:p>
    <w:p>
      <w:pPr>
        <w:spacing w:before="0" w:after="80" w:line="276" w:lineRule="auto"/>
        <w:ind w:left="576" w:hanging="576"/>
        <w:jc w:val="both"/>
      </w:pPr>
      <w:r>
        <w:rPr>
          <w:rFonts w:ascii="Calibri" w:hAnsi="Calibri"/>
          <w:color w:val="222222"/>
          <w:sz w:val="20"/>
        </w:rPr>
        <w:t>[1] A. Vaswani, N. Shazeer, N. Parmar, J. Uszkoreit, L. Jones, A. N. Gomez, Ł. Kaiser, and I. Polosukhin, "Attention is all you need," in Advances in Neural Information Processing Systems (NeurIPS 2017), Long Beach, CA, USA, vol. 30, pp. 5998–6008, 2017.</w:t>
      </w:r>
    </w:p>
    <w:p>
      <w:pPr>
        <w:spacing w:before="0" w:after="80" w:line="276" w:lineRule="auto"/>
        <w:ind w:left="576" w:hanging="576"/>
        <w:jc w:val="both"/>
      </w:pPr>
      <w:r>
        <w:rPr>
          <w:rFonts w:ascii="Calibri" w:hAnsi="Calibri"/>
          <w:color w:val="222222"/>
          <w:sz w:val="20"/>
        </w:rPr>
        <w:t>[2] M. Lewis, Y. Liu, N. Goyal, M. Ghazvininejad, A. Mohamed, O. Levy, V. Stoyanov, and L. Zettlemoyer, "BART: Denoising sequence-to-sequence pre-training for natural language generation, translation, and comprehension," in Proc. 58th Annu. Meeting of the Assoc. for Computational Linguistics (ACL 2020), pp. 7871–7880, 2020.</w:t>
      </w:r>
    </w:p>
    <w:p>
      <w:pPr>
        <w:spacing w:before="0" w:after="80" w:line="276" w:lineRule="auto"/>
        <w:ind w:left="576" w:hanging="576"/>
        <w:jc w:val="both"/>
      </w:pPr>
      <w:r>
        <w:rPr>
          <w:rFonts w:ascii="Calibri" w:hAnsi="Calibri"/>
          <w:color w:val="222222"/>
          <w:sz w:val="20"/>
        </w:rPr>
        <w:t>[3] X. Du, J. Shao, and C. Cardie, "Learning to ask: Neural question generation for reading comprehension," in Proc. 55th Annu. Meeting of the Assoc. for Computational Linguistics (ACL 2017), Vancouver, Canada, vol. 1, pp. 1342–1352, 2017.</w:t>
      </w:r>
    </w:p>
    <w:p>
      <w:pPr>
        <w:spacing w:before="0" w:after="80" w:line="276" w:lineRule="auto"/>
        <w:ind w:left="576" w:hanging="576"/>
        <w:jc w:val="both"/>
      </w:pPr>
      <w:r>
        <w:rPr>
          <w:rFonts w:ascii="Calibri" w:hAnsi="Calibri"/>
          <w:color w:val="222222"/>
          <w:sz w:val="20"/>
        </w:rPr>
        <w:t>[4] T. Brown, B. Mann, N. Ryder, M. Subbiah, J. D. Kaplan, P. Dhariwal, A. Neelakantan, P. Shyam, G. Sastry, A. Askell, et al., "Language models are few-shot learners," in Advances in Neural Information Processing Systems (NeurIPS 2020), vol. 33, pp. 1877–1901, 2020.</w:t>
      </w:r>
    </w:p>
    <w:p>
      <w:pPr>
        <w:spacing w:before="0" w:after="80" w:line="276" w:lineRule="auto"/>
        <w:ind w:left="576" w:hanging="576"/>
        <w:jc w:val="both"/>
      </w:pPr>
      <w:r>
        <w:rPr>
          <w:rFonts w:ascii="Calibri" w:hAnsi="Calibri"/>
          <w:color w:val="222222"/>
          <w:sz w:val="20"/>
        </w:rPr>
        <w:t>[5] Gemini Team, Google, "Gemini: A family of highly capable multimodal models," arXiv preprint arXiv:2312.11805, Dec. 2023.</w:t>
      </w:r>
    </w:p>
    <w:p>
      <w:pPr>
        <w:spacing w:before="0" w:after="80" w:line="276" w:lineRule="auto"/>
        <w:ind w:left="576" w:hanging="576"/>
        <w:jc w:val="both"/>
      </w:pPr>
      <w:r>
        <w:rPr>
          <w:rFonts w:ascii="Calibri" w:hAnsi="Calibri"/>
          <w:color w:val="222222"/>
          <w:sz w:val="20"/>
        </w:rPr>
        <w:t>[6] J. Devlin, M.-W. Chang, K. Lee, and K. Toutanova, "BERT: Pre-training of deep bidirectional transformers for language understanding," in Proc. Conf. North American Chapter of the Assoc. for Computational Linguistics: Human Language Technologies (NAACL-HLT 2019), Minneapolis, MN, USA, pp. 4171–4186, 2019.</w:t>
      </w:r>
    </w:p>
    <w:p>
      <w:pPr>
        <w:spacing w:before="0" w:after="80" w:line="276" w:lineRule="auto"/>
        <w:ind w:left="576" w:hanging="576"/>
        <w:jc w:val="both"/>
      </w:pPr>
      <w:r>
        <w:rPr>
          <w:rFonts w:ascii="Calibri" w:hAnsi="Calibri"/>
          <w:color w:val="222222"/>
          <w:sz w:val="20"/>
        </w:rPr>
        <w:t>[7] A. Nenkova and K. McKeown, "Automatic summarization," Foundations and Trends in Information Retrieval, vol. 5, no. 2–3, pp. 103–233, 2011.</w:t>
      </w:r>
    </w:p>
    <w:p>
      <w:pPr>
        <w:spacing w:before="0" w:after="80" w:line="276" w:lineRule="auto"/>
        <w:ind w:left="576" w:hanging="576"/>
        <w:jc w:val="both"/>
      </w:pPr>
      <w:r>
        <w:rPr>
          <w:rFonts w:ascii="Calibri" w:hAnsi="Calibri"/>
          <w:color w:val="222222"/>
          <w:sz w:val="20"/>
        </w:rPr>
        <w:t>[8] S. S. Kurdi, J. Leo, and B. Parsia, "A systematic review of automatic question generation for educational purposes," International Journal of Artificial Intelligence in Education, vol. 30, no. 1, pp. 121–204, 2020.</w:t>
      </w:r>
    </w:p>
    <w:p>
      <w:pPr>
        <w:spacing w:before="0" w:after="80" w:line="276" w:lineRule="auto"/>
        <w:ind w:left="576" w:hanging="576"/>
        <w:jc w:val="both"/>
      </w:pPr>
      <w:r>
        <w:rPr>
          <w:rFonts w:ascii="Calibri" w:hAnsi="Calibri"/>
          <w:color w:val="222222"/>
          <w:sz w:val="20"/>
        </w:rPr>
        <w:t>[9] R. E. Mayer, Multimedia Learning, 3rd ed. Cambridge, UK: Cambridge University Press, 2021.</w:t>
      </w:r>
    </w:p>
    <w:p>
      <w:pPr>
        <w:spacing w:before="0" w:after="80" w:line="276" w:lineRule="auto"/>
        <w:ind w:left="576" w:hanging="576"/>
        <w:jc w:val="both"/>
      </w:pPr>
      <w:r>
        <w:rPr>
          <w:rFonts w:ascii="Calibri" w:hAnsi="Calibri"/>
          <w:color w:val="222222"/>
          <w:sz w:val="20"/>
        </w:rPr>
        <w:t>[10] Pallets Projects, "Flask Documentation (Version 3.0.x)," Pallets Projects, 2024. [Online]. Available: https://flask.palletsprojects.com/</w:t>
      </w:r>
    </w:p>
    <w:p>
      <w:pPr>
        <w:spacing w:before="0" w:after="80" w:line="276" w:lineRule="auto"/>
        <w:ind w:left="576" w:hanging="576"/>
        <w:jc w:val="both"/>
      </w:pPr>
      <w:r>
        <w:rPr>
          <w:rFonts w:ascii="Calibri" w:hAnsi="Calibri"/>
          <w:color w:val="222222"/>
          <w:sz w:val="20"/>
        </w:rPr>
        <w:t>[11] M. Bayer, "SQLAlchemy: The Database Toolkit for Python," SQLAlchemy Project, 2024. [Online]. Available: https://www.sqlalchemy.org/</w:t>
      </w:r>
    </w:p>
    <w:p>
      <w:pPr>
        <w:spacing w:before="0" w:after="80" w:line="276" w:lineRule="auto"/>
        <w:ind w:left="576" w:hanging="576"/>
        <w:jc w:val="both"/>
      </w:pPr>
      <w:r>
        <w:rPr>
          <w:rFonts w:ascii="Calibri" w:hAnsi="Calibri"/>
          <w:color w:val="222222"/>
          <w:sz w:val="20"/>
        </w:rPr>
        <w:t>[12] Google Cloud, "Google Generative AI Python SDK Documentation," Google LLC, 2024. [Online]. Available: https://ai.google.dev/gemini-api/docs</w:t>
      </w:r>
    </w:p>
    <w:p>
      <w:pPr>
        <w:spacing w:before="0" w:after="80" w:line="276" w:lineRule="auto"/>
        <w:ind w:left="576" w:hanging="576"/>
        <w:jc w:val="both"/>
      </w:pPr>
      <w:r>
        <w:rPr>
          <w:rFonts w:ascii="Calibri" w:hAnsi="Calibri"/>
          <w:color w:val="222222"/>
          <w:sz w:val="20"/>
        </w:rPr>
        <w:t>[13] J. Depoix, "YouTube Transcript API Documentation (Version 0.6.x)," 2024. [Online]. Available: https://github.com/jdepoix/youtube-transcript-api</w:t>
      </w:r>
    </w:p>
    <w:p>
      <w:pPr>
        <w:spacing w:before="0" w:after="80" w:line="276" w:lineRule="auto"/>
        <w:ind w:left="576" w:hanging="576"/>
        <w:jc w:val="both"/>
      </w:pPr>
      <w:r>
        <w:rPr>
          <w:rFonts w:ascii="Calibri" w:hAnsi="Calibri"/>
          <w:color w:val="222222"/>
          <w:sz w:val="20"/>
        </w:rPr>
        <w:t>[14] ReportLab Europe Ltd., "ReportLab PDF Generation User Guide," ReportLab Open Source Documentation, 2024. [Online]. Available: https://www.reportlab.com/documentation/</w:t>
      </w:r>
    </w:p>
    <w:p>
      <w:pPr>
        <w:spacing w:before="0" w:after="80" w:line="276" w:lineRule="auto"/>
        <w:ind w:left="576" w:hanging="576"/>
        <w:jc w:val="both"/>
      </w:pPr>
      <w:r>
        <w:rPr>
          <w:rFonts w:ascii="Calibri" w:hAnsi="Calibri"/>
          <w:color w:val="222222"/>
          <w:sz w:val="20"/>
        </w:rPr>
        <w:t>[15] World Wide Web Consortium (W3C), "HTML5: A Vocabulary and Associated APIs for HTML and XHTML," W3C Recommendation, 2021. [Online]. Available: https://www.w3.org/TR/html52/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AI Learning Companion • Academic Synopsis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MSc Information Technology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