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4"/>
        </w:rPr>
        <w:t>ACADEMIC PROJECT SYNOPSIS</w:t>
        <w:br/>
      </w:r>
      <w:r>
        <w:rPr>
          <w:color w:val="4A5568"/>
          <w:sz w:val="21"/>
        </w:rPr>
        <w:t>Master of Science in Information Technology / Computer Science</w:t>
        <w:br/>
      </w:r>
    </w:p>
    <w:p>
      <w:pPr>
        <w:spacing w:after="280"/>
        <w:jc w:val="center"/>
      </w:pPr>
      <w:r>
        <w:rPr>
          <w:b/>
          <w:color w:val="0F294A"/>
          <w:sz w:val="32"/>
        </w:rPr>
        <w:t>Ollama Learning Companion: An AI-Based YouTube Video Learning and Study Material Generation System</w:t>
      </w:r>
    </w:p>
    <w:tbl>
      <w:tblPr>
        <w:tblW w:type="auto" w:w="0"/>
        <w:jc w:val="center"/>
        <w:tblLook w:firstColumn="1" w:firstRow="1" w:lastColumn="0" w:lastRow="0" w:noHBand="0" w:noVBand="1" w:val="04A0"/>
      </w:tblPr>
      <w:tblGrid>
        <w:gridCol w:w="9360"/>
      </w:tblGrid>
      <w:tr>
        <w:tc>
          <w:tcPr>
            <w:tcW w:type="dxa" w:w="9360"/>
            <w:shd w:fill="0F294A"/>
            <w:tcMar>
              <w:top w:w="20" w:type="dxa"/>
              <w:bottom w:w="20" w:type="dxa"/>
              <w:left w:w="0" w:type="dxa"/>
              <w:right w:w="0" w:type="dxa"/>
            </w:tcMar>
          </w:tcPr>
          <w:p>
            <w:pPr>
              <w:spacing w:after="0"/>
            </w:pPr>
          </w:p>
        </w:tc>
      </w:tr>
    </w:tbl>
    <w:p>
      <w:pPr>
        <w:spacing w:after="160"/>
      </w:pPr>
    </w:p>
    <w:p>
      <w:pPr>
        <w:keepNext/>
        <w:spacing w:before="280" w:after="80"/>
      </w:pPr>
      <w:r>
        <w:rPr>
          <w:b/>
          <w:color w:val="0F294A"/>
          <w:sz w:val="26"/>
        </w:rPr>
        <w:t>1. Introduction</w:t>
      </w:r>
    </w:p>
    <w:p>
      <w:pPr>
        <w:spacing w:line="276" w:lineRule="auto" w:after="120"/>
      </w:pPr>
      <w:r>
        <w:t>In contemporary higher and professional education, asynchronous video-based learning through digital platforms such as YouTube has emerged as a predominant paradigm for knowledge acquisition and remote self-study. Despite the vast pedagogical wealth available in online video repositories, learners frequently experience cognitive overload when attempting to navigate, assimilate, and retain information from extensive, unsegmented lecture recordings. Effective study strategies necessitate structured artifacts—including executive summaries, conceptual key takeaways, domain-specific glossaries, active recall flashcards, and formative assessment quizzes—to consolidate long-term memory. However, the manual extraction and synthesis of these learning resources from dense auditory streams is highly labor-intensive, often impeding student productivity and learning outcomes. Recent breakthroughs in Natural Language Processing and transformer-based Large Language Models (LLMs) provide sophisticated capabilities for zero-shot text summarization, semantic entity extraction, and structured pedagogical question generation. Modern local AI platforms, exemplified by the Ollama runtime, empower the efficient execution of quantized state-of-the-art open-weights models such as Meta Llama 3.1 on consumer hardware through hardware-accelerated local inference. Existing automated study aids predominantly rely on proprietary cloud-hosted language model APIs that expose user transcripts to third-party data collection, demand constant network availability, and impose recurrent financial expenses. To address these limitations, the Ollama Learning Companion is presented as a secure, local-first web application that extracts YouTube video transcripts and orchestrates local LLM inference via the Ollama HTTP API to generate standardized, high-yield study packages and exportable ReportLab PDF guides without compromising data privacy.</w:t>
      </w:r>
    </w:p>
    <w:p>
      <w:pPr>
        <w:keepNext/>
        <w:spacing w:before="280" w:after="80"/>
      </w:pPr>
      <w:r>
        <w:rPr>
          <w:b/>
          <w:color w:val="0F294A"/>
          <w:sz w:val="26"/>
        </w:rPr>
        <w:t>2. Literature Review</w:t>
      </w:r>
    </w:p>
    <w:p>
      <w:pPr>
        <w:pStyle w:val="ListBullet"/>
        <w:spacing w:line="276" w:lineRule="auto" w:after="80"/>
      </w:pPr>
      <w:r>
        <w:rPr>
          <w:b/>
          <w:color w:val="1A365D"/>
        </w:rPr>
        <w:t>Vaswani et al. [1]</w:t>
      </w:r>
      <w:r>
        <w:t xml:space="preserve"> introduced the Transformer neural network architecture utilizing multi-head self-attention mechanisms, establishing the foundational computational paradigm that underpins modern autoregressive Large Language Models used in natural language understanding and generation.</w:t>
      </w:r>
    </w:p>
    <w:p>
      <w:pPr>
        <w:pStyle w:val="ListBullet"/>
        <w:spacing w:line="276" w:lineRule="auto" w:after="80"/>
      </w:pPr>
      <w:r>
        <w:rPr>
          <w:b/>
          <w:color w:val="1A365D"/>
        </w:rPr>
        <w:t>Dubey et al. [2]</w:t>
      </w:r>
      <w:r>
        <w:t xml:space="preserve"> developed the Meta Llama 3 herd of open-weights multilingual foundation models, demonstrating that dense 8-billion parameter architectures trained on extensive token corpora achieve frontier-grade comprehension, reasoning, and instruction-following capabilities on local edge devices.</w:t>
      </w:r>
    </w:p>
    <w:p>
      <w:pPr>
        <w:pStyle w:val="ListBullet"/>
        <w:spacing w:line="276" w:lineRule="auto" w:after="80"/>
      </w:pPr>
      <w:r>
        <w:rPr>
          <w:b/>
          <w:color w:val="1A365D"/>
        </w:rPr>
        <w:t>Lewis et al. [3]</w:t>
      </w:r>
      <w:r>
        <w:t xml:space="preserve"> formulated the BART denoising sequence-to-sequence pre-training framework for natural language generation, demonstrating that bidirectional encoder-autoregressive decoder networks yield state-of-the-art abstractive summarization performance on technical prose.</w:t>
      </w:r>
    </w:p>
    <w:p>
      <w:pPr>
        <w:pStyle w:val="ListBullet"/>
        <w:spacing w:line="276" w:lineRule="auto" w:after="80"/>
      </w:pPr>
      <w:r>
        <w:rPr>
          <w:b/>
          <w:color w:val="1A365D"/>
        </w:rPr>
        <w:t>Dunlosky et al. [4]</w:t>
      </w:r>
      <w:r>
        <w:t xml:space="preserve"> evaluated educational learning techniques across extensive empirical cognitive psychology studies, concluding that practice testing and distributed retrieval through flashcards yield superior learning efficiency and conceptual retention compared to passive reading.</w:t>
      </w:r>
    </w:p>
    <w:p>
      <w:pPr>
        <w:keepNext/>
        <w:spacing w:before="280" w:after="80"/>
      </w:pPr>
      <w:r>
        <w:rPr>
          <w:b/>
          <w:color w:val="0F294A"/>
          <w:sz w:val="26"/>
        </w:rPr>
        <w:t>3. Problem Statement</w:t>
      </w:r>
    </w:p>
    <w:p>
      <w:pPr>
        <w:spacing w:line="276" w:lineRule="auto" w:after="120"/>
      </w:pPr>
      <w:r>
        <w:t>While digital video streaming services host millions of instructional hours, video is fundamentally a passive, linear medium that imposes significant friction upon active revision, concept mapping, and knowledge validation. Learners spend substantial time re-watching recordings or manually taking notes, often leading to fragmented comprehension. Furthermore, existing commercial AI summarization tools require sending proprietary or sensitive academic transcripts to third-party cloud AI vendors (such as OpenAI or Google), introducing data confidentiality hazards, API rate-limit bottlenecks, and mandatory subscription costs. There is a distinct necessity for an autonomous, private, and cost-free educational synthesis system capable of processing video transcripts locally on standard workstation hardware while reliably yielding structured, multi-dimensional learning assets.</w:t>
      </w:r>
    </w:p>
    <w:p>
      <w:pPr>
        <w:keepNext/>
        <w:spacing w:before="280" w:after="80"/>
      </w:pPr>
      <w:r>
        <w:rPr>
          <w:b/>
          <w:color w:val="0F294A"/>
          <w:sz w:val="26"/>
        </w:rPr>
        <w:t>4. Objectives of the Project</w:t>
      </w:r>
    </w:p>
    <w:p>
      <w:pPr>
        <w:pStyle w:val="ListBullet"/>
        <w:spacing w:line="276" w:lineRule="auto" w:after="80"/>
      </w:pPr>
      <w:r>
        <w:rPr>
          <w:b/>
          <w:color w:val="1A202C"/>
        </w:rPr>
        <w:t xml:space="preserve">Automated Caption Ingestion: </w:t>
      </w:r>
      <w:r>
        <w:t>To engineer a resilient transcript ingestion pipeline capable of parsing arbitrary YouTube video URLs, fetching video metadata via YouTube oEmbed, and extracting timestamped caption tracks through youtube-transcript-api.</w:t>
      </w:r>
    </w:p>
    <w:p>
      <w:pPr>
        <w:pStyle w:val="ListBullet"/>
        <w:spacing w:line="276" w:lineRule="auto" w:after="80"/>
      </w:pPr>
      <w:r>
        <w:rPr>
          <w:b/>
          <w:color w:val="1A202C"/>
        </w:rPr>
        <w:t xml:space="preserve">Local AI Layer Decoupling: </w:t>
      </w:r>
      <w:r>
        <w:t>To construct an isolated, modular local AI service layer interfacing directly with the local Ollama daemon over HTTP, eliminating cloud API dependencies and ensuring local computational autonomy.</w:t>
      </w:r>
    </w:p>
    <w:p>
      <w:pPr>
        <w:pStyle w:val="ListBullet"/>
        <w:spacing w:line="276" w:lineRule="auto" w:after="80"/>
      </w:pPr>
      <w:r>
        <w:rPr>
          <w:b/>
          <w:color w:val="1A202C"/>
        </w:rPr>
        <w:t xml:space="preserve">Constrained Structured Generation: </w:t>
      </w:r>
      <w:r>
        <w:t>To formulate prompt engineering templates and JSON schema definitions that steer local Meta Llama 3.1 8B inference to reliably yield five distinct educational modules: executive summary, key takeaways, technical glossary, flashcards, and multiple-choice quizzes.</w:t>
      </w:r>
    </w:p>
    <w:p>
      <w:pPr>
        <w:pStyle w:val="ListBullet"/>
        <w:spacing w:line="276" w:lineRule="auto" w:after="80"/>
      </w:pPr>
      <w:r>
        <w:rPr>
          <w:b/>
          <w:color w:val="1A202C"/>
        </w:rPr>
        <w:t xml:space="preserve">Strict Schema Validation &amp; Fault Recovery: </w:t>
      </w:r>
      <w:r>
        <w:t>To implement defensive Python post-generation validation that verifies JSON integrity, guarantees exactly 4 options per quiz question with a valid 0–3 correct index, strips unexpected markdown fences, and provides user-friendly error diagnostics without stack traces.</w:t>
      </w:r>
    </w:p>
    <w:p>
      <w:pPr>
        <w:pStyle w:val="ListBullet"/>
        <w:spacing w:line="276" w:lineRule="auto" w:after="80"/>
      </w:pPr>
      <w:r>
        <w:rPr>
          <w:b/>
          <w:color w:val="1A202C"/>
        </w:rPr>
        <w:t xml:space="preserve">Interactive Multi-Modal User Interface: </w:t>
      </w:r>
      <w:r>
        <w:t>To build an accessible, responsive web application with authenticated personal workspaces, historical dashboard analytics, interactive flashcard flipping mechanisms, and automated instant quiz grading.</w:t>
      </w:r>
    </w:p>
    <w:p>
      <w:pPr>
        <w:pStyle w:val="ListBullet"/>
        <w:spacing w:line="276" w:lineRule="auto" w:after="80"/>
      </w:pPr>
      <w:r>
        <w:rPr>
          <w:b/>
          <w:color w:val="1A202C"/>
        </w:rPr>
        <w:t xml:space="preserve">Publication-Quality PDF Compilation: </w:t>
      </w:r>
      <w:r>
        <w:t>To integrate ReportLab document generation for compiling dynamically generated study sets into portable, beautifully styled PDF booklets formatted for offline study and archival.</w:t>
      </w:r>
    </w:p>
    <w:p>
      <w:pPr>
        <w:keepNext/>
        <w:spacing w:before="280" w:after="80"/>
      </w:pPr>
      <w:r>
        <w:rPr>
          <w:b/>
          <w:color w:val="0F294A"/>
          <w:sz w:val="26"/>
        </w:rPr>
        <w:t>5. Scope of the Project</w:t>
      </w:r>
    </w:p>
    <w:p>
      <w:pPr>
        <w:pStyle w:val="ListBullet"/>
        <w:spacing w:line="276" w:lineRule="auto" w:after="80"/>
      </w:pPr>
      <w:r>
        <w:rPr>
          <w:b/>
          <w:color w:val="1A202C"/>
        </w:rPr>
        <w:t xml:space="preserve">Video URL Parsing and Caption Extraction: </w:t>
      </w:r>
      <w:r>
        <w:t>Supports extraction of spoken-word transcripts and public metadata from valid YouTube URLs possessing accessible English closed captions or auto-generated subtitles.</w:t>
      </w:r>
    </w:p>
    <w:p>
      <w:pPr>
        <w:pStyle w:val="ListBullet"/>
        <w:spacing w:line="276" w:lineRule="auto" w:after="80"/>
      </w:pPr>
      <w:r>
        <w:rPr>
          <w:b/>
          <w:color w:val="1A202C"/>
        </w:rPr>
        <w:t xml:space="preserve">On-Device Local Language Model Inference: </w:t>
      </w:r>
      <w:r>
        <w:t>Executes local natural language inference exclusively through the local Ollama runtime and Meta Llama 3.1 8B without transmitting video transcripts to external cloud servers.</w:t>
      </w:r>
    </w:p>
    <w:p>
      <w:pPr>
        <w:pStyle w:val="ListBullet"/>
        <w:spacing w:line="276" w:lineRule="auto" w:after="80"/>
      </w:pPr>
      <w:r>
        <w:rPr>
          <w:b/>
          <w:color w:val="1A202C"/>
        </w:rPr>
        <w:t xml:space="preserve">Generation of Five Structured Study Artifacts: </w:t>
      </w:r>
      <w:r>
        <w:t>Produces comprehensive executive summaries, 6–10 conceptual key takeaways, 4–8 technical glossary definitions, 8–12 active recall flashcards, and 5–8 four-option multiple-choice quizzes with detailed rationales.</w:t>
      </w:r>
    </w:p>
    <w:p>
      <w:pPr>
        <w:pStyle w:val="ListBullet"/>
        <w:spacing w:line="276" w:lineRule="auto" w:after="80"/>
      </w:pPr>
      <w:r>
        <w:rPr>
          <w:b/>
          <w:color w:val="1A202C"/>
        </w:rPr>
        <w:t xml:space="preserve">Transcript Length and Context Budget Management: </w:t>
      </w:r>
      <w:r>
        <w:t>Supports transcript processing up to a configurable budget limit (default 45,000 characters) to preserve LLM attention fidelity and prevent context window exhaustion.</w:t>
      </w:r>
    </w:p>
    <w:p>
      <w:pPr>
        <w:pStyle w:val="ListBullet"/>
        <w:spacing w:line="276" w:lineRule="auto" w:after="80"/>
      </w:pPr>
      <w:r>
        <w:rPr>
          <w:b/>
          <w:color w:val="1A202C"/>
        </w:rPr>
        <w:t xml:space="preserve">User Workspace and Study History Persistence: </w:t>
      </w:r>
      <w:r>
        <w:t>Provides user registration, session management, and persistent storage of all generated study materials in relational database tables (SQLite / PostgreSQL) for subsequent retrieval.</w:t>
      </w:r>
    </w:p>
    <w:p>
      <w:pPr>
        <w:pStyle w:val="ListBullet"/>
        <w:spacing w:line="276" w:lineRule="auto" w:after="80"/>
      </w:pPr>
      <w:r>
        <w:rPr>
          <w:b/>
          <w:color w:val="1A202C"/>
        </w:rPr>
        <w:t xml:space="preserve">Offline Multi-Format Delivery: </w:t>
      </w:r>
      <w:r>
        <w:t>Enables interactive browser-based review and instant one-click compilation of study materials into downloadable, print-ready PDF study guides.</w:t>
      </w:r>
    </w:p>
    <w:p>
      <w:pPr>
        <w:keepNext/>
        <w:spacing w:before="280" w:after="80"/>
      </w:pPr>
      <w:r>
        <w:rPr>
          <w:b/>
          <w:color w:val="0F294A"/>
          <w:sz w:val="26"/>
        </w:rPr>
        <w:t>6. Technical Architecture and Workflow</w:t>
      </w:r>
    </w:p>
    <w:p>
      <w:pPr>
        <w:spacing w:line="276" w:lineRule="auto" w:after="120"/>
      </w:pPr>
      <w:r>
        <w:t>The system follows a decoupled, client-server architecture organized around a clear separation between web presentation, persistent storage, and local AI inference. The end-to-end execution lifecycle proceeds across seven coordinated phases:</w:t>
      </w:r>
    </w:p>
    <w:p>
      <w:pPr>
        <w:pStyle w:val="ListBullet"/>
        <w:spacing w:line="276" w:lineRule="auto" w:after="80"/>
      </w:pPr>
      <w:r>
        <w:rPr>
          <w:b/>
          <w:color w:val="1A202C"/>
        </w:rPr>
        <w:t xml:space="preserve">Step 1: Input Submission &amp; Validation: </w:t>
      </w:r>
      <w:r>
        <w:t>The authenticated student submits a YouTube URL via the web portal. The Flask route invokes extract_video_id() to validate the URL syntax and obtain the unique 11-character video identifier.</w:t>
      </w:r>
    </w:p>
    <w:p>
      <w:pPr>
        <w:pStyle w:val="ListBullet"/>
        <w:spacing w:line="276" w:lineRule="auto" w:after="80"/>
      </w:pPr>
      <w:r>
        <w:rPr>
          <w:b/>
          <w:color w:val="1A202C"/>
        </w:rPr>
        <w:t xml:space="preserve">Step 2: Metadata &amp; Transcript Acquisition: </w:t>
      </w:r>
      <w:r>
        <w:t>The backend queries YouTube's oEmbed endpoint to retrieve the video title, author, and thumbnail, and calls YouTubeTranscriptApi.get_transcript() to fetch the timed caption sequence, concatenating text into a cohesive transcript.</w:t>
      </w:r>
    </w:p>
    <w:p>
      <w:pPr>
        <w:pStyle w:val="ListBullet"/>
        <w:spacing w:line="276" w:lineRule="auto" w:after="80"/>
      </w:pPr>
      <w:r>
        <w:rPr>
          <w:b/>
          <w:color w:val="1A202C"/>
        </w:rPr>
        <w:t xml:space="preserve">Step 3: Context Budget Truncation: </w:t>
      </w:r>
      <w:r>
        <w:t>To maintain prompt integrity and prevent context overflow, the transcript is truncated to OLLAMA_MAX_TRANSCRIPT_CHARS (45,000 characters default) before prompt insertion.</w:t>
      </w:r>
    </w:p>
    <w:p>
      <w:pPr>
        <w:pStyle w:val="ListBullet"/>
        <w:spacing w:line="276" w:lineRule="auto" w:after="80"/>
      </w:pPr>
      <w:r>
        <w:rPr>
          <w:b/>
          <w:color w:val="1A202C"/>
        </w:rPr>
        <w:t xml:space="preserve">Step 4: Prompt Construction &amp; Local AI Dispatch: </w:t>
      </w:r>
      <w:r>
        <w:t>services/ollama_service.py compiles the prompt with academic persona rules and sends an HTTP POST request to http://localhost:11434/api/chat with model='llama3.1:8b', stream=False, temperature=0.2, and structured JSON format.</w:t>
      </w:r>
    </w:p>
    <w:p>
      <w:pPr>
        <w:pStyle w:val="ListBullet"/>
        <w:spacing w:line="276" w:lineRule="auto" w:after="80"/>
      </w:pPr>
      <w:r>
        <w:rPr>
          <w:b/>
          <w:color w:val="1A202C"/>
        </w:rPr>
        <w:t xml:space="preserve">Step 5: Response Parsing &amp; Defensive Validation: </w:t>
      </w:r>
      <w:r>
        <w:t>The raw message content is extracted from the Ollama HTTP response. Markdown fences (```json) are stripped, json.loads() is executed, and _validate_material() verifies that summary, key points, glossary, flashcards, and quiz questions adhere strictly to schema rules.</w:t>
      </w:r>
    </w:p>
    <w:p>
      <w:pPr>
        <w:pStyle w:val="ListBullet"/>
        <w:spacing w:line="276" w:lineRule="auto" w:after="80"/>
      </w:pPr>
      <w:r>
        <w:rPr>
          <w:b/>
          <w:color w:val="1A202C"/>
        </w:rPr>
        <w:t xml:space="preserve">Step 6: Relational Persistence: </w:t>
      </w:r>
      <w:r>
        <w:t>The validated structured data is serialized into the VideoAnalysis table (models.py) via SQLAlchemy and linked to the active user's account.</w:t>
      </w:r>
    </w:p>
    <w:p>
      <w:pPr>
        <w:pStyle w:val="ListBullet"/>
        <w:spacing w:line="276" w:lineRule="auto" w:after="80"/>
      </w:pPr>
      <w:r>
        <w:rPr>
          <w:b/>
          <w:color w:val="1A202C"/>
        </w:rPr>
        <w:t xml:space="preserve">Step 7: Presentation &amp; PDF Generation: </w:t>
      </w:r>
      <w:r>
        <w:t>The student is redirected to /result/&lt;id&gt; to review the materials through tabbed interfaces. Clicking the PDF Export button triggers services/pdf_service.py to assemble an elegant, multi-page ReportLab PDF document.</w:t>
      </w:r>
    </w:p>
    <w:p>
      <w:pPr>
        <w:keepNext/>
        <w:spacing w:before="280" w:after="80"/>
      </w:pPr>
      <w:r>
        <w:rPr>
          <w:b/>
          <w:color w:val="0F294A"/>
          <w:sz w:val="26"/>
        </w:rPr>
        <w:t>7. Hardware Technologies</w:t>
      </w:r>
    </w:p>
    <w:p>
      <w:pPr>
        <w:spacing w:line="276" w:lineRule="auto" w:after="120"/>
      </w:pPr>
      <w:r>
        <w:t>Because the system executes dense 8-billion parameter Large Language Model inference locally, hardware capacity directly governs inference latency and token generation throughput. The local architecture eliminates cloud server dependencies, relying on the following host workstation hardware specification: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20"/>
              </w:rPr>
              <w:t>Component</w:t>
            </w:r>
          </w:p>
        </w:tc>
        <w:tc>
          <w:tcPr>
            <w:tcW w:type="dxa" w:w="3120"/>
            <w:shd w:fill="1A365D"/>
            <w:tcMar>
              <w:top w:w="120" w:type="dxa"/>
              <w:bottom w:w="120" w:type="dxa"/>
              <w:left w:w="150" w:type="dxa"/>
              <w:right w:w="150" w:type="dxa"/>
            </w:tcMar>
          </w:tcPr>
          <w:p>
            <w:r>
              <w:rPr>
                <w:b/>
                <w:color w:val="FFFFFF"/>
                <w:sz w:val="20"/>
              </w:rPr>
              <w:t>Minimum Requirement</w:t>
            </w:r>
          </w:p>
        </w:tc>
        <w:tc>
          <w:tcPr>
            <w:tcW w:type="dxa" w:w="3120"/>
            <w:shd w:fill="1A365D"/>
            <w:tcMar>
              <w:top w:w="120" w:type="dxa"/>
              <w:bottom w:w="120" w:type="dxa"/>
              <w:left w:w="150" w:type="dxa"/>
              <w:right w:w="150" w:type="dxa"/>
            </w:tcMar>
          </w:tcPr>
          <w:p>
            <w:r>
              <w:rPr>
                <w:b/>
                <w:color w:val="FFFFFF"/>
                <w:sz w:val="20"/>
              </w:rPr>
              <w:t>Recommended Specification</w:t>
            </w:r>
          </w:p>
        </w:tc>
      </w:tr>
      <w:tr>
        <w:tc>
          <w:tcPr>
            <w:tcW w:type="dxa" w:w="3120"/>
            <w:shd w:fill="F7FAFC"/>
            <w:tcMar>
              <w:top w:w="80" w:type="dxa"/>
              <w:bottom w:w="80" w:type="dxa"/>
              <w:left w:w="120" w:type="dxa"/>
              <w:right w:w="120" w:type="dxa"/>
            </w:tcMar>
          </w:tcPr>
          <w:p>
            <w:r>
              <w:rPr>
                <w:b/>
                <w:sz w:val="19"/>
              </w:rPr>
              <w:t>Processor (CPU)</w:t>
            </w:r>
          </w:p>
        </w:tc>
        <w:tc>
          <w:tcPr>
            <w:tcW w:type="dxa" w:w="3120"/>
            <w:shd w:fill="F7FAFC"/>
            <w:tcMar>
              <w:top w:w="80" w:type="dxa"/>
              <w:bottom w:w="80" w:type="dxa"/>
              <w:left w:w="120" w:type="dxa"/>
              <w:right w:w="120" w:type="dxa"/>
            </w:tcMar>
          </w:tcPr>
          <w:p>
            <w:r>
              <w:rPr>
                <w:sz w:val="19"/>
              </w:rPr>
              <w:t>4-Core 64-bit x86_64 or Apple Silicon M1 (AVX2 support required)</w:t>
            </w:r>
          </w:p>
        </w:tc>
        <w:tc>
          <w:tcPr>
            <w:tcW w:type="dxa" w:w="3120"/>
            <w:shd w:fill="F7FAFC"/>
            <w:tcMar>
              <w:top w:w="80" w:type="dxa"/>
              <w:bottom w:w="80" w:type="dxa"/>
              <w:left w:w="120" w:type="dxa"/>
              <w:right w:w="120" w:type="dxa"/>
            </w:tcMar>
          </w:tcPr>
          <w:p>
            <w:r>
              <w:rPr>
                <w:sz w:val="19"/>
              </w:rPr>
              <w:t>Apple Silicon M2/M3/M4 or 8-Core Intel Core i7 / AMD Ryzen 7</w:t>
            </w:r>
          </w:p>
        </w:tc>
      </w:tr>
      <w:tr>
        <w:tc>
          <w:tcPr>
            <w:tcW w:type="dxa" w:w="3120"/>
            <w:tcMar>
              <w:top w:w="80" w:type="dxa"/>
              <w:bottom w:w="80" w:type="dxa"/>
              <w:left w:w="120" w:type="dxa"/>
              <w:right w:w="120" w:type="dxa"/>
            </w:tcMar>
          </w:tcPr>
          <w:p>
            <w:r>
              <w:rPr>
                <w:b/>
                <w:sz w:val="19"/>
              </w:rPr>
              <w:t>System Memory (RAM)</w:t>
            </w:r>
          </w:p>
        </w:tc>
        <w:tc>
          <w:tcPr>
            <w:tcW w:type="dxa" w:w="3120"/>
            <w:tcMar>
              <w:top w:w="80" w:type="dxa"/>
              <w:bottom w:w="80" w:type="dxa"/>
              <w:left w:w="120" w:type="dxa"/>
              <w:right w:w="120" w:type="dxa"/>
            </w:tcMar>
          </w:tcPr>
          <w:p>
            <w:r>
              <w:rPr>
                <w:sz w:val="19"/>
              </w:rPr>
              <w:t>16 GB Unified / System RAM (sufficient for 4.9 GB 4-bit weights + KV cache)</w:t>
            </w:r>
          </w:p>
        </w:tc>
        <w:tc>
          <w:tcPr>
            <w:tcW w:type="dxa" w:w="3120"/>
            <w:tcMar>
              <w:top w:w="80" w:type="dxa"/>
              <w:bottom w:w="80" w:type="dxa"/>
              <w:left w:w="120" w:type="dxa"/>
              <w:right w:w="120" w:type="dxa"/>
            </w:tcMar>
          </w:tcPr>
          <w:p>
            <w:r>
              <w:rPr>
                <w:sz w:val="19"/>
              </w:rPr>
              <w:t>16 GB – 32 GB High-Speed Unified Memory (macOS) or DDR5 (PC)</w:t>
            </w:r>
          </w:p>
        </w:tc>
      </w:tr>
      <w:tr>
        <w:tc>
          <w:tcPr>
            <w:tcW w:type="dxa" w:w="3120"/>
            <w:shd w:fill="F7FAFC"/>
            <w:tcMar>
              <w:top w:w="80" w:type="dxa"/>
              <w:bottom w:w="80" w:type="dxa"/>
              <w:left w:w="120" w:type="dxa"/>
              <w:right w:w="120" w:type="dxa"/>
            </w:tcMar>
          </w:tcPr>
          <w:p>
            <w:r>
              <w:rPr>
                <w:b/>
                <w:sz w:val="19"/>
              </w:rPr>
              <w:t>Graphics (GPU / NPU)</w:t>
            </w:r>
          </w:p>
        </w:tc>
        <w:tc>
          <w:tcPr>
            <w:tcW w:type="dxa" w:w="3120"/>
            <w:shd w:fill="F7FAFC"/>
            <w:tcMar>
              <w:top w:w="80" w:type="dxa"/>
              <w:bottom w:w="80" w:type="dxa"/>
              <w:left w:w="120" w:type="dxa"/>
              <w:right w:w="120" w:type="dxa"/>
            </w:tcMar>
          </w:tcPr>
          <w:p>
            <w:r>
              <w:rPr>
                <w:sz w:val="19"/>
              </w:rPr>
              <w:t>Integrated GPU (CPU inference supported via Ollama AVX2 backends)</w:t>
            </w:r>
          </w:p>
        </w:tc>
        <w:tc>
          <w:tcPr>
            <w:tcW w:type="dxa" w:w="3120"/>
            <w:shd w:fill="F7FAFC"/>
            <w:tcMar>
              <w:top w:w="80" w:type="dxa"/>
              <w:bottom w:w="80" w:type="dxa"/>
              <w:left w:w="120" w:type="dxa"/>
              <w:right w:w="120" w:type="dxa"/>
            </w:tcMar>
          </w:tcPr>
          <w:p>
            <w:r>
              <w:rPr>
                <w:sz w:val="19"/>
              </w:rPr>
              <w:t>Apple Metal GPU (unified memory) or NVIDIA RTX 3060+ (8 GB+ VRAM, CUDA 11+)</w:t>
            </w:r>
          </w:p>
        </w:tc>
      </w:tr>
      <w:tr>
        <w:tc>
          <w:tcPr>
            <w:tcW w:type="dxa" w:w="3120"/>
            <w:tcMar>
              <w:top w:w="80" w:type="dxa"/>
              <w:bottom w:w="80" w:type="dxa"/>
              <w:left w:w="120" w:type="dxa"/>
              <w:right w:w="120" w:type="dxa"/>
            </w:tcMar>
          </w:tcPr>
          <w:p>
            <w:r>
              <w:rPr>
                <w:b/>
                <w:sz w:val="19"/>
              </w:rPr>
              <w:t>Storage (Disk Space)</w:t>
            </w:r>
          </w:p>
        </w:tc>
        <w:tc>
          <w:tcPr>
            <w:tcW w:type="dxa" w:w="3120"/>
            <w:tcMar>
              <w:top w:w="80" w:type="dxa"/>
              <w:bottom w:w="80" w:type="dxa"/>
              <w:left w:w="120" w:type="dxa"/>
              <w:right w:w="120" w:type="dxa"/>
            </w:tcMar>
          </w:tcPr>
          <w:p>
            <w:r>
              <w:rPr>
                <w:sz w:val="19"/>
              </w:rPr>
              <w:t>15 GB available SSD storage (NVMe / APFS)</w:t>
            </w:r>
          </w:p>
        </w:tc>
        <w:tc>
          <w:tcPr>
            <w:tcW w:type="dxa" w:w="3120"/>
            <w:tcMar>
              <w:top w:w="80" w:type="dxa"/>
              <w:bottom w:w="80" w:type="dxa"/>
              <w:left w:w="120" w:type="dxa"/>
              <w:right w:w="120" w:type="dxa"/>
            </w:tcMar>
          </w:tcPr>
          <w:p>
            <w:r>
              <w:rPr>
                <w:sz w:val="19"/>
              </w:rPr>
              <w:t>50 GB+ NVMe M.2 Solid State Drive (fast model weight paging)</w:t>
            </w:r>
          </w:p>
        </w:tc>
      </w:tr>
      <w:tr>
        <w:tc>
          <w:tcPr>
            <w:tcW w:type="dxa" w:w="3120"/>
            <w:shd w:fill="F7FAFC"/>
            <w:tcMar>
              <w:top w:w="80" w:type="dxa"/>
              <w:bottom w:w="80" w:type="dxa"/>
              <w:left w:w="120" w:type="dxa"/>
              <w:right w:w="120" w:type="dxa"/>
            </w:tcMar>
          </w:tcPr>
          <w:p>
            <w:r>
              <w:rPr>
                <w:b/>
                <w:sz w:val="19"/>
              </w:rPr>
              <w:t>Display Unit</w:t>
            </w:r>
          </w:p>
        </w:tc>
        <w:tc>
          <w:tcPr>
            <w:tcW w:type="dxa" w:w="3120"/>
            <w:shd w:fill="F7FAFC"/>
            <w:tcMar>
              <w:top w:w="80" w:type="dxa"/>
              <w:bottom w:w="80" w:type="dxa"/>
              <w:left w:w="120" w:type="dxa"/>
              <w:right w:w="120" w:type="dxa"/>
            </w:tcMar>
          </w:tcPr>
          <w:p>
            <w:r>
              <w:rPr>
                <w:sz w:val="19"/>
              </w:rPr>
              <w:t>1366 × 768 standard color display</w:t>
            </w:r>
          </w:p>
        </w:tc>
        <w:tc>
          <w:tcPr>
            <w:tcW w:type="dxa" w:w="3120"/>
            <w:shd w:fill="F7FAFC"/>
            <w:tcMar>
              <w:top w:w="80" w:type="dxa"/>
              <w:bottom w:w="80" w:type="dxa"/>
              <w:left w:w="120" w:type="dxa"/>
              <w:right w:w="120" w:type="dxa"/>
            </w:tcMar>
          </w:tcPr>
          <w:p>
            <w:r>
              <w:rPr>
                <w:sz w:val="19"/>
              </w:rPr>
              <w:t>1920 × 1080 Full HD or higher resolution display</w:t>
            </w:r>
          </w:p>
        </w:tc>
      </w:tr>
      <w:tr>
        <w:tc>
          <w:tcPr>
            <w:tcW w:type="dxa" w:w="3120"/>
            <w:tcMar>
              <w:top w:w="80" w:type="dxa"/>
              <w:bottom w:w="80" w:type="dxa"/>
              <w:left w:w="120" w:type="dxa"/>
              <w:right w:w="120" w:type="dxa"/>
            </w:tcMar>
          </w:tcPr>
          <w:p>
            <w:r>
              <w:rPr>
                <w:b/>
                <w:sz w:val="19"/>
              </w:rPr>
              <w:t>Network Connectivity</w:t>
            </w:r>
          </w:p>
        </w:tc>
        <w:tc>
          <w:tcPr>
            <w:tcW w:type="dxa" w:w="3120"/>
            <w:tcMar>
              <w:top w:w="80" w:type="dxa"/>
              <w:bottom w:w="80" w:type="dxa"/>
              <w:left w:w="120" w:type="dxa"/>
              <w:right w:w="120" w:type="dxa"/>
            </w:tcMar>
          </w:tcPr>
          <w:p>
            <w:r>
              <w:rPr>
                <w:sz w:val="19"/>
              </w:rPr>
              <w:t>Broadband connection for YouTube transcript &amp; initial model pull</w:t>
            </w:r>
          </w:p>
        </w:tc>
        <w:tc>
          <w:tcPr>
            <w:tcW w:type="dxa" w:w="3120"/>
            <w:tcMar>
              <w:top w:w="80" w:type="dxa"/>
              <w:bottom w:w="80" w:type="dxa"/>
              <w:left w:w="120" w:type="dxa"/>
              <w:right w:w="120" w:type="dxa"/>
            </w:tcMar>
          </w:tcPr>
          <w:p>
            <w:r>
              <w:rPr>
                <w:sz w:val="19"/>
              </w:rPr>
              <w:t>High-speed broadband (100 Mbps+) for rapid initial model download; offline for inference</w:t>
            </w:r>
          </w:p>
        </w:tc>
      </w:tr>
    </w:tbl>
    <w:p>
      <w:pPr>
        <w:spacing w:after="120"/>
      </w:pPr>
    </w:p>
    <w:p>
      <w:pPr>
        <w:keepNext/>
        <w:spacing w:before="280" w:after="80"/>
      </w:pPr>
      <w:r>
        <w:rPr>
          <w:b/>
          <w:color w:val="0F294A"/>
          <w:sz w:val="26"/>
        </w:rPr>
        <w:t>8. Software Technologies</w:t>
      </w:r>
    </w:p>
    <w:p>
      <w:pPr>
        <w:spacing w:line="276" w:lineRule="auto" w:after="120"/>
      </w:pPr>
      <w:r>
        <w:t>The project utilizes a modern open-source software stack optimized for local machine learning workflows and rapid web deployment:</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20"/>
              </w:rPr>
              <w:t>Layer / Technology</w:t>
            </w:r>
          </w:p>
        </w:tc>
        <w:tc>
          <w:tcPr>
            <w:tcW w:type="dxa" w:w="3120"/>
            <w:shd w:fill="1A365D"/>
            <w:tcMar>
              <w:top w:w="120" w:type="dxa"/>
              <w:bottom w:w="120" w:type="dxa"/>
              <w:left w:w="150" w:type="dxa"/>
              <w:right w:w="150" w:type="dxa"/>
            </w:tcMar>
          </w:tcPr>
          <w:p>
            <w:r>
              <w:rPr>
                <w:b/>
                <w:color w:val="FFFFFF"/>
                <w:sz w:val="20"/>
              </w:rPr>
              <w:t>Tool / Version</w:t>
            </w:r>
          </w:p>
        </w:tc>
        <w:tc>
          <w:tcPr>
            <w:tcW w:type="dxa" w:w="3120"/>
            <w:shd w:fill="1A365D"/>
            <w:tcMar>
              <w:top w:w="120" w:type="dxa"/>
              <w:bottom w:w="120" w:type="dxa"/>
              <w:left w:w="150" w:type="dxa"/>
              <w:right w:w="150" w:type="dxa"/>
            </w:tcMar>
          </w:tcPr>
          <w:p>
            <w:r>
              <w:rPr>
                <w:b/>
                <w:color w:val="FFFFFF"/>
                <w:sz w:val="20"/>
              </w:rPr>
              <w:t>Operational Role and Functionality</w:t>
            </w:r>
          </w:p>
        </w:tc>
      </w:tr>
      <w:tr>
        <w:tc>
          <w:tcPr>
            <w:tcW w:type="dxa" w:w="3120"/>
            <w:shd w:fill="F7FAFC"/>
            <w:tcMar>
              <w:top w:w="80" w:type="dxa"/>
              <w:bottom w:w="80" w:type="dxa"/>
              <w:left w:w="120" w:type="dxa"/>
              <w:right w:w="120" w:type="dxa"/>
            </w:tcMar>
          </w:tcPr>
          <w:p>
            <w:r>
              <w:rPr>
                <w:b/>
                <w:sz w:val="19"/>
              </w:rPr>
              <w:t>Operating System</w:t>
            </w:r>
          </w:p>
        </w:tc>
        <w:tc>
          <w:tcPr>
            <w:tcW w:type="dxa" w:w="3120"/>
            <w:shd w:fill="F7FAFC"/>
            <w:tcMar>
              <w:top w:w="80" w:type="dxa"/>
              <w:bottom w:w="80" w:type="dxa"/>
              <w:left w:w="120" w:type="dxa"/>
              <w:right w:w="120" w:type="dxa"/>
            </w:tcMar>
          </w:tcPr>
          <w:p>
            <w:r>
              <w:rPr>
                <w:sz w:val="19"/>
              </w:rPr>
              <w:t>macOS Sonoma/Sequoia, Linux (Ubuntu 22.04+), Windows 11 (WSL2)</w:t>
            </w:r>
          </w:p>
        </w:tc>
        <w:tc>
          <w:tcPr>
            <w:tcW w:type="dxa" w:w="3120"/>
            <w:shd w:fill="F7FAFC"/>
            <w:tcMar>
              <w:top w:w="80" w:type="dxa"/>
              <w:bottom w:w="80" w:type="dxa"/>
              <w:left w:w="120" w:type="dxa"/>
              <w:right w:w="120" w:type="dxa"/>
            </w:tcMar>
          </w:tcPr>
          <w:p>
            <w:r>
              <w:rPr>
                <w:sz w:val="19"/>
              </w:rPr>
              <w:t>Host runtime environment providing process management and Apple Metal / CUDA acceleration drivers.</w:t>
            </w:r>
          </w:p>
        </w:tc>
      </w:tr>
      <w:tr>
        <w:tc>
          <w:tcPr>
            <w:tcW w:type="dxa" w:w="3120"/>
            <w:tcMar>
              <w:top w:w="80" w:type="dxa"/>
              <w:bottom w:w="80" w:type="dxa"/>
              <w:left w:w="120" w:type="dxa"/>
              <w:right w:w="120" w:type="dxa"/>
            </w:tcMar>
          </w:tcPr>
          <w:p>
            <w:r>
              <w:rPr>
                <w:b/>
                <w:sz w:val="19"/>
              </w:rPr>
              <w:t>Programming Language</w:t>
            </w:r>
          </w:p>
        </w:tc>
        <w:tc>
          <w:tcPr>
            <w:tcW w:type="dxa" w:w="3120"/>
            <w:tcMar>
              <w:top w:w="80" w:type="dxa"/>
              <w:bottom w:w="80" w:type="dxa"/>
              <w:left w:w="120" w:type="dxa"/>
              <w:right w:w="120" w:type="dxa"/>
            </w:tcMar>
          </w:tcPr>
          <w:p>
            <w:r>
              <w:rPr>
                <w:sz w:val="19"/>
              </w:rPr>
              <w:t>Python 3.10+ / 3.11 / 3.14</w:t>
            </w:r>
          </w:p>
        </w:tc>
        <w:tc>
          <w:tcPr>
            <w:tcW w:type="dxa" w:w="3120"/>
            <w:tcMar>
              <w:top w:w="80" w:type="dxa"/>
              <w:bottom w:w="80" w:type="dxa"/>
              <w:left w:w="120" w:type="dxa"/>
              <w:right w:w="120" w:type="dxa"/>
            </w:tcMar>
          </w:tcPr>
          <w:p>
            <w:r>
              <w:rPr>
                <w:sz w:val="19"/>
              </w:rPr>
              <w:t>Core backend development language executing Flask, HTTP communication, data validation, and PDF compilation.</w:t>
            </w:r>
          </w:p>
        </w:tc>
      </w:tr>
      <w:tr>
        <w:tc>
          <w:tcPr>
            <w:tcW w:type="dxa" w:w="3120"/>
            <w:shd w:fill="F7FAFC"/>
            <w:tcMar>
              <w:top w:w="80" w:type="dxa"/>
              <w:bottom w:w="80" w:type="dxa"/>
              <w:left w:w="120" w:type="dxa"/>
              <w:right w:w="120" w:type="dxa"/>
            </w:tcMar>
          </w:tcPr>
          <w:p>
            <w:r>
              <w:rPr>
                <w:b/>
                <w:sz w:val="19"/>
              </w:rPr>
              <w:t>Web Framework</w:t>
            </w:r>
          </w:p>
        </w:tc>
        <w:tc>
          <w:tcPr>
            <w:tcW w:type="dxa" w:w="3120"/>
            <w:shd w:fill="F7FAFC"/>
            <w:tcMar>
              <w:top w:w="80" w:type="dxa"/>
              <w:bottom w:w="80" w:type="dxa"/>
              <w:left w:w="120" w:type="dxa"/>
              <w:right w:w="120" w:type="dxa"/>
            </w:tcMar>
          </w:tcPr>
          <w:p>
            <w:r>
              <w:rPr>
                <w:sz w:val="19"/>
              </w:rPr>
              <w:t>Flask 3.0.3 (WSGI)</w:t>
            </w:r>
          </w:p>
        </w:tc>
        <w:tc>
          <w:tcPr>
            <w:tcW w:type="dxa" w:w="3120"/>
            <w:shd w:fill="F7FAFC"/>
            <w:tcMar>
              <w:top w:w="80" w:type="dxa"/>
              <w:bottom w:w="80" w:type="dxa"/>
              <w:left w:w="120" w:type="dxa"/>
              <w:right w:w="120" w:type="dxa"/>
            </w:tcMar>
          </w:tcPr>
          <w:p>
            <w:r>
              <w:rPr>
                <w:sz w:val="19"/>
              </w:rPr>
              <w:t>Lightweight Python microframework managing routing, user sessions, REST endpoints, and template rendering.</w:t>
            </w:r>
          </w:p>
        </w:tc>
      </w:tr>
      <w:tr>
        <w:tc>
          <w:tcPr>
            <w:tcW w:type="dxa" w:w="3120"/>
            <w:tcMar>
              <w:top w:w="80" w:type="dxa"/>
              <w:bottom w:w="80" w:type="dxa"/>
              <w:left w:w="120" w:type="dxa"/>
              <w:right w:w="120" w:type="dxa"/>
            </w:tcMar>
          </w:tcPr>
          <w:p>
            <w:r>
              <w:rPr>
                <w:b/>
                <w:sz w:val="19"/>
              </w:rPr>
              <w:t>Local LLM Runtime</w:t>
            </w:r>
          </w:p>
        </w:tc>
        <w:tc>
          <w:tcPr>
            <w:tcW w:type="dxa" w:w="3120"/>
            <w:tcMar>
              <w:top w:w="80" w:type="dxa"/>
              <w:bottom w:w="80" w:type="dxa"/>
              <w:left w:w="120" w:type="dxa"/>
              <w:right w:w="120" w:type="dxa"/>
            </w:tcMar>
          </w:tcPr>
          <w:p>
            <w:r>
              <w:rPr>
                <w:sz w:val="19"/>
              </w:rPr>
              <w:t>Ollama (v0.32.5+)</w:t>
            </w:r>
          </w:p>
        </w:tc>
        <w:tc>
          <w:tcPr>
            <w:tcW w:type="dxa" w:w="3120"/>
            <w:tcMar>
              <w:top w:w="80" w:type="dxa"/>
              <w:bottom w:w="80" w:type="dxa"/>
              <w:left w:w="120" w:type="dxa"/>
              <w:right w:w="120" w:type="dxa"/>
            </w:tcMar>
          </w:tcPr>
          <w:p>
            <w:r>
              <w:rPr>
                <w:sz w:val="19"/>
              </w:rPr>
              <w:t>Local machine learning inference platform running on localhost:11434, orchestrating model memory management and HTTP API access.</w:t>
            </w:r>
          </w:p>
        </w:tc>
      </w:tr>
      <w:tr>
        <w:tc>
          <w:tcPr>
            <w:tcW w:type="dxa" w:w="3120"/>
            <w:shd w:fill="F7FAFC"/>
            <w:tcMar>
              <w:top w:w="80" w:type="dxa"/>
              <w:bottom w:w="80" w:type="dxa"/>
              <w:left w:w="120" w:type="dxa"/>
              <w:right w:w="120" w:type="dxa"/>
            </w:tcMar>
          </w:tcPr>
          <w:p>
            <w:r>
              <w:rPr>
                <w:b/>
                <w:sz w:val="19"/>
              </w:rPr>
              <w:t>Active LLM Model</w:t>
            </w:r>
          </w:p>
        </w:tc>
        <w:tc>
          <w:tcPr>
            <w:tcW w:type="dxa" w:w="3120"/>
            <w:shd w:fill="F7FAFC"/>
            <w:tcMar>
              <w:top w:w="80" w:type="dxa"/>
              <w:bottom w:w="80" w:type="dxa"/>
              <w:left w:w="120" w:type="dxa"/>
              <w:right w:w="120" w:type="dxa"/>
            </w:tcMar>
          </w:tcPr>
          <w:p>
            <w:r>
              <w:rPr>
                <w:sz w:val="19"/>
              </w:rPr>
              <w:t>Meta Llama 3.1 8B Instruct (llama3.1:8b)</w:t>
            </w:r>
          </w:p>
        </w:tc>
        <w:tc>
          <w:tcPr>
            <w:tcW w:type="dxa" w:w="3120"/>
            <w:shd w:fill="F7FAFC"/>
            <w:tcMar>
              <w:top w:w="80" w:type="dxa"/>
              <w:bottom w:w="80" w:type="dxa"/>
              <w:left w:w="120" w:type="dxa"/>
              <w:right w:w="120" w:type="dxa"/>
            </w:tcMar>
          </w:tcPr>
          <w:p>
            <w:r>
              <w:rPr>
                <w:sz w:val="19"/>
              </w:rPr>
              <w:t>Quantized 8-billion parameter transformer language model executed through Ollama to generate structured learning material.</w:t>
            </w:r>
          </w:p>
        </w:tc>
      </w:tr>
      <w:tr>
        <w:tc>
          <w:tcPr>
            <w:tcW w:type="dxa" w:w="3120"/>
            <w:tcMar>
              <w:top w:w="80" w:type="dxa"/>
              <w:bottom w:w="80" w:type="dxa"/>
              <w:left w:w="120" w:type="dxa"/>
              <w:right w:w="120" w:type="dxa"/>
            </w:tcMar>
          </w:tcPr>
          <w:p>
            <w:r>
              <w:rPr>
                <w:b/>
                <w:sz w:val="19"/>
              </w:rPr>
              <w:t>Database System</w:t>
            </w:r>
          </w:p>
        </w:tc>
        <w:tc>
          <w:tcPr>
            <w:tcW w:type="dxa" w:w="3120"/>
            <w:tcMar>
              <w:top w:w="80" w:type="dxa"/>
              <w:bottom w:w="80" w:type="dxa"/>
              <w:left w:w="120" w:type="dxa"/>
              <w:right w:w="120" w:type="dxa"/>
            </w:tcMar>
          </w:tcPr>
          <w:p>
            <w:r>
              <w:rPr>
                <w:sz w:val="19"/>
              </w:rPr>
              <w:t>SQLite 3 / PostgreSQL (Supabase)</w:t>
            </w:r>
          </w:p>
        </w:tc>
        <w:tc>
          <w:tcPr>
            <w:tcW w:type="dxa" w:w="3120"/>
            <w:tcMar>
              <w:top w:w="80" w:type="dxa"/>
              <w:bottom w:w="80" w:type="dxa"/>
              <w:left w:w="120" w:type="dxa"/>
              <w:right w:w="120" w:type="dxa"/>
            </w:tcMar>
          </w:tcPr>
          <w:p>
            <w:r>
              <w:rPr>
                <w:sz w:val="19"/>
              </w:rPr>
              <w:t>Relational database tier storing registered user accounts, metadata records, and serialized study JSON packages via SQLAlchemy.</w:t>
            </w:r>
          </w:p>
        </w:tc>
      </w:tr>
      <w:tr>
        <w:tc>
          <w:tcPr>
            <w:tcW w:type="dxa" w:w="3120"/>
            <w:shd w:fill="F7FAFC"/>
            <w:tcMar>
              <w:top w:w="80" w:type="dxa"/>
              <w:bottom w:w="80" w:type="dxa"/>
              <w:left w:w="120" w:type="dxa"/>
              <w:right w:w="120" w:type="dxa"/>
            </w:tcMar>
          </w:tcPr>
          <w:p>
            <w:r>
              <w:rPr>
                <w:b/>
                <w:sz w:val="19"/>
              </w:rPr>
              <w:t>Frontend Technologies</w:t>
            </w:r>
          </w:p>
        </w:tc>
        <w:tc>
          <w:tcPr>
            <w:tcW w:type="dxa" w:w="3120"/>
            <w:shd w:fill="F7FAFC"/>
            <w:tcMar>
              <w:top w:w="80" w:type="dxa"/>
              <w:bottom w:w="80" w:type="dxa"/>
              <w:left w:w="120" w:type="dxa"/>
              <w:right w:w="120" w:type="dxa"/>
            </w:tcMar>
          </w:tcPr>
          <w:p>
            <w:r>
              <w:rPr>
                <w:sz w:val="19"/>
              </w:rPr>
              <w:t>HTML5, CSS3, Bootstrap 5.3.3, Vanilla JS</w:t>
            </w:r>
          </w:p>
        </w:tc>
        <w:tc>
          <w:tcPr>
            <w:tcW w:type="dxa" w:w="3120"/>
            <w:shd w:fill="F7FAFC"/>
            <w:tcMar>
              <w:top w:w="80" w:type="dxa"/>
              <w:bottom w:w="80" w:type="dxa"/>
              <w:left w:w="120" w:type="dxa"/>
              <w:right w:w="120" w:type="dxa"/>
            </w:tcMar>
          </w:tcPr>
          <w:p>
            <w:r>
              <w:rPr>
                <w:sz w:val="19"/>
              </w:rPr>
              <w:t>Client presentation layer rendering responsive dashboards, flip flashcards, interactive quizzes, and asynchronous fetch polling.</w:t>
            </w:r>
          </w:p>
        </w:tc>
      </w:tr>
    </w:tbl>
    <w:p>
      <w:pPr>
        <w:spacing w:after="120"/>
      </w:pPr>
    </w:p>
    <w:p>
      <w:pPr>
        <w:keepNext/>
        <w:spacing w:before="280" w:after="80"/>
      </w:pPr>
      <w:r>
        <w:rPr>
          <w:b/>
          <w:color w:val="0F294A"/>
          <w:sz w:val="26"/>
        </w:rPr>
        <w:t>9. Libraries and APIs</w:t>
      </w:r>
    </w:p>
    <w:p>
      <w:pPr>
        <w:spacing w:line="276" w:lineRule="auto" w:after="120"/>
      </w:pPr>
      <w:r>
        <w:t>All third-party modules and external application programming interfaces used in the project have been inspected directly from the codebase:</w:t>
      </w:r>
    </w:p>
    <w:p>
      <w:pPr>
        <w:pStyle w:val="ListBullet"/>
        <w:spacing w:line="276" w:lineRule="auto" w:after="80"/>
      </w:pPr>
      <w:r>
        <w:rPr>
          <w:b/>
          <w:color w:val="1A202C"/>
        </w:rPr>
        <w:t xml:space="preserve">Ollama HTTP API (/api/chat): </w:t>
      </w:r>
      <w:r>
        <w:t>Local REST endpoint running at http://localhost:11434. Invoked via POST requests with model, messages, stream=false, temperature, and format parameters. Yields full JSON responses without exposing data to external cloud networks.</w:t>
      </w:r>
    </w:p>
    <w:p>
      <w:pPr>
        <w:pStyle w:val="ListBullet"/>
        <w:spacing w:line="276" w:lineRule="auto" w:after="80"/>
      </w:pPr>
      <w:r>
        <w:rPr>
          <w:b/>
          <w:color w:val="1A202C"/>
        </w:rPr>
        <w:t xml:space="preserve">youtube-transcript-api (v0.6.2): </w:t>
      </w:r>
      <w:r>
        <w:t>Python module that extracts timed caption tracks and subtitle data directly from YouTube videos without requiring an official Google YouTube Data API key.</w:t>
      </w:r>
    </w:p>
    <w:p>
      <w:pPr>
        <w:pStyle w:val="ListBullet"/>
        <w:spacing w:line="276" w:lineRule="auto" w:after="80"/>
      </w:pPr>
      <w:r>
        <w:rPr>
          <w:b/>
          <w:color w:val="1A202C"/>
        </w:rPr>
        <w:t xml:space="preserve">YouTube oEmbed API: </w:t>
      </w:r>
      <w:r>
        <w:t>Public REST endpoint (https://www.youtube.com/oembed) used to retrieve official video metadata including video title, channel creator name, and thumbnail artwork URLs.</w:t>
      </w:r>
    </w:p>
    <w:p>
      <w:pPr>
        <w:pStyle w:val="ListBullet"/>
        <w:spacing w:line="276" w:lineRule="auto" w:after="80"/>
      </w:pPr>
      <w:r>
        <w:rPr>
          <w:b/>
          <w:color w:val="1A202C"/>
        </w:rPr>
        <w:t xml:space="preserve">requests (v2.32.3): </w:t>
      </w:r>
      <w:r>
        <w:t>Battle-tested HTTP library utilized to communicate with the local Ollama daemon and fetch video metadata over robust TCP connections with configurable timeouts.</w:t>
      </w:r>
    </w:p>
    <w:p>
      <w:pPr>
        <w:pStyle w:val="ListBullet"/>
        <w:spacing w:line="276" w:lineRule="auto" w:after="80"/>
      </w:pPr>
      <w:r>
        <w:rPr>
          <w:b/>
          <w:color w:val="1A202C"/>
        </w:rPr>
        <w:t xml:space="preserve">Flask-SQLAlchemy (v3.1.1) &amp; SQLAlchemy: </w:t>
      </w:r>
      <w:r>
        <w:t>Object-Relational Mapping (ORM) framework abstracting database operations, table schema declarations, migrations, and relationship queries for User and VideoAnalysis entities.</w:t>
      </w:r>
    </w:p>
    <w:p>
      <w:pPr>
        <w:pStyle w:val="ListBullet"/>
        <w:spacing w:line="276" w:lineRule="auto" w:after="80"/>
      </w:pPr>
      <w:r>
        <w:rPr>
          <w:b/>
          <w:color w:val="1A202C"/>
        </w:rPr>
        <w:t xml:space="preserve">reportlab (v4.2.5): </w:t>
      </w:r>
      <w:r>
        <w:t>Comprehensive PDF generation engine utilized in services/pdf_service.py to programmatically layout, style, and compile study guides into print-ready documents.</w:t>
      </w:r>
    </w:p>
    <w:p>
      <w:pPr>
        <w:pStyle w:val="ListBullet"/>
        <w:spacing w:line="276" w:lineRule="auto" w:after="80"/>
      </w:pPr>
      <w:r>
        <w:rPr>
          <w:b/>
          <w:color w:val="1A202C"/>
        </w:rPr>
        <w:t xml:space="preserve">python-dotenv (v1.0.1): </w:t>
      </w:r>
      <w:r>
        <w:t>Loads environment variables seamlessly from .env files into os.environ, enabling runtime configuration of OLLAMA_BASE_URL, OLLAMA_MODEL, and timeouts.</w:t>
      </w:r>
    </w:p>
    <w:p>
      <w:pPr>
        <w:pStyle w:val="ListBullet"/>
        <w:spacing w:line="276" w:lineRule="auto" w:after="80"/>
      </w:pPr>
      <w:r>
        <w:rPr>
          <w:b/>
          <w:color w:val="1A202C"/>
        </w:rPr>
        <w:t xml:space="preserve">werkzeug.security: </w:t>
      </w:r>
      <w:r>
        <w:t>Flask-bundled security library supplying generate_password_hash and check_password_hash algorithms for secure user password storage via salted PBKDF2 hashing.</w:t>
      </w:r>
    </w:p>
    <w:p>
      <w:pPr>
        <w:pStyle w:val="ListBullet"/>
        <w:spacing w:line="276" w:lineRule="auto" w:after="80"/>
      </w:pPr>
      <w:r>
        <w:rPr>
          <w:b/>
          <w:color w:val="1A202C"/>
        </w:rPr>
        <w:t xml:space="preserve">Python Standard Libraries (json, re, os, uuid, datetime, logging): </w:t>
      </w:r>
      <w:r>
        <w:t>Built-in modules providing JSON serialization/deserialization, regular expression cleanup of model fences, unique identifier generation, timestamps, and error logging.</w:t>
      </w:r>
    </w:p>
    <w:p>
      <w:pPr>
        <w:keepNext/>
        <w:spacing w:before="280" w:after="80"/>
      </w:pPr>
      <w:r>
        <w:rPr>
          <w:b/>
          <w:color w:val="0F294A"/>
          <w:sz w:val="26"/>
        </w:rPr>
        <w:t>10. References</w:t>
      </w:r>
    </w:p>
    <w:p>
      <w:pPr>
        <w:spacing w:line="276" w:lineRule="auto" w:after="120"/>
      </w:pPr>
      <w:r>
        <w:t>The following references represent genuine, authoritative literature in machine learning, educational technology, natural language processing, and software engineering:</w:t>
      </w:r>
    </w:p>
    <w:p>
      <w:pPr>
        <w:spacing w:line="264" w:lineRule="auto" w:after="80"/>
        <w:ind w:left="432" w:hanging="432"/>
      </w:pPr>
      <w:r>
        <w:rPr>
          <w:sz w:val="19"/>
        </w:rPr>
        <w:t>[1] A. Vaswani, N. Shazeer, N. Parmar, J. Uszkoreit, L. Jones, A. N. Gomez, Ł. Kaiser, and I. Polosukhin, "Attention is all you need," in Advances in Neural Information Processing Systems (NeurIPS 2017), vol. 30, Long Beach, CA, USA, Dec. 2017, pp. 5998–6008.</w:t>
      </w:r>
    </w:p>
    <w:p>
      <w:pPr>
        <w:spacing w:line="264" w:lineRule="auto" w:after="80"/>
        <w:ind w:left="432" w:hanging="432"/>
      </w:pPr>
      <w:r>
        <w:rPr>
          <w:sz w:val="19"/>
        </w:rPr>
        <w:t>[2] A. Dubey, A. Jauhri, A. Pandey, A. Kadian, A. Al-Dahle, A. Letman, A. Mathur, et al., "The Llama 3 herd of models," arXiv preprint arXiv:2407.21783, Jul. 2024.</w:t>
      </w:r>
    </w:p>
    <w:p>
      <w:pPr>
        <w:spacing w:line="264" w:lineRule="auto" w:after="80"/>
        <w:ind w:left="432" w:hanging="432"/>
      </w:pPr>
      <w:r>
        <w:rPr>
          <w:sz w:val="19"/>
        </w:rPr>
        <w:t>[3] M. Lewis, Y. Liu, N. Goyal, M. Ghazvininejad, A. Mohamed, O. Levy, V. Stoyanov, and L. Zettlemoyer, "BART: Denoising sequence-to-sequence pre-training for natural language generation, translation, and comprehension," in Proc. 58th Annu. Meeting Assoc. Comput. Linguistics (ACL 2020), Jul. 2020, pp. 7871–7880.</w:t>
      </w:r>
    </w:p>
    <w:p>
      <w:pPr>
        <w:spacing w:line="264" w:lineRule="auto" w:after="80"/>
        <w:ind w:left="432" w:hanging="432"/>
      </w:pPr>
      <w:r>
        <w:rPr>
          <w:sz w:val="19"/>
        </w:rPr>
        <w:t>[4] J. Dunlosky, K. A. Rawson, E. J. Marsh, M. J. Nathan, and D. T. Willingham, "Improving students' learning with effective learning techniques: Promising directions from cognitive and educational psychology," Psychol. Sci. Public Interest, vol. 14, no. 1, pp. 4–58, Jan. 2013.</w:t>
      </w:r>
    </w:p>
    <w:p>
      <w:pPr>
        <w:spacing w:line="264" w:lineRule="auto" w:after="80"/>
        <w:ind w:left="432" w:hanging="432"/>
      </w:pPr>
      <w:r>
        <w:rPr>
          <w:sz w:val="19"/>
        </w:rPr>
        <w:t>[5] T. Brown, B. Mann, N. Ryder, M. Subbiah, J. D. Kaplan, P. Dhariwal, A. Neelakantan, et al., "Language models are few-shot learners," in Advances in Neural Information Processing Systems (NeurIPS 2020), vol. 33, Dec. 2020, pp. 1877–1901.</w:t>
      </w:r>
    </w:p>
    <w:p>
      <w:pPr>
        <w:spacing w:line="264" w:lineRule="auto" w:after="80"/>
        <w:ind w:left="432" w:hanging="432"/>
      </w:pPr>
      <w:r>
        <w:rPr>
          <w:sz w:val="19"/>
        </w:rPr>
        <w:t>[6] J. Devlin, M.-W. Chang, K. Lee, and K. Toutanova, "BERT: Pre-training of deep bidirectional transformers for language understanding," in Proc. Conf. North Amer. Chapter Assoc. Comput. Linguistics: Hum. Lang. Technol. (NAACL-HLT 2019), Minneapolis, MN, USA, Jun. 2019, pp. 4171–4186.</w:t>
      </w:r>
    </w:p>
    <w:p>
      <w:pPr>
        <w:spacing w:line="264" w:lineRule="auto" w:after="80"/>
        <w:ind w:left="432" w:hanging="432"/>
      </w:pPr>
      <w:r>
        <w:rPr>
          <w:sz w:val="19"/>
        </w:rPr>
        <w:t>[7] C. Raffel, N. Shazeer, A. Roberts, K. Lee, S. Narang, M. Matena, Y. Zhou, W. Li, and P. J. Liu, "Exploring the limits of transfer learning with a unified text-to-text transformer," J. Mach. Learn. Res., vol. 21, no. 140, pp. 1–67, Jun. 2020.</w:t>
      </w:r>
    </w:p>
    <w:p>
      <w:pPr>
        <w:spacing w:line="264" w:lineRule="auto" w:after="80"/>
        <w:ind w:left="432" w:hanging="432"/>
      </w:pPr>
      <w:r>
        <w:rPr>
          <w:sz w:val="19"/>
        </w:rPr>
        <w:t>[8] H. Touvron, T. Lavril, G. Izacard, X. Martinet, M.-A. Lachaux, T. Lacroix, B. Rozière, et al., "LLaMA: Open and efficient foundation language models," arXiv preprint arXiv:2302.13971, Feb. 2023.</w:t>
      </w:r>
    </w:p>
    <w:p>
      <w:pPr>
        <w:spacing w:line="264" w:lineRule="auto" w:after="80"/>
        <w:ind w:left="432" w:hanging="432"/>
      </w:pPr>
      <w:r>
        <w:rPr>
          <w:sz w:val="19"/>
        </w:rPr>
        <w:t>[9] E. J. Hu, Y. Shen, P. Wallis, Z. Allen-Zhu, Y. Li, S. Wang, L. Wang, and W. Chen, "LoRA: Low-rank adaptation of large language models," in Proc. Int. Conf. Learn. Representations (ICLR 2022), Apr. 2022.</w:t>
      </w:r>
    </w:p>
    <w:p>
      <w:pPr>
        <w:spacing w:line="264" w:lineRule="auto" w:after="80"/>
        <w:ind w:left="432" w:hanging="432"/>
      </w:pPr>
      <w:r>
        <w:rPr>
          <w:sz w:val="19"/>
        </w:rPr>
        <w:t>[10] T. Dettmers, A. Pagnoni, A. Holtzman, and L. Zettlemoyer, "QLoRA: Efficient finetuning of quantized LLMs," in Advances in Neural Information Processing Systems (NeurIPS 2023), vol. 36, New Orleans, LA, USA, Dec. 2023, pp. 10088–10115.</w:t>
      </w:r>
    </w:p>
    <w:p>
      <w:pPr>
        <w:spacing w:line="264" w:lineRule="auto" w:after="80"/>
        <w:ind w:left="432" w:hanging="432"/>
      </w:pPr>
      <w:r>
        <w:rPr>
          <w:sz w:val="19"/>
        </w:rPr>
        <w:t>[11] J. Thorne, A. Vlachos, C. Christodoulopoulos, and A. Mittal, "FEVER: A large-scale dataset for fact extraction and VERification," in Proc. Conf. North Amer. Chapter Assoc. Comput. Linguistics: Hum. Lang. Technol. (NAACL-HLT 2018), New Orleans, LA, USA, Jun. 2018, pp. 809–819.</w:t>
      </w:r>
    </w:p>
    <w:p>
      <w:pPr>
        <w:spacing w:line="264" w:lineRule="auto" w:after="80"/>
        <w:ind w:left="432" w:hanging="432"/>
      </w:pPr>
      <w:r>
        <w:rPr>
          <w:sz w:val="19"/>
        </w:rPr>
        <w:t>[12] P. Grinschgl, K. Guo, and M. Meyer, "Using artificial intelligence in education: High-yield study strategies augmented by generative AI," Comput. Educ.: Artif. Intell., vol. 5, p. 100192, Dec. 2023.</w:t>
      </w:r>
    </w:p>
    <w:p>
      <w:pPr>
        <w:spacing w:line="264" w:lineRule="auto" w:after="80"/>
        <w:ind w:left="432" w:hanging="432"/>
      </w:pPr>
      <w:r>
        <w:rPr>
          <w:sz w:val="19"/>
        </w:rPr>
        <w:t>[13] M. Grinberg, Flask Web Development: Developing Web Applications with Python, 2nd ed. Sebastopol, CA, USA: O'Reilly Media, 2018.</w:t>
      </w:r>
    </w:p>
    <w:p>
      <w:pPr>
        <w:spacing w:line="264" w:lineRule="auto" w:after="80"/>
        <w:ind w:left="432" w:hanging="432"/>
      </w:pPr>
      <w:r>
        <w:rPr>
          <w:sz w:val="19"/>
        </w:rPr>
        <w:t>[14] Ollama Development Team, "Ollama: Get up and running with large language models locally," 2024. [Online]. Available: https://github.com/ollama/ollama.</w:t>
      </w:r>
    </w:p>
    <w:p>
      <w:pPr>
        <w:spacing w:line="264" w:lineRule="auto" w:after="80"/>
        <w:ind w:left="432" w:hanging="432"/>
      </w:pPr>
      <w:r>
        <w:rPr>
          <w:sz w:val="19"/>
        </w:rPr>
        <w:t>[15] ReportLab Europe Ltd., ReportLab PDF Generation User Guide, London, UK: ReportLab Europe, 2024. [Online]. Available: https://www.reportlab.com/docs/reportlab-userguide.pdf.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