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9db49a9f772481a" /><Relationship Type="http://schemas.openxmlformats.org/package/2006/relationships/metadata/core-properties" Target="/docProps/core.xml" Id="Rdd94dbc63715411f" /><Relationship Type="http://schemas.openxmlformats.org/officeDocument/2006/relationships/extended-properties" Target="/docProps/app.xml" Id="R635c4127f002404f" /><Relationship Type="http://schemas.openxmlformats.org/officeDocument/2006/relationships/custom-properties" Target="/docProps/custom.xml" Id="Recc0066e20764fc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60"/>
        <w:jc w:val="center"/>
      </w:pPr>
      <w:r>
        <w:rPr>
          <w:b/>
          <w:sz w:val="44"/>
        </w:rPr>
        <w:t xml:space="preserve">COVID-19 Global Business Intelligence Report (2020–2024)</w:t>
      </w:r>
    </w:p>
    <w:p w14:paraId="00100002" w14:textId="00100003">
      <w:pPr>
        <w:spacing w:after="120"/>
        <w:jc w:val="center"/>
      </w:pPr>
      <w:r>
        <w:rPr>
          <w:color w:val="57606A"/>
          <w:sz w:val="20"/>
        </w:rPr>
        <w:t xml:space="preserve">Prepared by: COVID-19 Analytics Team  |  Data Source: WHO Global Dataset  |  Period: January 2020 – August 2024</w:t>
      </w:r>
    </w:p>
    <w:p w14:paraId="00100004" w14:textId="00100005">
      <w:pPr>
        <w:spacing w:after="360"/>
        <w:jc w:val="center"/>
      </w:pPr>
      <w:r>
        <w:rPr>
          <w:color w:val="3B82D4"/>
          <w:sz w:val="20"/>
        </w:rPr>
        <w:t xml:space="preserve">Dataset Source: https://www.kaggle.com/datasets/abdoomoh/daily-covid-19-data-2020-2024</w:t>
      </w:r>
    </w:p>
    <w:p w14:paraId="00100006" w14:textId="00100007">
      <w:pPr>
        <w:pStyle w:val="Heading2"/>
        <w:spacing w:before="240" w:after="120"/>
      </w:pPr>
      <w:r>
        <w:rPr>
          <w:b/>
          <w:sz w:val="28"/>
        </w:rPr>
        <w:t xml:space="preserve">Table of Contents</w:t>
      </w:r>
    </w:p>
    <w:p w14:paraId="00100008" w14:textId="00100009">
      <w:pPr>
        <w:spacing w:after="60"/>
      </w:pPr>
      <w:r>
        <w:rPr>
          <w:sz w:val="22"/>
        </w:rPr>
        <w:t xml:space="preserve">1. Executive Overview</w:t>
      </w:r>
    </w:p>
    <w:p w14:paraId="0010000A" w14:textId="0010000B">
      <w:pPr>
        <w:spacing w:after="60"/>
      </w:pPr>
      <w:r>
        <w:rPr>
          <w:sz w:val="22"/>
        </w:rPr>
        <w:t xml:space="preserve">2. Dataset Description</w:t>
      </w:r>
    </w:p>
    <w:p w14:paraId="0010000C" w14:textId="0010000D">
      <w:pPr>
        <w:spacing w:after="60"/>
      </w:pPr>
      <w:r>
        <w:rPr>
          <w:sz w:val="22"/>
        </w:rPr>
        <w:t xml:space="preserve">3. Data Processing &amp; Methodology</w:t>
      </w:r>
    </w:p>
    <w:p w14:paraId="0010000E" w14:textId="0010000F">
      <w:pPr>
        <w:spacing w:after="60"/>
      </w:pPr>
      <w:r>
        <w:rPr>
          <w:sz w:val="22"/>
        </w:rPr>
        <w:t xml:space="preserve">4. Regional Analysis</w:t>
      </w:r>
    </w:p>
    <w:p w14:paraId="00100010" w14:textId="00100011">
      <w:pPr>
        <w:spacing w:after="60"/>
      </w:pPr>
      <w:r>
        <w:rPr>
          <w:sz w:val="22"/>
        </w:rPr>
        <w:t xml:space="preserve">5. Risk, Opportunity &amp; Action</w:t>
      </w:r>
    </w:p>
    <w:p w14:paraId="00100012" w14:textId="00100013">
      <w:pPr>
        <w:spacing w:after="60"/>
      </w:pPr>
      <w:r>
        <w:rPr>
          <w:sz w:val="22"/>
        </w:rPr>
        <w:t xml:space="preserve">6. Dashboard Overview</w:t>
      </w:r>
    </w:p>
    <w:p w14:paraId="00100014" w14:textId="00100015">
      <w:pPr>
        <w:spacing w:after="60"/>
      </w:pPr>
      <w:r>
        <w:rPr>
          <w:sz w:val="22"/>
        </w:rPr>
        <w:t xml:space="preserve">7. Key Insights Summary</w:t>
      </w:r>
    </w:p>
    <w:p w14:paraId="00100016" w14:textId="00100017">
      <w:pPr>
        <w:spacing w:after="60"/>
      </w:pPr>
      <w:r>
        <w:rPr>
          <w:sz w:val="22"/>
        </w:rPr>
        <w:t xml:space="preserve">8. Recommendations</w:t>
      </w:r>
    </w:p>
    <w:p w14:paraId="00100018" w14:textId="00100019">
      <w:pPr>
        <w:spacing w:after="360"/>
      </w:pPr>
      <w:r>
        <w:rPr>
          <w:sz w:val="22"/>
        </w:rPr>
        <w:t xml:space="preserve">9. Conclusion</w:t>
      </w:r>
    </w:p>
    <w:p w14:paraId="0010001A" w14:textId="0010001B">
      <w:pPr>
        <w:pStyle w:val="Heading1"/>
        <w:spacing w:before="320" w:after="160"/>
      </w:pPr>
      <w:r>
        <w:rPr>
          <w:b/>
          <w:sz w:val="36"/>
        </w:rPr>
        <w:t xml:space="preserve">1. Executive Overview</w:t>
      </w:r>
    </w:p>
    <w:p w14:paraId="0010001C" w14:textId="0010001D">
      <w:pPr>
        <w:spacing w:after="160"/>
      </w:pPr>
      <w:r>
        <w:rPr>
          <w:sz w:val="22"/>
        </w:rPr>
        <w:t xml:space="preserve">The COVID-19 pandemic, first detected in late 2019, rapidly escalated into the most significant global public health crisis of the 21st century. Over the period from January 2020 to August 2024, the World Health Organization (WHO) recorded hundreds of millions of confirmed cases and millions of deaths across all six WHO regions plus territories classified as 'Other'.</w:t>
      </w:r>
    </w:p>
    <w:p w14:paraId="0010001E" w14:textId="0010001F">
      <w:pPr>
        <w:spacing w:after="160"/>
      </w:pPr>
      <w:r>
        <w:rPr>
          <w:sz w:val="22"/>
        </w:rPr>
        <w:t xml:space="preserve">This report provides a comprehensive Business Intelligence (BI) analysis of the WHO COVID-19 global dataset, structured around three core questions: (1) What was the total global burden? (2) How did WHO regions compare in terms of cases, deaths, and case fatality ratios? (3) Where does the highest residual risk lie, and what interventions are most impactful?</w:t>
      </w:r>
    </w:p>
    <w:p w14:paraId="00100020" w14:textId="00100021">
      <w:pPr>
        <w:spacing w:after="160"/>
      </w:pPr>
      <w:r>
        <w:rPr>
          <w:sz w:val="22"/>
        </w:rPr>
        <w:t xml:space="preserve">All findings are structured using the Fact → Insight → Risk/Opportunity → Action framework to ensure that analysis directly informs decision-making.</w:t>
      </w:r>
    </w:p>
    <w:p w14:paraId="00100022" w14:textId="00100023">
      <w:pPr>
        <w:pStyle w:val="Heading2"/>
        <w:spacing w:before="240" w:after="120"/>
      </w:pPr>
      <w:r>
        <w:rPr>
          <w:b/>
          <w:sz w:val="28"/>
        </w:rPr>
        <w:t xml:space="preserve">Global KPI Summary</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4" w14:textId="00100025">
            <w:r>
              <w:t xml:space="preserve">KPI Metric</w:t>
            </w:r>
          </w:p>
        </w:tc>
        <w:tc>
          <w:p w14:paraId="00100026" w14:textId="00100027">
            <w:r>
              <w:t xml:space="preserve">Value</w:t>
            </w:r>
          </w:p>
        </w:tc>
      </w:tr>
      <w:tr>
        <w:trPr/>
        <w:tc>
          <w:p w14:paraId="00100028" w14:textId="00100029">
            <w:r>
              <w:t xml:space="preserve">Total Confirmed Cases (2020–2024, partial year)</w:t>
            </w:r>
          </w:p>
        </w:tc>
        <w:tc>
          <w:p w14:paraId="0010002A" w14:textId="0010002B">
            <w:r>
              <w:t xml:space="preserve">~770 Million (WHO reported)</w:t>
            </w:r>
          </w:p>
        </w:tc>
      </w:tr>
      <w:tr>
        <w:trPr/>
        <w:tc>
          <w:p w14:paraId="0010002C" w14:textId="0010002D">
            <w:r>
              <w:t xml:space="preserve">Total Confirmed Deaths (2020–2024, partial year)</w:t>
            </w:r>
          </w:p>
        </w:tc>
        <w:tc>
          <w:p w14:paraId="0010002E" w14:textId="0010002F">
            <w:r>
              <w:t xml:space="preserve">~7 Million (WHO reported)</w:t>
            </w:r>
          </w:p>
        </w:tc>
      </w:tr>
      <w:tr>
        <w:trPr/>
        <w:tc>
          <w:p w14:paraId="00100030" w14:textId="00100031">
            <w:r>
              <w:t xml:space="preserve">Global Case Fatality Ratio (CFR)</w:t>
            </w:r>
          </w:p>
        </w:tc>
        <w:tc>
          <w:p w14:paraId="00100032" w14:textId="00100033">
            <w:r>
              <w:t xml:space="preserve">~1.0% (full period average)</w:t>
            </w:r>
          </w:p>
        </w:tc>
      </w:tr>
      <w:tr>
        <w:trPr/>
        <w:tc>
          <w:p w14:paraId="00100034" w14:textId="00100035">
            <w:r>
              <w:t xml:space="preserve">Countries / Territories Reporting</w:t>
            </w:r>
          </w:p>
        </w:tc>
        <w:tc>
          <w:p w14:paraId="00100036" w14:textId="00100037">
            <w:r>
              <w:t xml:space="preserve">222</w:t>
            </w:r>
          </w:p>
        </w:tc>
      </w:tr>
      <w:tr>
        <w:trPr/>
        <w:tc>
          <w:p w14:paraId="00100038" w14:textId="00100039">
            <w:r>
              <w:t xml:space="preserve">Peak Case Month</w:t>
            </w:r>
          </w:p>
        </w:tc>
        <w:tc>
          <w:p w14:paraId="0010003A" w14:textId="0010003B">
            <w:r>
              <w:t xml:space="preserve">January–February 2022 (Omicron wave)</w:t>
            </w:r>
          </w:p>
        </w:tc>
      </w:tr>
    </w:tbl>
    <w:p w14:paraId="0010003C" w14:textId="0010003D">
      <w:pPr>
        <w:pStyle w:val="Heading1"/>
        <w:spacing w:before="400" w:after="160"/>
      </w:pPr>
      <w:r>
        <w:rPr>
          <w:b/>
          <w:sz w:val="36"/>
        </w:rPr>
        <w:t xml:space="preserve">2. Dataset Description</w:t>
      </w:r>
    </w:p>
    <w:p w14:paraId="0010003E" w14:textId="0010003F">
      <w:pPr>
        <w:spacing w:after="160"/>
      </w:pPr>
      <w:r>
        <w:rPr>
          <w:sz w:val="22"/>
        </w:rPr>
        <w:t xml:space="preserve">The primary dataset used in this analysis is the WHO-COVID-19-global-data.csv file, part of the 'Daily COVID-19 Data (2020-2024)' collection published on Kaggle.</w:t>
      </w:r>
    </w:p>
    <w:p w14:paraId="00100040" w14:textId="00100041">
      <w:pPr>
        <w:spacing w:after="160"/>
      </w:pPr>
      <w:r>
        <w:rPr>
          <w:color w:val="3B82D4"/>
          <w:sz w:val="22"/>
        </w:rPr>
        <w:t xml:space="preserve">Dataset URL: https://www.kaggle.com/datasets/abdoomoh/daily-covid-19-data-2020-2024</w:t>
      </w:r>
    </w:p>
    <w:p w14:paraId="00100042" w14:textId="00100043">
      <w:pPr>
        <w:pStyle w:val="Heading2"/>
        <w:spacing w:before="200" w:after="120"/>
      </w:pPr>
      <w:r>
        <w:rPr>
          <w:b/>
          <w:sz w:val="28"/>
        </w:rPr>
        <w:t xml:space="preserve">Dataset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4" w14:textId="00100045">
            <w:r>
              <w:t xml:space="preserve">Column Name</w:t>
            </w:r>
          </w:p>
        </w:tc>
        <w:tc>
          <w:p w14:paraId="00100046" w14:textId="00100047">
            <w:r>
              <w:t xml:space="preserve">Data Type</w:t>
            </w:r>
          </w:p>
        </w:tc>
        <w:tc>
          <w:p w14:paraId="00100048" w14:textId="00100049">
            <w:r>
              <w:t xml:space="preserve">Description</w:t>
            </w:r>
          </w:p>
        </w:tc>
      </w:tr>
      <w:tr>
        <w:trPr/>
        <w:tc>
          <w:p w14:paraId="0010004A" w14:textId="0010004B">
            <w:r>
              <w:t xml:space="preserve">Date_reported</w:t>
            </w:r>
          </w:p>
        </w:tc>
        <w:tc>
          <w:p w14:paraId="0010004C" w14:textId="0010004D">
            <w:r>
              <w:t xml:space="preserve">String (DD/MM/YYYY)</w:t>
            </w:r>
          </w:p>
        </w:tc>
        <w:tc>
          <w:p w14:paraId="0010004E" w14:textId="0010004F">
            <w:r>
              <w:t xml:space="preserve">Date of case/death report to WHO</w:t>
            </w:r>
          </w:p>
        </w:tc>
      </w:tr>
      <w:tr>
        <w:trPr/>
        <w:tc>
          <w:p w14:paraId="00100050" w14:textId="00100051">
            <w:r>
              <w:t xml:space="preserve">Country_code</w:t>
            </w:r>
          </w:p>
        </w:tc>
        <w:tc>
          <w:p w14:paraId="00100052" w14:textId="00100053">
            <w:r>
              <w:t xml:space="preserve">String</w:t>
            </w:r>
          </w:p>
        </w:tc>
        <w:tc>
          <w:p w14:paraId="00100054" w14:textId="00100055">
            <w:r>
              <w:t xml:space="preserve">ISO 2-letter country/territory code</w:t>
            </w:r>
          </w:p>
        </w:tc>
      </w:tr>
      <w:tr>
        <w:trPr/>
        <w:tc>
          <w:p w14:paraId="00100056" w14:textId="00100057">
            <w:r>
              <w:t xml:space="preserve">Country</w:t>
            </w:r>
          </w:p>
        </w:tc>
        <w:tc>
          <w:p w14:paraId="00100058" w14:textId="00100059">
            <w:r>
              <w:t xml:space="preserve">String</w:t>
            </w:r>
          </w:p>
        </w:tc>
        <w:tc>
          <w:p w14:paraId="0010005A" w14:textId="0010005B">
            <w:r>
              <w:t xml:space="preserve">Full country or territory name</w:t>
            </w:r>
          </w:p>
        </w:tc>
      </w:tr>
      <w:tr>
        <w:trPr/>
        <w:tc>
          <w:p w14:paraId="0010005C" w14:textId="0010005D">
            <w:r>
              <w:t xml:space="preserve">WHO_region</w:t>
            </w:r>
          </w:p>
        </w:tc>
        <w:tc>
          <w:p w14:paraId="0010005E" w14:textId="0010005F">
            <w:r>
              <w:t xml:space="preserve">String</w:t>
            </w:r>
          </w:p>
        </w:tc>
        <w:tc>
          <w:p w14:paraId="00100060" w14:textId="00100061">
            <w:r>
              <w:t xml:space="preserve">WHO region code (AFRO, AMRO, EMRO, EURO, SEARO, WPRO, OTHER)</w:t>
            </w:r>
          </w:p>
        </w:tc>
      </w:tr>
      <w:tr>
        <w:trPr/>
        <w:tc>
          <w:p w14:paraId="00100062" w14:textId="00100063">
            <w:r>
              <w:t xml:space="preserve">New_cases</w:t>
            </w:r>
          </w:p>
        </w:tc>
        <w:tc>
          <w:p w14:paraId="00100064" w14:textId="00100065">
            <w:r>
              <w:t xml:space="preserve">Integer</w:t>
            </w:r>
          </w:p>
        </w:tc>
        <w:tc>
          <w:p w14:paraId="00100066" w14:textId="00100067">
            <w:r>
              <w:t xml:space="preserve">New confirmed cases in the reporting period</w:t>
            </w:r>
          </w:p>
        </w:tc>
      </w:tr>
      <w:tr>
        <w:trPr/>
        <w:tc>
          <w:p w14:paraId="00100068" w14:textId="00100069">
            <w:r>
              <w:t xml:space="preserve">Cumulative_cases</w:t>
            </w:r>
          </w:p>
        </w:tc>
        <w:tc>
          <w:p w14:paraId="0010006A" w14:textId="0010006B">
            <w:r>
              <w:t xml:space="preserve">Integer</w:t>
            </w:r>
          </w:p>
        </w:tc>
        <w:tc>
          <w:p w14:paraId="0010006C" w14:textId="0010006D">
            <w:r>
              <w:t xml:space="preserve">Running total of confirmed cases to date</w:t>
            </w:r>
          </w:p>
        </w:tc>
      </w:tr>
      <w:tr>
        <w:trPr/>
        <w:tc>
          <w:p w14:paraId="0010006E" w14:textId="0010006F">
            <w:r>
              <w:t xml:space="preserve">New_deaths</w:t>
            </w:r>
          </w:p>
        </w:tc>
        <w:tc>
          <w:p w14:paraId="00100070" w14:textId="00100071">
            <w:r>
              <w:t xml:space="preserve">Integer</w:t>
            </w:r>
          </w:p>
        </w:tc>
        <w:tc>
          <w:p w14:paraId="00100072" w14:textId="00100073">
            <w:r>
              <w:t xml:space="preserve">New confirmed deaths in the reporting period</w:t>
            </w:r>
          </w:p>
        </w:tc>
      </w:tr>
      <w:tr>
        <w:trPr/>
        <w:tc>
          <w:p w14:paraId="00100074" w14:textId="00100075">
            <w:r>
              <w:t xml:space="preserve">Cumulative_deaths</w:t>
            </w:r>
          </w:p>
        </w:tc>
        <w:tc>
          <w:p w14:paraId="00100076" w14:textId="00100077">
            <w:r>
              <w:t xml:space="preserve">Integer</w:t>
            </w:r>
          </w:p>
        </w:tc>
        <w:tc>
          <w:p w14:paraId="00100078" w14:textId="00100079">
            <w:r>
              <w:t xml:space="preserve">Running total of confirmed deaths to date</w:t>
            </w:r>
          </w:p>
        </w:tc>
      </w:tr>
    </w:tbl>
    <w:p w14:paraId="0010007A" w14:textId="0010007B">
      <w:pPr>
        <w:pStyle w:val="Heading2"/>
        <w:spacing w:before="200" w:after="120"/>
      </w:pPr>
      <w:r>
        <w:rPr>
          <w:b/>
          <w:sz w:val="28"/>
        </w:rPr>
        <w:t xml:space="preserve">Data Characteristics</w:t>
      </w:r>
    </w:p>
    <w:p w14:paraId="0010007C" w14:textId="0010007D">
      <w:pPr>
        <w:spacing w:after="80"/>
      </w:pPr>
      <w:r>
        <w:rPr>
          <w:sz w:val="22"/>
        </w:rPr>
        <w:t xml:space="preserve">• Total rows: 57,841 weekly country-level records</w:t>
      </w:r>
    </w:p>
    <w:p w14:paraId="0010007E" w14:textId="0010007F">
      <w:pPr>
        <w:spacing w:after="80"/>
      </w:pPr>
      <w:r>
        <w:rPr>
          <w:sz w:val="22"/>
        </w:rPr>
        <w:t xml:space="preserve">• Countries/territories: 237 reporting entities</w:t>
      </w:r>
    </w:p>
    <w:p w14:paraId="00100080" w14:textId="00100081">
      <w:pPr>
        <w:spacing w:after="80"/>
      </w:pPr>
      <w:r>
        <w:rPr>
          <w:sz w:val="22"/>
        </w:rPr>
        <w:t xml:space="preserve">• WHO Regions: AFRO, AMRO, EMRO, EURO, SEARO, WPRO, OTHER</w:t>
      </w:r>
    </w:p>
    <w:p w14:paraId="00100082" w14:textId="00100083">
      <w:pPr>
        <w:spacing w:after="80"/>
      </w:pPr>
      <w:r>
        <w:rPr>
          <w:sz w:val="22"/>
        </w:rPr>
        <w:t xml:space="preserve">• Reporting frequency: Weekly (aggregated from daily)</w:t>
      </w:r>
    </w:p>
    <w:p w14:paraId="00100084" w14:textId="00100085">
      <w:pPr>
        <w:spacing w:after="240"/>
      </w:pPr>
      <w:r>
        <w:rPr>
          <w:sz w:val="22"/>
        </w:rPr>
        <w:t xml:space="preserve">• Date range: 5 January 2020 – 11 August 2024</w:t>
      </w:r>
    </w:p>
    <w:p w14:paraId="00100086" w14:textId="00100087">
      <w:pPr>
        <w:pStyle w:val="Heading1"/>
        <w:spacing w:before="400" w:after="160"/>
      </w:pPr>
      <w:r>
        <w:rPr>
          <w:b/>
          <w:sz w:val="36"/>
        </w:rPr>
        <w:t xml:space="preserve">3. Data Processing &amp; Methodology</w:t>
      </w:r>
    </w:p>
    <w:p w14:paraId="00100088" w14:textId="00100089">
      <w:pPr>
        <w:spacing w:after="160"/>
      </w:pPr>
      <w:r>
        <w:rPr>
          <w:sz w:val="22"/>
        </w:rPr>
        <w:t xml:space="preserve">The data pipeline implemented in covid_dashboard.py performs the following steps:</w:t>
      </w:r>
    </w:p>
    <w:p w14:paraId="0010008A" w14:textId="0010008B">
      <w:pPr>
        <w:pStyle w:val="Heading2"/>
        <w:spacing w:before="200" w:after="120"/>
      </w:pPr>
      <w:r>
        <w:rPr>
          <w:b/>
          <w:sz w:val="28"/>
        </w:rPr>
        <w:t xml:space="preserve">3.1 Data Ingestion</w:t>
      </w:r>
    </w:p>
    <w:p w14:paraId="0010008C" w14:textId="0010008D">
      <w:pPr>
        <w:spacing w:after="160"/>
      </w:pPr>
      <w:r>
        <w:rPr>
          <w:sz w:val="22"/>
        </w:rPr>
        <w:t xml:space="preserve">The CSV file uses semicolons as delimiters. pandas.read_csv() is called with sep=';' to correctly parse all fields. Column names are stripped of whitespace.</w:t>
      </w:r>
    </w:p>
    <w:p w14:paraId="0010008E" w14:textId="0010008F">
      <w:pPr>
        <w:pStyle w:val="Heading2"/>
        <w:spacing w:before="200" w:after="120"/>
      </w:pPr>
      <w:r>
        <w:rPr>
          <w:b/>
          <w:sz w:val="28"/>
        </w:rPr>
        <w:t xml:space="preserve">3.2 Data Cleaning</w:t>
      </w:r>
    </w:p>
    <w:p w14:paraId="00100090" w14:textId="00100091">
      <w:pPr>
        <w:spacing w:after="80"/>
      </w:pPr>
      <w:r>
        <w:rPr>
          <w:sz w:val="22"/>
        </w:rPr>
        <w:t xml:space="preserve">• Date parsing: Date_reported converted from DD/MM/YYYY string format to pandas datetime objects. Rows with unparseable dates are dropped (negligible count).</w:t>
      </w:r>
    </w:p>
    <w:p w14:paraId="00100092" w14:textId="00100093">
      <w:pPr>
        <w:spacing w:after="80"/>
      </w:pPr>
      <w:r>
        <w:rPr>
          <w:sz w:val="22"/>
        </w:rPr>
        <w:t xml:space="preserve">• Numeric coercion: New_cases, Cumulative_cases, New_deaths, and Cumulative_deaths are coerced to numeric types; non-numeric values (empty strings, dashes) are replaced with 0.</w:t>
      </w:r>
    </w:p>
    <w:p w14:paraId="00100094" w14:textId="00100095">
      <w:pPr>
        <w:spacing w:after="80"/>
      </w:pPr>
      <w:r>
        <w:rPr>
          <w:sz w:val="22"/>
        </w:rPr>
        <w:t xml:space="preserve">• Negative value correction: Values below 0 are clipped to 0 to handle retrospective reporting corrections.</w:t>
      </w:r>
    </w:p>
    <w:p w14:paraId="00100096" w14:textId="00100097">
      <w:pPr>
        <w:spacing w:after="160"/>
      </w:pPr>
      <w:r>
        <w:rPr>
          <w:sz w:val="22"/>
        </w:rPr>
        <w:t xml:space="preserve">• Year filtering: Only records from 2020 to 2024 are retained.</w:t>
      </w:r>
    </w:p>
    <w:p w14:paraId="00100098" w14:textId="00100099">
      <w:pPr>
        <w:pStyle w:val="Heading2"/>
        <w:spacing w:before="200" w:after="120"/>
      </w:pPr>
      <w:r>
        <w:rPr>
          <w:b/>
          <w:sz w:val="28"/>
        </w:rPr>
        <w:t xml:space="preserve">3.3 Feature Engineering</w:t>
      </w:r>
    </w:p>
    <w:p w14:paraId="0010009A" w14:textId="0010009B">
      <w:pPr>
        <w:spacing w:after="80"/>
      </w:pPr>
      <w:r>
        <w:rPr>
          <w:sz w:val="22"/>
        </w:rPr>
        <w:t xml:space="preserve">• Year and YearMonth columns derived from Date_reported for temporal aggregation.</w:t>
      </w:r>
    </w:p>
    <w:p w14:paraId="0010009C" w14:textId="0010009D">
      <w:pPr>
        <w:spacing w:after="80"/>
      </w:pPr>
      <w:r>
        <w:rPr>
          <w:sz w:val="22"/>
        </w:rPr>
        <w:t xml:space="preserve">• Case Fatality Ratio (CFR) computed as: CFR = (Total Deaths / Total Cases) × 100 at country, region, and global levels.</w:t>
      </w:r>
    </w:p>
    <w:p w14:paraId="0010009E" w14:textId="0010009F">
      <w:pPr>
        <w:spacing w:after="80"/>
      </w:pPr>
      <w:r>
        <w:rPr>
          <w:sz w:val="22"/>
        </w:rPr>
        <w:t xml:space="preserve">• Region labels mapped from WHO region codes to full descriptive names.</w:t>
      </w:r>
    </w:p>
    <w:p w14:paraId="001000A0" w14:textId="001000A1">
      <w:pPr>
        <w:spacing w:after="160"/>
      </w:pPr>
      <w:r>
        <w:rPr>
          <w:sz w:val="22"/>
        </w:rPr>
        <w:t xml:space="preserve">• Risk tier classification: Countries with CFR &gt; 3% and total cases &gt; 1,000 are flagged as high-risk.</w:t>
      </w:r>
    </w:p>
    <w:p w14:paraId="001000A2" w14:textId="001000A3">
      <w:pPr>
        <w:pStyle w:val="Heading2"/>
        <w:spacing w:before="200" w:after="120"/>
      </w:pPr>
      <w:r>
        <w:rPr>
          <w:b/>
          <w:sz w:val="28"/>
        </w:rPr>
        <w:t xml:space="preserve">3.4 Vaccination Impact Proxy</w:t>
      </w:r>
    </w:p>
    <w:p w14:paraId="001000A4" w14:textId="001001E0">
      <w:pPr>
        <w:spacing w:after="160"/>
      </w:pPr>
      <w:r>
        <w:rPr>
          <w:sz w:val="22"/>
        </w:rPr>
        <w:t xml:space="preserve">Since vaccination-specific data files were not available in the current dataset deployment, the temporal trend of Case Fatality Ratio (CFR) serves as the primary proxy for vaccination impact. A sustained decline in CFR from 2021 onward—coinciding with global vaccination rollouts—provides strong correlational evidence of vaccination effectiveness. This methodology is consistent with published epidemiological literature on COVID-19 mortality reduction.</w:t>
      </w:r>
    </w:p>
    <w:p w14:paraId="001001E1" w14:textId="001001E2">
      <w:pPr>
        <w:spacing w:after="240"/>
      </w:pPr>
      <w:r>
        <w:rPr>
          <w:sz w:val="22"/>
        </w:rPr>
        <w:t xml:space="preserve">Note: 2024 data in the dataset is partial (through August 2024) and reporting coverage varies by region. This can distort year-over-year CFR comparisons for the most recent year — for example, AMRO's 2024 CFR appears anomalously high due to limited case reporting relative to deaths in that partial reporting window, and should be treated as a data artifact rather than a genuine trend. Because of this, all 2020–2024 headline totals and averages reported elsewhere in this document (Executive Overview KPIs, regional summary table, Key Insights Summary) include the partial 2024 window and should be read as "through August 2024" rather than full-year figures. Wherever a 2024-specific value is cited individually (e.g., in trend or heatmap discussion), it is explicitly marked as partial-year.</w:t>
      </w:r>
    </w:p>
    <w:p w14:paraId="001000A6" w14:textId="001000A7">
      <w:pPr>
        <w:pStyle w:val="Heading1"/>
        <w:spacing w:before="400" w:after="160"/>
      </w:pPr>
      <w:r>
        <w:rPr>
          <w:b/>
          <w:sz w:val="36"/>
        </w:rPr>
        <w:t xml:space="preserve">4. Regional Analysis</w:t>
      </w:r>
    </w:p>
    <w:p w14:paraId="001000A8" w14:textId="001000A9">
      <w:pPr>
        <w:pStyle w:val="Heading2"/>
        <w:spacing w:before="200" w:after="120"/>
      </w:pPr>
      <w:r>
        <w:rPr>
          <w:b/>
          <w:sz w:val="28"/>
        </w:rPr>
        <w:t xml:space="preserve">4.1 Case &amp; Death Distribution by WHO Region</w:t>
      </w:r>
    </w:p>
    <w:p w14:paraId="001000AA" w14:textId="001000AB">
      <w:pPr>
        <w:spacing w:after="80"/>
      </w:pPr>
      <w:r>
        <w:rPr>
          <w:b/>
          <w:sz w:val="22"/>
        </w:rPr>
        <w:t xml:space="preserve">FACT: The European (EURO) and American (AMRO) WHO regions dominate global confirmed case counts, collectively accounting for over 60% of all reported cases between 2020 and 2024.</w:t>
      </w:r>
    </w:p>
    <w:p w14:paraId="001000AC" w14:textId="001000AD">
      <w:pPr>
        <w:spacing w:after="80"/>
      </w:pPr>
      <w:r>
        <w:rPr>
          <w:sz w:val="22"/>
        </w:rPr>
        <w:t xml:space="preserve">INSIGHT: High case counts in EURO and AMRO reflect both genuine transmission intensity and superior surveillance infrastructure. Countries in these regions had higher testing rates and more systematic reporting, which inflates their share of global case totals relative to regions like AFRO and SEARO.</w:t>
      </w:r>
    </w:p>
    <w:p w14:paraId="001000AE" w14:textId="001000AF">
      <w:pPr>
        <w:spacing w:after="80"/>
      </w:pPr>
      <w:r>
        <w:rPr>
          <w:color w:val="C0392B"/>
          <w:sz w:val="22"/>
        </w:rPr>
        <w:t xml:space="preserve">RISK: Under-reporting in AFRO, EMRO, and parts of SEARO creates a resource allocation blind spot. True case and death burdens in these regions are substantially higher than official figures suggest.</w:t>
      </w:r>
    </w:p>
    <w:p w14:paraId="001000B0" w14:textId="001000B1">
      <w:pPr>
        <w:spacing w:after="240"/>
      </w:pPr>
      <w:r>
        <w:rPr>
          <w:color w:val="27AE60"/>
          <w:sz w:val="22"/>
        </w:rPr>
        <w:t xml:space="preserve">ACTION: Strengthen community-level testing and case reporting capacity in AFRO, EMRO, and SEARO through WHO technical assistance programmes and point-of-care diagnostics deployment.</w:t>
      </w:r>
    </w:p>
    <w:p w14:paraId="001000B2" w14:textId="001000B3">
      <w:pPr>
        <w:pStyle w:val="Heading2"/>
        <w:spacing w:before="200" w:after="120"/>
      </w:pPr>
      <w:r>
        <w:rPr>
          <w:b/>
          <w:sz w:val="28"/>
        </w:rPr>
        <w:t xml:space="preserve">4.2 Case Fatality Ratio by WHO Region</w:t>
      </w:r>
    </w:p>
    <w:p w14:paraId="001000B4" w14:textId="001000B5">
      <w:pPr>
        <w:spacing w:after="80"/>
      </w:pPr>
      <w:r>
        <w:rPr>
          <w:b/>
          <w:sz w:val="22"/>
        </w:rPr>
        <w:t xml:space="preserve">FACT: AFRO (Africa) and SEARO (South-East Asia) exhibit the highest Case Fatality Ratios among WHO regions (~1.9% and ~2.0% respectively on reported figures), while WPRO (Western Pacific) and EURO show relatively lower CFRs. AFRO's reported CFR is treated as the region of highest true risk despite SEARO's marginally higher reported figure, because AFRO's case counts are believed to be substantially under-reported relative to deaths — meaning AFRO's true CFR is likely higher than the reported ~1.9% once under-counted cases are accounted for. This adjustment is a judgement call based on known surveillance gaps, not a statistical correction applied to the dataset.</w:t>
      </w:r>
    </w:p>
    <w:p w14:paraId="001000B6" w14:textId="001000B7">
      <w:pPr>
        <w:spacing w:after="80"/>
      </w:pPr>
      <w:r>
        <w:rPr>
          <w:sz w:val="22"/>
        </w:rPr>
        <w:t xml:space="preserve">INSIGHT: Africa's elevated CFR is plausibly associated with several compounding factors: limited ICU and oxygen supply capacity, delayed diagnosis due to low testing rates, older healthcare infrastructure, and lower vaccination coverage relative to other regions. This is a qualitative, domain-informed interpretation based on known regional health-system characteristics — the dataset itself contains no healthcare-capacity or infrastructure variables, so this association has not been statistically tested (e.g., via regression) against the CFR figures reported here.</w:t>
      </w:r>
    </w:p>
    <w:p w14:paraId="001000B8" w14:textId="001000B9">
      <w:pPr>
        <w:spacing w:after="80"/>
      </w:pPr>
      <w:r>
        <w:rPr>
          <w:color w:val="C0392B"/>
          <w:sz w:val="22"/>
        </w:rPr>
        <w:t xml:space="preserve">RISK: Without targeted intervention, future pandemic waves will produce disproportionately high mortality in African nations. This represents an equity failure with global implications, as uncontrolled transmission in any region creates variant emergence risk worldwide.</w:t>
      </w:r>
    </w:p>
    <w:p w14:paraId="001000BA" w14:textId="001000BB">
      <w:pPr>
        <w:spacing w:after="240"/>
      </w:pPr>
      <w:r>
        <w:rPr>
          <w:color w:val="27AE60"/>
          <w:sz w:val="22"/>
        </w:rPr>
        <w:t xml:space="preserve">ACTION: Prioritise COVAX allocations, healthcare worker training programmes, and ICU capacity grants in high-CFR African nations. Target countries with CFR &gt; 5% for emergency infrastructure investment.</w:t>
      </w:r>
    </w:p>
    <w:p w14:paraId="001000BC" w14:textId="001000BD">
      <w:pPr>
        <w:pStyle w:val="Heading2"/>
        <w:spacing w:before="200" w:after="120"/>
      </w:pPr>
      <w:r>
        <w:rPr>
          <w:b/>
          <w:sz w:val="28"/>
        </w:rPr>
        <w:t xml:space="preserve">4.3 Temporal Trends: The Vaccination Effect</w:t>
      </w:r>
    </w:p>
    <w:p w14:paraId="001000BE" w14:textId="001001DC">
      <w:pPr>
        <w:spacing w:after="80"/>
      </w:pPr>
      <w:r>
        <w:rPr>
          <w:b/>
          <w:sz w:val="22"/>
        </w:rPr>
        <w:t xml:space="preserve">FACT: CFR declined sharply across all WHO regions from 2020 to 2022, coinciding with the start of mass vaccination rollouts (e.g., WPRO: 1.85%→0.10%, EURO: 2.31%→0.28%). However, CFR partially rebounded in 2023 across EURO, EMRO, AMRO and SEARO.</w:t>
      </w:r>
    </w:p>
    <w:p w14:paraId="001000C0" w14:textId="001001DD">
      <w:pPr>
        <w:spacing w:after="80"/>
      </w:pPr>
      <w:r>
        <w:rPr>
          <w:sz w:val="22"/>
        </w:rPr>
        <w:t xml:space="preserve">INSIGHT: The 2020–2022 decline coincides with vaccination rollout and improved clinical management. The 2023 rebound most likely reflects reduced testing and surveillance as emergency measures wound down post-pandemic, inflating the CFR ratio rather than indicating genuinely worse clinical outcomes.</w:t>
      </w:r>
    </w:p>
    <w:p w14:paraId="001000C2" w14:textId="001001DE">
      <w:pPr>
        <w:spacing w:after="80"/>
      </w:pPr>
      <w:r>
        <w:rPr>
          <w:color w:val="C0392B"/>
          <w:sz w:val="22"/>
        </w:rPr>
        <w:t xml:space="preserve">RISK: The 2023 rebound is a data-quality signal, not a clinical one — but if surveillance continues to decline, genuine future outbreaks could go undetected until CFR spikes for real, delaying response.</w:t>
      </w:r>
    </w:p>
    <w:p w14:paraId="001000C4" w14:textId="001001DF">
      <w:pPr>
        <w:spacing w:after="240"/>
      </w:pPr>
      <w:r>
        <w:rPr>
          <w:color w:val="27AE60"/>
          <w:sz w:val="22"/>
        </w:rPr>
        <w:t xml:space="preserve">ACTION: Maintain minimum testing and reporting thresholds in the post-emergency period so CFR remains a reliable early-warning indicator rather than an artifact of reduced testing.</w:t>
      </w:r>
    </w:p>
    <w:p w14:paraId="001000C6" w14:textId="001000C7">
      <w:pPr>
        <w:pStyle w:val="Heading2"/>
        <w:spacing w:before="200" w:after="120"/>
      </w:pPr>
      <w:r>
        <w:rPr>
          <w:b/>
          <w:sz w:val="28"/>
        </w:rPr>
        <w:t xml:space="preserve">4.4 Regional Summary Table</w:t>
      </w:r>
    </w:p>
    <w:p w14:paraId="00100AAA" w14:textId="00100AAB">
      <w:pPr>
        <w:spacing w:after="120"/>
      </w:pPr>
      <w:r>
        <w:rPr>
          <w:i/>
          <w:sz w:val="20"/>
        </w:rPr>
        <w:t xml:space="preserve">Figures below cover 2020 through August 2024 (partial final year) and are WHO-reported values, not adjusted for regional under-reporting.</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C8" w14:textId="001000C9">
            <w:r>
              <w:t xml:space="preserve">WHO Region</w:t>
            </w:r>
          </w:p>
        </w:tc>
        <w:tc>
          <w:p w14:paraId="001000CA" w14:textId="001000CB">
            <w:r>
              <w:t xml:space="preserve">Total Cases</w:t>
            </w:r>
          </w:p>
        </w:tc>
        <w:tc>
          <w:p w14:paraId="001000CC" w14:textId="001000CD">
            <w:r>
              <w:t xml:space="preserve">Total Deaths</w:t>
            </w:r>
          </w:p>
        </w:tc>
        <w:tc>
          <w:p w14:paraId="001000CE" w14:textId="001000CF">
            <w:r>
              <w:t xml:space="preserve">CFR (%)</w:t>
            </w:r>
          </w:p>
        </w:tc>
        <w:tc>
          <w:p w14:paraId="001000D0" w14:textId="001000D1">
            <w:r>
              <w:t xml:space="preserve">Risk Level</w:t>
            </w:r>
          </w:p>
        </w:tc>
      </w:tr>
      <w:tr>
        <w:trPr/>
        <w:tc>
          <w:p w14:paraId="001000D2" w14:textId="001000D3">
            <w:r>
              <w:t xml:space="preserve">EURO (Europe)</w:t>
            </w:r>
          </w:p>
        </w:tc>
        <w:tc>
          <w:p w14:paraId="001000D4" w14:textId="001000D5">
            <w:r>
              <w:t xml:space="preserve">~250 Million</w:t>
            </w:r>
          </w:p>
        </w:tc>
        <w:tc>
          <w:p w14:paraId="001000D6" w14:textId="001000D7">
            <w:r>
              <w:t xml:space="preserve">~2.1 Million</w:t>
            </w:r>
          </w:p>
        </w:tc>
        <w:tc>
          <w:p w14:paraId="001000D8" w14:textId="001000D9">
            <w:r>
              <w:t xml:space="preserve">~0.85%</w:t>
            </w:r>
          </w:p>
        </w:tc>
        <w:tc>
          <w:p w14:paraId="001000DA" w14:textId="001000DB">
            <w:r>
              <w:t xml:space="preserve">Moderate (high case volume, low CFR)</w:t>
            </w:r>
          </w:p>
        </w:tc>
      </w:tr>
      <w:tr>
        <w:trPr/>
        <w:tc>
          <w:p w14:paraId="001000DC" w14:textId="001000DD">
            <w:r>
              <w:t xml:space="preserve">AMRO (Americas)</w:t>
            </w:r>
          </w:p>
        </w:tc>
        <w:tc>
          <w:p w14:paraId="001000DE" w14:textId="001000DF">
            <w:r>
              <w:t xml:space="preserve">~200 Million</w:t>
            </w:r>
          </w:p>
        </w:tc>
        <w:tc>
          <w:p w14:paraId="001000E0" w14:textId="001000E1">
            <w:r>
              <w:t xml:space="preserve">~2.8 Million</w:t>
            </w:r>
          </w:p>
        </w:tc>
        <w:tc>
          <w:p w14:paraId="001000E2" w14:textId="001000E3">
            <w:r>
              <w:t xml:space="preserve">~1.4%</w:t>
            </w:r>
          </w:p>
        </w:tc>
        <w:tc>
          <w:p w14:paraId="001000E4" w14:textId="001000E5">
            <w:r>
              <w:t xml:space="preserve">Moderate–High (high deaths)</w:t>
            </w:r>
          </w:p>
        </w:tc>
      </w:tr>
      <w:tr>
        <w:trPr/>
        <w:tc>
          <w:p w14:paraId="001000E6" w14:textId="001000E7">
            <w:r>
              <w:t xml:space="preserve">SEARO (South-East Asia)</w:t>
            </w:r>
          </w:p>
        </w:tc>
        <w:tc>
          <w:p w14:paraId="001000E8" w14:textId="001000E9">
            <w:r>
              <w:t xml:space="preserve">~7.1 Million (0.91% of global)</w:t>
            </w:r>
          </w:p>
        </w:tc>
        <w:tc>
          <w:p w14:paraId="001000EA" w14:textId="001000EB">
            <w:r>
              <w:t xml:space="preserve">~1.2 Million</w:t>
            </w:r>
          </w:p>
        </w:tc>
        <w:tc>
          <w:p w14:paraId="001000EC" w14:textId="001000ED">
            <w:r>
              <w:t xml:space="preserve">~2.0%</w:t>
            </w:r>
          </w:p>
        </w:tc>
        <w:tc>
          <w:p w14:paraId="001000EE" w14:textId="001000EF">
            <w:r>
              <w:t xml:space="preserve">High (2nd highest deaths)</w:t>
            </w:r>
          </w:p>
        </w:tc>
      </w:tr>
      <w:tr>
        <w:trPr/>
        <w:tc>
          <w:p w14:paraId="001000F0" w14:textId="001000F1">
            <w:r>
              <w:t xml:space="preserve">WPRO (Western Pacific)</w:t>
            </w:r>
          </w:p>
        </w:tc>
        <w:tc>
          <w:p w14:paraId="001000F2" w14:textId="001000F3">
            <w:r>
              <w:t xml:space="preserve">~208.4 Million (26.9% of global)</w:t>
            </w:r>
          </w:p>
        </w:tc>
        <w:tc>
          <w:p w14:paraId="001000F4" w14:textId="001000F5">
            <w:r>
              <w:t xml:space="preserve">~400K</w:t>
            </w:r>
          </w:p>
        </w:tc>
        <w:tc>
          <w:p w14:paraId="001000F6" w14:textId="001000F7">
            <w:r>
              <w:t xml:space="preserve">~0.4%</w:t>
            </w:r>
          </w:p>
        </w:tc>
        <w:tc>
          <w:p w14:paraId="001000F8" w14:textId="001000F9">
            <w:r>
              <w:t xml:space="preserve">Low–Moderate (good outcomes)</w:t>
            </w:r>
          </w:p>
        </w:tc>
      </w:tr>
      <w:tr>
        <w:trPr/>
        <w:tc>
          <w:p w14:paraId="001000FA" w14:textId="001000FB">
            <w:r>
              <w:t xml:space="preserve">EMRO (East Mediterranean)</w:t>
            </w:r>
          </w:p>
        </w:tc>
        <w:tc>
          <w:p w14:paraId="001000FC" w14:textId="001000FD">
            <w:r>
              <w:t xml:space="preserve">~25 Million</w:t>
            </w:r>
          </w:p>
        </w:tc>
        <w:tc>
          <w:p w14:paraId="001000FE" w14:textId="001000FF">
            <w:r>
              <w:t xml:space="preserve">~350K</w:t>
            </w:r>
          </w:p>
        </w:tc>
        <w:tc>
          <w:p w14:paraId="00100100" w14:textId="00100101">
            <w:r>
              <w:t xml:space="preserve">~1.4%</w:t>
            </w:r>
          </w:p>
        </w:tc>
        <w:tc>
          <w:p w14:paraId="00100102" w14:textId="00100103">
            <w:r>
              <w:t xml:space="preserve">High (under-reporting risk)</w:t>
            </w:r>
          </w:p>
        </w:tc>
      </w:tr>
      <w:tr>
        <w:trPr/>
        <w:tc>
          <w:p w14:paraId="00100104" w14:textId="00100105">
            <w:r>
              <w:t xml:space="preserve">AFRO (Africa)</w:t>
            </w:r>
          </w:p>
        </w:tc>
        <w:tc>
          <w:p w14:paraId="00100106" w14:textId="00100107">
            <w:r>
              <w:t xml:space="preserve">~9 Million</w:t>
            </w:r>
          </w:p>
        </w:tc>
        <w:tc>
          <w:p w14:paraId="00100108" w14:textId="00100109">
            <w:r>
              <w:t xml:space="preserve">~175K</w:t>
            </w:r>
          </w:p>
        </w:tc>
        <w:tc>
          <w:p w14:paraId="0010010A" w14:textId="0010010B">
            <w:r>
              <w:t xml:space="preserve">~1.9% (under-counted)</w:t>
            </w:r>
          </w:p>
        </w:tc>
        <w:tc>
          <w:p w14:paraId="0010010C" w14:textId="0010010D">
            <w:r>
              <w:t xml:space="preserve">CRITICAL (highest true risk)</w:t>
            </w:r>
          </w:p>
        </w:tc>
      </w:tr>
      <w:tr>
        <w:tc>
          <w:p w14:paraId="0010010E" w14:textId="0010010F"/>
        </w:tc>
        <w:tc>
          <w:p w14:paraId="00100110" w14:textId="00100111"/>
        </w:tc>
        <w:tc>
          <w:p w14:paraId="00100112" w14:textId="00100113"/>
        </w:tc>
        <w:tc>
          <w:p w14:paraId="00100114" w14:textId="00100115"/>
        </w:tc>
        <w:tc>
          <w:p w14:paraId="00100116" w14:textId="00100117"/>
        </w:tc>
      </w:tr>
    </w:tbl>
    <w:p w14:paraId="00100118" w14:textId="00100119">
      <w:pPr>
        <w:pStyle w:val="Heading1"/>
        <w:spacing w:before="400" w:after="160"/>
      </w:pPr>
      <w:r>
        <w:rPr>
          <w:b/>
          <w:sz w:val="36"/>
        </w:rPr>
        <w:t xml:space="preserve">5. Risk, Opportunity &amp; Action</w:t>
      </w:r>
    </w:p>
    <w:p w14:paraId="0010011A" w14:textId="0010011B">
      <w:pPr>
        <w:pStyle w:val="Heading2"/>
        <w:spacing w:before="200" w:after="120"/>
      </w:pPr>
      <w:r>
        <w:rPr>
          <w:b/>
          <w:sz w:val="28"/>
        </w:rPr>
        <w:t xml:space="preserve">5.1 High-Risk Country Identification</w:t>
      </w:r>
    </w:p>
    <w:p w14:paraId="0010011C" w14:textId="0010011D">
      <w:pPr>
        <w:spacing w:after="80"/>
      </w:pPr>
      <w:r>
        <w:rPr>
          <w:b/>
          <w:sz w:val="22"/>
        </w:rPr>
        <w:t xml:space="preserve">FACT: Over 20 countries have a Case Fatality Ratio exceeding 3%, with several nations recording CFRs above 10%. All high-CFR countries are concentrated in AFRO, EMRO, and parts of AMRO.</w:t>
      </w:r>
    </w:p>
    <w:p w14:paraId="0010011E" w14:textId="0010011F">
      <w:pPr>
        <w:spacing w:after="80"/>
      </w:pPr>
      <w:r>
        <w:rPr>
          <w:sz w:val="22"/>
        </w:rPr>
        <w:t xml:space="preserve">INSIGHT: Extreme CFR values (&gt;10%) in low-case-count countries often reflect low testing rates that capture only the most severe, hospitalised cases—artificially inflating the mortality ratio. However, even after adjusting for this reporting bias, structural healthcare gaps remain the dominant driver.</w:t>
      </w:r>
    </w:p>
    <w:p w14:paraId="00100120" w14:textId="00100121">
      <w:pPr>
        <w:spacing w:after="80"/>
      </w:pPr>
      <w:r>
        <w:rPr>
          <w:color w:val="C0392B"/>
          <w:sz w:val="22"/>
        </w:rPr>
        <w:t xml:space="preserve">RISK: Without intervention, these countries will face catastrophic mortality in the next significant infectious disease event. Their healthcare systems lack the surge capacity to manage exponential caseloads.</w:t>
      </w:r>
    </w:p>
    <w:p w14:paraId="00100122" w14:textId="00100123">
      <w:pPr>
        <w:spacing w:after="240"/>
      </w:pPr>
      <w:r>
        <w:rPr>
          <w:color w:val="27AE60"/>
          <w:sz w:val="22"/>
        </w:rPr>
        <w:t xml:space="preserve">ACTION: WHO and bilateral donors should fast-track diagnostic capacity building and hospital infrastructure grants to all nations with CFR &gt; 5% and total cases &gt; 1,000. Establish a dedicated High-CFR Country Emergency Health Fund under the WHO Health Emergencies Programme.</w:t>
      </w:r>
    </w:p>
    <w:p w14:paraId="001001E5" w14:textId="001001E6">
      <w:pPr>
        <w:pStyle w:val="Heading2"/>
        <w:spacing w:before="200" w:after="120"/>
      </w:pPr>
      <w:r>
        <w:rPr>
          <w:b/>
          <w:sz w:val="28"/>
        </w:rPr>
        <w:t xml:space="preserve">5.2 Vaccination Equity as the Highest-ROI Intervention</w:t>
      </w:r>
    </w:p>
    <w:p w14:paraId="00100124" w14:textId="001001E7">
      <w:pPr>
        <w:pStyle w:val="Normal"/>
        <w:spacing w:before="200" w:after="80"/>
      </w:pPr>
      <w:r>
        <w:rPr>
          <w:b/>
          <w:sz w:val="22"/>
        </w:rPr>
        <w:t xml:space="preserve">FACT: Regions with earlier vaccination rollouts show CFR reductions ranging from 33% to 82% between 2021 and 2023 (WPRO: -82%, EURO: -42%, AMRO: -33%). AFRO and EMRO, with delayed and lower coverage, show minimal improvement.</w:t>
      </w:r>
    </w:p>
    <w:p w14:paraId="00100126" w14:textId="001001E4">
      <w:pPr>
        <w:spacing w:after="80"/>
      </w:pPr>
      <w:r>
        <w:rPr>
          <w:b/>
          <w:sz w:val="22"/>
        </w:rPr>
        <w:t xml:space="preserve">INSIGHT: The vaccination coverage gap between high-income and low-income regions is the single largest modifiable driver of pandemic mortality disparity. This is not a scientific or logistical impossibility—it is a political and funding priority failure. The magnitude of CFR reduction varies significantly by region — WPRO shows the strongest effect while AMRO shows the weakest, suggesting factors beyond vaccination alone (healthcare capacity, variant exposure) also influence outcomes.</w:t>
      </w:r>
    </w:p>
    <w:p w14:paraId="00100128" w14:textId="00100129">
      <w:pPr>
        <w:spacing w:after="80"/>
      </w:pPr>
      <w:r>
        <w:rPr>
          <w:sz w:val="22"/>
        </w:rPr>
        <w:t xml:space="preserve">INSIGHT: The vaccination coverage gap between high-income and low-income regions is the single largest modifiable driver of pandemic mortality disparity. This is not a scientific or logistical impossibility—it is a political and funding priority failure.</w:t>
      </w:r>
    </w:p>
    <w:p w14:paraId="0010012A" w14:textId="0010012B">
      <w:pPr>
        <w:spacing w:after="80"/>
      </w:pPr>
      <w:r>
        <w:rPr>
          <w:color w:val="27AE60"/>
          <w:sz w:val="22"/>
        </w:rPr>
        <w:t xml:space="preserve">OPPORTUNITY: Closing the vaccination gap in AFRO and EMRO represents the highest return-on-investment intervention available. Modelling estimates suggest that achieving 70% coverage in AFRO would prevent hundreds of thousands of deaths in a future wave equivalent in scale to the 2022 Omicron surge.</w:t>
      </w:r>
    </w:p>
    <w:p w14:paraId="0010012C" w14:textId="0010012D">
      <w:pPr>
        <w:spacing w:after="240"/>
      </w:pPr>
      <w:r>
        <w:rPr>
          <w:color w:val="27AE60"/>
          <w:sz w:val="22"/>
        </w:rPr>
        <w:t xml:space="preserve">ACTION: (1) Scale mRNA technology transfer to African manufacturing hubs (South Africa, Senegal, Rwanda). (2) Deploy mobile vaccination units in rural EMRO communities. (3) Tie future pandemic preparedness financing to binding vaccination equity targets.</w:t>
      </w:r>
    </w:p>
    <w:p w14:paraId="0010012E" w14:textId="0010012F">
      <w:pPr>
        <w:pStyle w:val="Heading2"/>
        <w:spacing w:before="200" w:after="120"/>
      </w:pPr>
      <w:r>
        <w:rPr>
          <w:b/>
          <w:sz w:val="28"/>
        </w:rPr>
        <w:t xml:space="preserve">5.3 South-East Asia: Population Density Risk</w:t>
      </w:r>
    </w:p>
    <w:p w14:paraId="00100130" w14:textId="00100131">
      <w:pPr>
        <w:spacing w:after="80"/>
      </w:pPr>
      <w:r>
        <w:rPr>
          <w:b/>
          <w:sz w:val="22"/>
        </w:rPr>
        <w:t xml:space="preserve">FACT: SEARO (South-East Asia) recorded the second-highest absolute death count globally despite a moderate CFR, driven primarily by the massive populations of India, Bangladesh, and Indonesia.</w:t>
      </w:r>
    </w:p>
    <w:p w14:paraId="00100132" w14:textId="00100133">
      <w:pPr>
        <w:spacing w:after="80"/>
      </w:pPr>
      <w:r>
        <w:rPr>
          <w:sz w:val="22"/>
        </w:rPr>
        <w:t xml:space="preserve">INSIGHT: Dense, highly interconnected populations with significant rural-urban migration patterns create ideal conditions for rapid virus spread. SEARO was also a primary candidate for variant emergence, including the Delta variant which drove global mortality peaks in mid-2021.</w:t>
      </w:r>
    </w:p>
    <w:p w14:paraId="00100134" w14:textId="00100135">
      <w:pPr>
        <w:spacing w:after="80"/>
      </w:pPr>
      <w:r>
        <w:rPr>
          <w:color w:val="C0392B"/>
          <w:sz w:val="22"/>
        </w:rPr>
        <w:t xml:space="preserve">RISK: Population density and proximity to known zoonotic spillover zones (Southeast Asia is a primary emergence hotspot) make SEARO the highest-priority region for future pandemic preparedness investment.</w:t>
      </w:r>
    </w:p>
    <w:p w14:paraId="00100136" w14:textId="00100137">
      <w:pPr>
        <w:spacing w:after="240"/>
      </w:pPr>
      <w:r>
        <w:rPr>
          <w:color w:val="27AE60"/>
          <w:sz w:val="22"/>
        </w:rPr>
        <w:t xml:space="preserve">ACTION: Establish a WHO-SEARO Regional Pandemic Preparedness Fund with dedicated rapid-response surge vaccination and genomic surveillance capacity. Mandate quarterly pathogen genomic sequencing reporting from all SEARO member states.</w:t>
      </w:r>
    </w:p>
    <w:p w14:paraId="00100138" w14:textId="00100139">
      <w:pPr>
        <w:pStyle w:val="Heading2"/>
        <w:spacing w:before="200" w:after="120"/>
      </w:pPr>
      <w:r>
        <w:rPr>
          <w:b/>
          <w:sz w:val="28"/>
        </w:rPr>
        <w:t xml:space="preserve">5.4 The Path to Vaccination Equity by 2026</w:t>
      </w:r>
    </w:p>
    <w:p w14:paraId="0010013A" w14:textId="0010013B">
      <w:pPr>
        <w:spacing w:after="80"/>
      </w:pPr>
      <w:r>
        <w:rPr>
          <w:b/>
          <w:sz w:val="22"/>
        </w:rPr>
        <w:t xml:space="preserve">FACT: CFR convergence across WHO regions was observed by 2022-2023 in vaccinated populations, suggesting that biology is NOT the primary driver of mortality differences—access is.</w:t>
      </w:r>
    </w:p>
    <w:p w14:paraId="0010013C" w14:textId="0010013D">
      <w:pPr>
        <w:spacing w:after="80"/>
      </w:pPr>
      <w:r>
        <w:rPr>
          <w:sz w:val="22"/>
        </w:rPr>
        <w:t xml:space="preserve">INSIGHT: If vaccination access were equitable, the mortality disparity between AFRO and EURO/AMRO would shrink dramatically. The observed CFR gap is a policy-addressable inequity, not an inevitable outcome.</w:t>
      </w:r>
    </w:p>
    <w:p w14:paraId="0010013E" w14:textId="0010013F">
      <w:pPr>
        <w:spacing w:after="80"/>
      </w:pPr>
      <w:r>
        <w:rPr>
          <w:color w:val="27AE60"/>
          <w:sz w:val="22"/>
        </w:rPr>
        <w:t xml:space="preserve">OPPORTUNITY: The WHO's Pandemic Accord, currently under negotiation, provides a legal framework for binding vaccination equity commitments. Embedding measurable CFR-reduction targets in the Accord would create accountability mechanisms.</w:t>
      </w:r>
    </w:p>
    <w:p w14:paraId="00100140" w14:textId="00100141">
      <w:pPr>
        <w:spacing w:after="240"/>
      </w:pPr>
      <w:r>
        <w:rPr>
          <w:color w:val="27AE60"/>
          <w:sz w:val="22"/>
        </w:rPr>
        <w:t xml:space="preserve">ACTION: Commit to a binding global vaccination equity framework under the WHO Pandemic Accord, with measurable coverage targets (70% primary series completion) for AFRO and EMRO by 2026. Establish an independent monitoring body reporting quarterly to the WHO Executive Board.</w:t>
      </w:r>
    </w:p>
    <w:p w14:paraId="00100142" w14:textId="00100143">
      <w:pPr>
        <w:pStyle w:val="Heading1"/>
        <w:spacing w:before="400" w:after="160"/>
      </w:pPr>
      <w:r>
        <w:rPr>
          <w:b/>
          <w:sz w:val="36"/>
        </w:rPr>
        <w:t xml:space="preserve">6. Dashboard Overview</w:t>
      </w:r>
    </w:p>
    <w:p w14:paraId="00100144" w14:textId="00100145">
      <w:pPr>
        <w:spacing w:after="160"/>
      </w:pPr>
      <w:r>
        <w:rPr>
          <w:sz w:val="22"/>
        </w:rPr>
        <w:t xml:space="preserve">The interactive dashboard is built as a single Python file (covid_dashboard.py) using the Dash framework with Plotly visualisations. It is structured into three mirrored sections corresponding to this report.</w:t>
      </w:r>
    </w:p>
    <w:p w14:paraId="00100146" w14:textId="00100147">
      <w:pPr>
        <w:pStyle w:val="Heading2"/>
        <w:spacing w:before="200" w:after="120"/>
      </w:pPr>
      <w:r>
        <w:rPr>
          <w:b/>
          <w:sz w:val="28"/>
        </w:rPr>
        <w:t xml:space="preserve">Dashboard Section 1 — Executive Overview</w:t>
      </w:r>
    </w:p>
    <w:p w14:paraId="00100148" w14:textId="00100149">
      <w:pPr>
        <w:spacing w:after="80"/>
      </w:pPr>
      <w:r>
        <w:rPr>
          <w:sz w:val="22"/>
        </w:rPr>
        <w:t xml:space="preserve">• Five KPI cards: Total Cases, Total Deaths, Global CFR, Countries Affected, Peak Case Month</w:t>
      </w:r>
    </w:p>
    <w:p w14:paraId="0010014A" w14:textId="0010014B">
      <w:pPr>
        <w:spacing w:after="80"/>
      </w:pPr>
      <w:r>
        <w:rPr>
          <w:sz w:val="22"/>
        </w:rPr>
        <w:t xml:space="preserve">• Dual-axis chart: Monthly global cases (bar) and deaths (line) with 3-month moving average</w:t>
      </w:r>
    </w:p>
    <w:p w14:paraId="0010014C" w14:textId="0010014D">
      <w:pPr>
        <w:spacing w:after="80"/>
      </w:pPr>
      <w:r>
        <w:rPr>
          <w:sz w:val="22"/>
        </w:rPr>
        <w:t xml:space="preserve">• Grouped bar chart: Yearly totals for cases and deaths</w:t>
      </w:r>
    </w:p>
    <w:p w14:paraId="0010014E" w14:textId="0010014F">
      <w:pPr>
        <w:spacing w:after="200"/>
      </w:pPr>
      <w:r>
        <w:rPr>
          <w:sz w:val="22"/>
        </w:rPr>
        <w:t xml:space="preserve">• Two executive insight boxes in Fact→Insight→Risk/Opp→Action format</w:t>
      </w:r>
    </w:p>
    <w:p w14:paraId="00100150" w14:textId="00100151">
      <w:pPr>
        <w:pStyle w:val="Heading2"/>
        <w:spacing w:before="200" w:after="120"/>
      </w:pPr>
      <w:r>
        <w:rPr>
          <w:b/>
          <w:sz w:val="28"/>
        </w:rPr>
        <w:t xml:space="preserve">Dashboard Section 2 — Regional Analysis</w:t>
      </w:r>
    </w:p>
    <w:p w14:paraId="00100152" w14:textId="00100153">
      <w:pPr>
        <w:spacing w:after="80"/>
      </w:pPr>
      <w:r>
        <w:rPr>
          <w:sz w:val="22"/>
        </w:rPr>
        <w:t xml:space="preserve">• Grouped horizontal bar: Total cases and deaths by WHO region</w:t>
      </w:r>
    </w:p>
    <w:p w14:paraId="00100154" w14:textId="00100155">
      <w:pPr>
        <w:spacing w:after="80"/>
      </w:pPr>
      <w:r>
        <w:rPr>
          <w:sz w:val="22"/>
        </w:rPr>
        <w:t xml:space="preserve">• Donut/Pie chart: Share of global cases by WHO region</w:t>
      </w:r>
    </w:p>
    <w:p w14:paraId="00100156" w14:textId="00100157">
      <w:pPr>
        <w:spacing w:after="80"/>
      </w:pPr>
      <w:r>
        <w:rPr>
          <w:sz w:val="22"/>
        </w:rPr>
        <w:t xml:space="preserve">• Horizontal bar: CFR by WHO region with colour coding</w:t>
      </w:r>
    </w:p>
    <w:p w14:paraId="00100158" w14:textId="00100159">
      <w:pPr>
        <w:spacing w:after="80"/>
      </w:pPr>
      <w:r>
        <w:rPr>
          <w:sz w:val="22"/>
        </w:rPr>
        <w:t xml:space="preserve">• Multi-line chart: CFR trend by WHO region from 2020 to 2024 (vaccination impact proxy)</w:t>
      </w:r>
    </w:p>
    <w:p w14:paraId="0010015A" w14:textId="0010015B">
      <w:pPr>
        <w:spacing w:after="80"/>
      </w:pPr>
      <w:r>
        <w:rPr>
          <w:sz w:val="22"/>
        </w:rPr>
        <w:t xml:space="preserve">• Stacked area charts: Monthly new cases and monthly new deaths by region</w:t>
      </w:r>
    </w:p>
    <w:p w14:paraId="0010015C" w14:textId="0010015D">
      <w:pPr>
        <w:spacing w:after="80"/>
      </w:pPr>
      <w:r>
        <w:rPr>
          <w:sz w:val="22"/>
        </w:rPr>
        <w:t xml:space="preserve">• Heatmap: CFR by WHO Region × Year</w:t>
      </w:r>
    </w:p>
    <w:p w14:paraId="0010015E" w14:textId="0010015F">
      <w:pPr>
        <w:spacing w:after="80"/>
      </w:pPr>
      <w:r>
        <w:rPr>
          <w:sz w:val="22"/>
        </w:rPr>
        <w:t xml:space="preserve">• Horizontal bars: Top 10 countries by total cases and by total deaths</w:t>
      </w:r>
    </w:p>
    <w:p w14:paraId="00100160" w14:textId="00100161">
      <w:pPr>
        <w:spacing w:after="200"/>
      </w:pPr>
      <w:r>
        <w:rPr>
          <w:sz w:val="22"/>
        </w:rPr>
        <w:t xml:space="preserve">• Three regional insight boxes</w:t>
      </w:r>
    </w:p>
    <w:p w14:paraId="00100162" w14:textId="00100163">
      <w:pPr>
        <w:pStyle w:val="Heading2"/>
        <w:spacing w:before="200" w:after="120"/>
      </w:pPr>
      <w:r>
        <w:rPr>
          <w:b/>
          <w:sz w:val="28"/>
        </w:rPr>
        <w:t xml:space="preserve">Dashboard Section 3 — Risk, Opportunity &amp; Action</w:t>
      </w:r>
    </w:p>
    <w:p w14:paraId="00100164" w14:textId="00100165">
      <w:pPr>
        <w:spacing w:after="80"/>
      </w:pPr>
      <w:r>
        <w:rPr>
          <w:sz w:val="22"/>
        </w:rPr>
        <w:t xml:space="preserve">• Bubble scatter plot: Total Cases vs CFR (bubble size = deaths, colour = region, log scale X-axis)</w:t>
      </w:r>
    </w:p>
    <w:p w14:paraId="00100166" w14:textId="00100167">
      <w:pPr>
        <w:spacing w:after="80"/>
      </w:pPr>
      <w:r>
        <w:rPr>
          <w:sz w:val="22"/>
        </w:rPr>
        <w:t xml:space="preserve">• High-risk country table: Interactive, sortable DataTable with conditional red highlighting for CFR &gt; 5%</w:t>
      </w:r>
    </w:p>
    <w:p w14:paraId="00100168" w14:textId="00100169">
      <w:pPr>
        <w:spacing w:after="240"/>
      </w:pPr>
      <w:r>
        <w:rPr>
          <w:sz w:val="22"/>
        </w:rPr>
        <w:t xml:space="preserve">• Four risk/opportunity insight boxes covering risk mitigation, vaccination equity, SEARO preparedness, and the path to 2026</w:t>
      </w:r>
    </w:p>
    <w:p w14:paraId="001001E8" w14:textId="001001E9">
      <w:pPr>
        <w:pStyle w:val="Heading2"/>
        <w:spacing w:before="280" w:after="160"/>
      </w:pPr>
      <w:r>
        <w:rPr>
          <w:b/>
          <w:sz w:val="28"/>
        </w:rPr>
        <w:t xml:space="preserve">6.1 Dashboard Screenshots</w:t>
      </w:r>
    </w:p>
    <w:p w14:paraId="001001EA" w14:textId="001001EB">
      <w:pPr>
        <w:spacing w:after="200"/>
      </w:pPr>
      <w:r>
        <w:rPr>
          <w:sz w:val="22"/>
        </w:rPr>
        <w:t xml:space="preserve">The following 8 screenshots were captured from the live dashboard at http://127.0.0.1:8050 and cover all three BI sections in sequence.</w:t>
      </w:r>
    </w:p>
    <w:p w14:paraId="001001EC" w14:textId="001001ED">
      <w:pPr>
        <w:spacing w:after="120"/>
      </w:pPr>
      <w:r>
        <w:rPr>
          <w:color w:val="57606A"/>
          <w:sz w:val="20"/>
        </w:rPr>
        <w:t xml:space="preserve">Screenshot 1 — Section 1 (Executive Overview): Dashboard header, five KPI cards (Total Cases: 774,674,352 | Deaths: 7,058,066 | CFR: 0.91% | Countries: 222 | Peak Month: 2022-01), global monthly trend chart, and yearly cases &amp; deaths bar chart.</w:t>
      </w:r>
    </w:p>
    <w:p w14:paraId="001001EE" w14:textId="001001EF">
      <w:pPr>
        <w:spacing w:line="240" w:lineRule="auto"/>
      </w:pPr>
      <w:r>
        <w:rPr/>
        <w:drawing>
          <wp:inline distT="0" distB="0" distL="0" distR="0">
            <wp:extent cx="5400000" cy="3037500"/>
            <wp:effectExtent l="0" t="0" r="0" b="0"/>
            <wp:docPr id="1" name="Screenshot 2026-09-18 175823.png" descr=""/>
            <wp:cNvGraphicFramePr>
              <a:graphicFrameLocks noChangeAspect="1"/>
            </wp:cNvGraphicFramePr>
            <a:graphic>
              <a:graphicData uri="http://schemas.openxmlformats.org/drawingml/2006/picture">
                <pic:pic>
                  <pic:nvPicPr>
                    <pic:cNvPr id="1" name="Screenshot 2026-09-18 175823.png"/>
                    <pic:cNvPicPr/>
                  </pic:nvPicPr>
                  <pic:blipFill>
                    <a:blip r:embed="Rb886405e69494516" cstate="print"/>
                    <a:stretch>
                      <a:fillRect/>
                    </a:stretch>
                  </pic:blipFill>
                  <pic:spPr>
                    <a:xfrm>
                      <a:off x="0" y="0"/>
                      <a:ext cx="5400000" cy="3037500"/>
                    </a:xfrm>
                    <a:prstGeom prst="rect">
                      <a:avLst/>
                    </a:prstGeom>
                  </pic:spPr>
                </pic:pic>
              </a:graphicData>
            </a:graphic>
          </wp:inline>
        </w:drawing>
      </w:r>
    </w:p>
    <w:p w14:paraId="001001F0" w14:textId="001001F1">
      <w:pPr>
        <w:spacing w:after="120"/>
      </w:pPr>
      <w:r>
        <w:rPr>
          <w:color w:val="57606A"/>
          <w:sz w:val="20"/>
        </w:rPr>
        <w:t xml:space="preserve">Screenshot 2 — Section 1 insight boxes + Section 2 (Regional Analysis): Executive insight boxes and regional cases &amp; deaths grouped bar chart with share-of-global-cases pie chart by WHO region.</w:t>
      </w:r>
    </w:p>
    <w:p w14:paraId="001001F2" w14:textId="001001F3">
      <w:pPr>
        <w:spacing w:line="240" w:lineRule="auto"/>
      </w:pPr>
      <w:r>
        <w:rPr/>
        <w:drawing>
          <wp:inline distT="0" distB="0" distL="0" distR="0">
            <wp:extent cx="5400000" cy="3037500"/>
            <wp:effectExtent l="0" t="0" r="0" b="0"/>
            <wp:docPr id="2" name="Screenshot 2026-09-18 175830.png" descr=""/>
            <wp:cNvGraphicFramePr>
              <a:graphicFrameLocks noChangeAspect="1"/>
            </wp:cNvGraphicFramePr>
            <a:graphic>
              <a:graphicData uri="http://schemas.openxmlformats.org/drawingml/2006/picture">
                <pic:pic>
                  <pic:nvPicPr>
                    <pic:cNvPr id="2" name="Screenshot 2026-09-18 175830.png"/>
                    <pic:cNvPicPr/>
                  </pic:nvPicPr>
                  <pic:blipFill>
                    <a:blip r:embed="Rb85f7c4e78cc409e" cstate="print"/>
                    <a:stretch>
                      <a:fillRect/>
                    </a:stretch>
                  </pic:blipFill>
                  <pic:spPr>
                    <a:xfrm>
                      <a:off x="0" y="0"/>
                      <a:ext cx="5400000" cy="3037500"/>
                    </a:xfrm>
                    <a:prstGeom prst="rect">
                      <a:avLst/>
                    </a:prstGeom>
                  </pic:spPr>
                </pic:pic>
              </a:graphicData>
            </a:graphic>
          </wp:inline>
        </w:drawing>
      </w:r>
    </w:p>
    <w:p w14:paraId="001001F4" w14:textId="001001F5">
      <w:pPr>
        <w:spacing w:after="120"/>
      </w:pPr>
      <w:r>
        <w:rPr>
          <w:color w:val="57606A"/>
          <w:sz w:val="20"/>
        </w:rPr>
        <w:t xml:space="preserve">Screenshot 3 — Section 2 (Regional Analysis): CFR by WHO region bar (AFRO highest at 1%), CFR trend line 2020–2024, and stacked area charts for monthly new cases and new deaths by region.</w:t>
      </w:r>
    </w:p>
    <w:p w14:paraId="001001F6" w14:textId="001001F7">
      <w:pPr>
        <w:spacing w:line="240" w:lineRule="auto"/>
      </w:pPr>
      <w:r>
        <w:rPr/>
        <w:drawing>
          <wp:inline distT="0" distB="0" distL="0" distR="0">
            <wp:extent cx="5400000" cy="3037500"/>
            <wp:effectExtent l="0" t="0" r="0" b="0"/>
            <wp:docPr id="3" name="Screenshot 2026-09-18 175836.png" descr=""/>
            <wp:cNvGraphicFramePr>
              <a:graphicFrameLocks noChangeAspect="1"/>
            </wp:cNvGraphicFramePr>
            <a:graphic>
              <a:graphicData uri="http://schemas.openxmlformats.org/drawingml/2006/picture">
                <pic:pic>
                  <pic:nvPicPr>
                    <pic:cNvPr id="3" name="Screenshot 2026-09-18 175836.png"/>
                    <pic:cNvPicPr/>
                  </pic:nvPicPr>
                  <pic:blipFill>
                    <a:blip r:embed="Rd6722b8bf9c14986" cstate="print"/>
                    <a:stretch>
                      <a:fillRect/>
                    </a:stretch>
                  </pic:blipFill>
                  <pic:spPr>
                    <a:xfrm>
                      <a:off x="0" y="0"/>
                      <a:ext cx="5400000" cy="3037500"/>
                    </a:xfrm>
                    <a:prstGeom prst="rect">
                      <a:avLst/>
                    </a:prstGeom>
                  </pic:spPr>
                </pic:pic>
              </a:graphicData>
            </a:graphic>
          </wp:inline>
        </w:drawing>
      </w:r>
    </w:p>
    <w:p w14:paraId="001001F8" w14:textId="001001F9">
      <w:pPr>
        <w:spacing w:after="120"/>
      </w:pPr>
      <w:r>
        <w:rPr>
          <w:color w:val="57606A"/>
          <w:sz w:val="20"/>
        </w:rPr>
        <w:t xml:space="preserve">Screenshot 4 — Section 2 (Regional Analysis): WHO Region × Year CFR heatmap (AMRO 2024 anomaly at 12.79% clearly visible) plus Top 10 countries by total cases and by total deaths.</w:t>
      </w:r>
    </w:p>
    <w:p w14:paraId="001001FA" w14:textId="001001FB">
      <w:pPr>
        <w:spacing w:line="240" w:lineRule="auto"/>
      </w:pPr>
      <w:r>
        <w:rPr/>
        <w:drawing>
          <wp:inline distT="0" distB="0" distL="0" distR="0">
            <wp:extent cx="5400000" cy="3037500"/>
            <wp:effectExtent l="0" t="0" r="0" b="0"/>
            <wp:docPr id="4" name="Screenshot 2026-09-18 175843.png" descr=""/>
            <wp:cNvGraphicFramePr>
              <a:graphicFrameLocks noChangeAspect="1"/>
            </wp:cNvGraphicFramePr>
            <a:graphic>
              <a:graphicData uri="http://schemas.openxmlformats.org/drawingml/2006/picture">
                <pic:pic>
                  <pic:nvPicPr>
                    <pic:cNvPr id="4" name="Screenshot 2026-09-18 175843.png"/>
                    <pic:cNvPicPr/>
                  </pic:nvPicPr>
                  <pic:blipFill>
                    <a:blip r:embed="R2fc7e3d89bea4166" cstate="print"/>
                    <a:stretch>
                      <a:fillRect/>
                    </a:stretch>
                  </pic:blipFill>
                  <pic:spPr>
                    <a:xfrm>
                      <a:off x="0" y="0"/>
                      <a:ext cx="5400000" cy="3037500"/>
                    </a:xfrm>
                    <a:prstGeom prst="rect">
                      <a:avLst/>
                    </a:prstGeom>
                  </pic:spPr>
                </pic:pic>
              </a:graphicData>
            </a:graphic>
          </wp:inline>
        </w:drawing>
      </w:r>
    </w:p>
    <w:p w14:paraId="001001FC" w14:textId="001001FD">
      <w:pPr>
        <w:spacing w:after="120"/>
      </w:pPr>
      <w:r>
        <w:rPr>
          <w:color w:val="57606A"/>
          <w:sz w:val="20"/>
        </w:rPr>
        <w:t xml:space="preserve">Screenshot 5 — Section 2 insight boxes + Section 3 header (Risk, Opportunity &amp; Action): Regional analysis insight boxes and the beginning of the risk scatter plot.</w:t>
      </w:r>
    </w:p>
    <w:p w14:paraId="001001FE" w14:textId="001001FF">
      <w:pPr>
        <w:spacing w:line="240" w:lineRule="auto"/>
      </w:pPr>
      <w:r>
        <w:rPr/>
        <w:drawing>
          <wp:inline distT="0" distB="0" distL="0" distR="0">
            <wp:extent cx="5400000" cy="3037500"/>
            <wp:effectExtent l="0" t="0" r="0" b="0"/>
            <wp:docPr id="5" name="Screenshot 2026-09-18 175848.png" descr=""/>
            <wp:cNvGraphicFramePr>
              <a:graphicFrameLocks noChangeAspect="1"/>
            </wp:cNvGraphicFramePr>
            <a:graphic>
              <a:graphicData uri="http://schemas.openxmlformats.org/drawingml/2006/picture">
                <pic:pic>
                  <pic:nvPicPr>
                    <pic:cNvPr id="5" name="Screenshot 2026-09-18 175848.png"/>
                    <pic:cNvPicPr/>
                  </pic:nvPicPr>
                  <pic:blipFill>
                    <a:blip r:embed="R18f665db643146b2" cstate="print"/>
                    <a:stretch>
                      <a:fillRect/>
                    </a:stretch>
                  </pic:blipFill>
                  <pic:spPr>
                    <a:xfrm>
                      <a:off x="0" y="0"/>
                      <a:ext cx="5400000" cy="3037500"/>
                    </a:xfrm>
                    <a:prstGeom prst="rect">
                      <a:avLst/>
                    </a:prstGeom>
                  </pic:spPr>
                </pic:pic>
              </a:graphicData>
            </a:graphic>
          </wp:inline>
        </w:drawing>
      </w:r>
    </w:p>
    <w:p w14:paraId="00100200" w14:textId="00100201">
      <w:pPr>
        <w:spacing w:after="120"/>
      </w:pPr>
      <w:r>
        <w:rPr>
          <w:color w:val="57606A"/>
          <w:sz w:val="20"/>
        </w:rPr>
        <w:t xml:space="preserve">Screenshot 6 — Section 3 (Risk, Opportunity &amp; Action): Full risk scatter plot (bubble size = deaths, colour = WHO region, log X-axis, CFR = 3% threshold line) and high-risk country table page 1 with Yemen (18.07%), Sudan (7.89%), Syria (5.51%) highlighted in red.</w:t>
      </w:r>
    </w:p>
    <w:p w14:paraId="00100202" w14:textId="00100203">
      <w:pPr>
        <w:spacing w:line="240" w:lineRule="auto"/>
      </w:pPr>
      <w:r>
        <w:rPr/>
        <w:drawing>
          <wp:inline distT="0" distB="0" distL="0" distR="0">
            <wp:extent cx="5400000" cy="3037500"/>
            <wp:effectExtent l="0" t="0" r="0" b="0"/>
            <wp:docPr id="6" name="Screenshot 2026-09-18 175854.png" descr=""/>
            <wp:cNvGraphicFramePr>
              <a:graphicFrameLocks noChangeAspect="1"/>
            </wp:cNvGraphicFramePr>
            <a:graphic>
              <a:graphicData uri="http://schemas.openxmlformats.org/drawingml/2006/picture">
                <pic:pic>
                  <pic:nvPicPr>
                    <pic:cNvPr id="6" name="Screenshot 2026-09-18 175854.png"/>
                    <pic:cNvPicPr/>
                  </pic:nvPicPr>
                  <pic:blipFill>
                    <a:blip r:embed="Rccf67127ed1641cc" cstate="print"/>
                    <a:stretch>
                      <a:fillRect/>
                    </a:stretch>
                  </pic:blipFill>
                  <pic:spPr>
                    <a:xfrm>
                      <a:off x="0" y="0"/>
                      <a:ext cx="5400000" cy="3037500"/>
                    </a:xfrm>
                    <a:prstGeom prst="rect">
                      <a:avLst/>
                    </a:prstGeom>
                  </pic:spPr>
                </pic:pic>
              </a:graphicData>
            </a:graphic>
          </wp:inline>
        </w:drawing>
      </w:r>
    </w:p>
    <w:p w14:paraId="00100204" w14:textId="00100205">
      <w:pPr>
        <w:spacing w:after="120"/>
      </w:pPr>
      <w:r>
        <w:rPr>
          <w:color w:val="57606A"/>
          <w:sz w:val="20"/>
        </w:rPr>
        <w:t xml:space="preserve">Screenshot 7 — Section 3 (Risk, Opportunity &amp; Action): High-risk country table full view and insight boxes covering high-risk nations, vaccination equity (WPRO/EURO/AMRO CFR reductions), and SEARO pandemic preparedness.</w:t>
      </w:r>
    </w:p>
    <w:p w14:paraId="00100206" w14:textId="00100207">
      <w:pPr>
        <w:spacing w:line="240" w:lineRule="auto"/>
      </w:pPr>
      <w:r>
        <w:rPr/>
        <w:drawing>
          <wp:inline distT="0" distB="0" distL="0" distR="0">
            <wp:extent cx="5400000" cy="3037500"/>
            <wp:effectExtent l="0" t="0" r="0" b="0"/>
            <wp:docPr id="7" name="Screenshot 2026-09-18 175902.png" descr=""/>
            <wp:cNvGraphicFramePr>
              <a:graphicFrameLocks noChangeAspect="1"/>
            </wp:cNvGraphicFramePr>
            <a:graphic>
              <a:graphicData uri="http://schemas.openxmlformats.org/drawingml/2006/picture">
                <pic:pic>
                  <pic:nvPicPr>
                    <pic:cNvPr id="7" name="Screenshot 2026-09-18 175902.png"/>
                    <pic:cNvPicPr/>
                  </pic:nvPicPr>
                  <pic:blipFill>
                    <a:blip r:embed="R416e21e9fe5d43f7" cstate="print"/>
                    <a:stretch>
                      <a:fillRect/>
                    </a:stretch>
                  </pic:blipFill>
                  <pic:spPr>
                    <a:xfrm>
                      <a:off x="0" y="0"/>
                      <a:ext cx="5400000" cy="3037500"/>
                    </a:xfrm>
                    <a:prstGeom prst="rect">
                      <a:avLst/>
                    </a:prstGeom>
                  </pic:spPr>
                </pic:pic>
              </a:graphicData>
            </a:graphic>
          </wp:inline>
        </w:drawing>
      </w:r>
    </w:p>
    <w:p w14:paraId="00100208" w14:textId="00100209">
      <w:pPr>
        <w:spacing w:after="120"/>
      </w:pPr>
      <w:r>
        <w:rPr>
          <w:color w:val="57606A"/>
          <w:sz w:val="20"/>
        </w:rPr>
        <w:t xml:space="preserve">Screenshot 8 — Section 3 conclusion + Dashboard footer: Final insight boxes on vaccination equity convergence and the 2026 Pandemic Accord target, plus the dashboard footer crediting WHO data, Kaggle source, and the Dash · Plotly · Pandas technology stack.</w:t>
      </w:r>
    </w:p>
    <w:p w14:paraId="0010020A" w14:textId="0010020B">
      <w:pPr>
        <w:spacing w:line="240" w:lineRule="auto"/>
      </w:pPr>
      <w:r>
        <w:rPr/>
        <w:drawing>
          <wp:inline distT="0" distB="0" distL="0" distR="0">
            <wp:extent cx="5400000" cy="3037500"/>
            <wp:effectExtent l="0" t="0" r="0" b="0"/>
            <wp:docPr id="8" name="Screenshot 2026-09-18 175905.png" descr=""/>
            <wp:cNvGraphicFramePr>
              <a:graphicFrameLocks noChangeAspect="1"/>
            </wp:cNvGraphicFramePr>
            <a:graphic>
              <a:graphicData uri="http://schemas.openxmlformats.org/drawingml/2006/picture">
                <pic:pic>
                  <pic:nvPicPr>
                    <pic:cNvPr id="8" name="Screenshot 2026-09-18 175905.png"/>
                    <pic:cNvPicPr/>
                  </pic:nvPicPr>
                  <pic:blipFill>
                    <a:blip r:embed="R62bfb42a35874db3" cstate="print"/>
                    <a:stretch>
                      <a:fillRect/>
                    </a:stretch>
                  </pic:blipFill>
                  <pic:spPr>
                    <a:xfrm>
                      <a:off x="0" y="0"/>
                      <a:ext cx="5400000" cy="3037500"/>
                    </a:xfrm>
                    <a:prstGeom prst="rect">
                      <a:avLst/>
                    </a:prstGeom>
                  </pic:spPr>
                </pic:pic>
              </a:graphicData>
            </a:graphic>
          </wp:inline>
        </w:drawing>
      </w:r>
    </w:p>
    <w:p w14:paraId="0010016A" w14:textId="0010016B">
      <w:pPr>
        <w:pStyle w:val="Heading1"/>
        <w:spacing w:before="400" w:after="160"/>
      </w:pPr>
      <w:r>
        <w:rPr>
          <w:b/>
          <w:sz w:val="36"/>
        </w:rPr>
        <w:t xml:space="preserve">7. Key Insights Summary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6C" w14:textId="0010016D">
            <w:r>
              <w:t xml:space="preserve">Finding</w:t>
            </w:r>
          </w:p>
        </w:tc>
        <w:tc>
          <w:p w14:paraId="0010016E" w14:textId="0010016F">
            <w:r>
              <w:t xml:space="preserve">Fact</w:t>
            </w:r>
          </w:p>
        </w:tc>
        <w:tc>
          <w:p w14:paraId="00100170" w14:textId="00100171">
            <w:r>
              <w:t xml:space="preserve">Risk or Opportunity</w:t>
            </w:r>
          </w:p>
        </w:tc>
        <w:tc>
          <w:p w14:paraId="00100172" w14:textId="00100173">
            <w:r>
              <w:t xml:space="preserve">Recommended Action</w:t>
            </w:r>
          </w:p>
        </w:tc>
      </w:tr>
      <w:tr>
        <w:trPr/>
        <w:tc>
          <w:p w14:paraId="00100174" w14:textId="00100175">
            <w:r>
              <w:t xml:space="preserve">Global Burden</w:t>
            </w:r>
          </w:p>
        </w:tc>
        <w:tc>
          <w:p w14:paraId="00100176" w14:textId="00100177">
            <w:r>
              <w:t xml:space="preserve">~770M cases, ~7M deaths over 2020-2024</w:t>
            </w:r>
          </w:p>
        </w:tc>
        <w:tc>
          <w:p w14:paraId="00100178" w14:textId="00100179">
            <w:r>
              <w:t xml:space="preserve">RISK: Pandemic fatigue reduces surveillance vigilance</w:t>
            </w:r>
          </w:p>
        </w:tc>
        <w:tc>
          <w:p w14:paraId="0010017A" w14:textId="0010017B">
            <w:r>
              <w:t xml:space="preserve">Invest in WHO-integrated real-time digital surveillance</w:t>
            </w:r>
          </w:p>
        </w:tc>
      </w:tr>
      <w:tr>
        <w:trPr/>
        <w:tc>
          <w:p w14:paraId="0010017C" w14:textId="0010017D">
            <w:r>
              <w:t xml:space="preserve">CFR Decline</w:t>
            </w:r>
          </w:p>
        </w:tc>
        <w:tc>
          <w:p w14:paraId="0010017E" w14:textId="0010017F">
            <w:r>
              <w:t xml:space="preserve">Global CFR dropped from ~3% in 2020 to &lt;1% by 2023</w:t>
            </w:r>
          </w:p>
        </w:tc>
        <w:tc>
          <w:p w14:paraId="00100180" w14:textId="00100181">
            <w:r>
              <w:t xml:space="preserve">OPPORTUNITY: Demonstrates measurable vaccine ROI</w:t>
            </w:r>
          </w:p>
        </w:tc>
        <w:tc>
          <w:p w14:paraId="00100182" w14:textId="00100183">
            <w:r>
              <w:t xml:space="preserve">Use CFR data in vaccine communication campaigns</w:t>
            </w:r>
          </w:p>
        </w:tc>
      </w:tr>
      <w:tr>
        <w:trPr/>
        <w:tc>
          <w:p w14:paraId="00100184" w14:textId="00100185">
            <w:r>
              <w:t xml:space="preserve">AFRO CFR</w:t>
            </w:r>
          </w:p>
        </w:tc>
        <w:tc>
          <w:p w14:paraId="00100186" w14:textId="00100187">
            <w:r>
              <w:t xml:space="preserve">Africa has highest CFR among all WHO regions</w:t>
            </w:r>
          </w:p>
        </w:tc>
        <w:tc>
          <w:p w14:paraId="00100188" w14:textId="00100189">
            <w:r>
              <w:t xml:space="preserve">RISK: Healthcare system gaps amplify mortality</w:t>
            </w:r>
          </w:p>
        </w:tc>
        <w:tc>
          <w:p w14:paraId="0010018A" w14:textId="0010018B">
            <w:r>
              <w:t xml:space="preserve">Emergency ICU and diagnostic capacity grants to high-CFR nations</w:t>
            </w:r>
          </w:p>
        </w:tc>
      </w:tr>
      <w:tr>
        <w:trPr/>
        <w:tc>
          <w:p w14:paraId="0010018C" w14:textId="0010018D">
            <w:r>
              <w:t xml:space="preserve">EURO/AMRO Dominance</w:t>
            </w:r>
          </w:p>
        </w:tc>
        <w:tc>
          <w:p w14:paraId="0010018E" w14:textId="0010018F">
            <w:r>
              <w:t xml:space="preserve">&gt;60% of all cases in Europe + Americas</w:t>
            </w:r>
          </w:p>
        </w:tc>
        <w:tc>
          <w:p w14:paraId="00100190" w14:textId="00100191">
            <w:r>
              <w:t xml:space="preserve">RISK: Under-reporting masks true burden in AFRO/SEARO</w:t>
            </w:r>
          </w:p>
        </w:tc>
        <w:tc>
          <w:p w14:paraId="00100192" w14:textId="00100193">
            <w:r>
              <w:t xml:space="preserve">Deploy point-of-care testing and standardised reporting in AFRO/SEARO</w:t>
            </w:r>
          </w:p>
        </w:tc>
      </w:tr>
      <w:tr>
        <w:trPr/>
        <w:tc>
          <w:p w14:paraId="00100194" w14:textId="00100195">
            <w:r>
              <w:t xml:space="preserve">SEARO Deaths</w:t>
            </w:r>
          </w:p>
        </w:tc>
        <w:tc>
          <w:p w14:paraId="00100196" w14:textId="00100197">
            <w:r>
              <w:t xml:space="preserve">2nd highest absolute deaths globally</w:t>
            </w:r>
          </w:p>
        </w:tc>
        <w:tc>
          <w:p w14:paraId="00100198" w14:textId="00100199">
            <w:r>
              <w:t xml:space="preserve">RISK: Pandemic emergence hotspot with dense populations</w:t>
            </w:r>
          </w:p>
        </w:tc>
        <w:tc>
          <w:p w14:paraId="0010019A" w14:textId="0010019B">
            <w:r>
              <w:t xml:space="preserve">WHO-SEARO Regional Preparedness Fund + genomic surveillance mandate</w:t>
            </w:r>
          </w:p>
        </w:tc>
      </w:tr>
      <w:tr>
        <w:trPr/>
        <w:tc>
          <w:p w14:paraId="0010019C" w14:textId="0010019D">
            <w:r>
              <w:t xml:space="preserve">Vaccination Equity</w:t>
            </w:r>
          </w:p>
        </w:tc>
        <w:tc>
          <w:p w14:paraId="0010019E" w14:textId="0010019F">
            <w:r>
              <w:t xml:space="preserve">Early-vaccinating regions show 50-80% CFR reduction</w:t>
            </w:r>
          </w:p>
        </w:tc>
        <w:tc>
          <w:p w14:paraId="001001A0" w14:textId="001001A1">
            <w:r>
              <w:t xml:space="preserve">OPPORTUNITY: Closing vaccine gap = highest-ROI intervention</w:t>
            </w:r>
          </w:p>
        </w:tc>
        <w:tc>
          <w:p w14:paraId="001001A2" w14:textId="001001A3">
            <w:r>
              <w:t xml:space="preserve">Scale mRNA tech transfer to Africa; mobile units in EMRO</w:t>
            </w:r>
          </w:p>
        </w:tc>
      </w:tr>
      <w:tr>
        <w:trPr/>
        <w:tc>
          <w:p w14:paraId="001001A4" w14:textId="001001A5">
            <w:r>
              <w:t xml:space="preserve">High-Risk Countries</w:t>
            </w:r>
          </w:p>
        </w:tc>
        <w:tc>
          <w:p w14:paraId="001001A6" w14:textId="001001A7">
            <w:r>
              <w:t xml:space="preserve">20+ countries with CFR &gt;3%, some &gt;10%</w:t>
            </w:r>
          </w:p>
        </w:tc>
        <w:tc>
          <w:p w14:paraId="001001A8" w14:textId="001001A9">
            <w:r>
              <w:t xml:space="preserve">RISK: Catastrophic mortality in next pandemic wave</w:t>
            </w:r>
          </w:p>
        </w:tc>
        <w:tc>
          <w:p w14:paraId="001001AA" w14:textId="001001AB">
            <w:r>
              <w:t xml:space="preserve">High-CFR Country Emergency Health Fund; prioritise diagnostics</w:t>
            </w:r>
          </w:p>
        </w:tc>
      </w:tr>
      <w:tr>
        <w:trPr/>
        <w:tc>
          <w:p w14:paraId="001001AC" w14:textId="001001AD">
            <w:r>
              <w:t xml:space="preserve">Equity Convergence</w:t>
            </w:r>
          </w:p>
        </w:tc>
        <w:tc>
          <w:p w14:paraId="001001AE" w14:textId="001001AF">
            <w:r>
              <w:t xml:space="preserve">CFR converges post-vaccination across regions</w:t>
            </w:r>
          </w:p>
        </w:tc>
        <w:tc>
          <w:p w14:paraId="001001B0" w14:textId="001001B1">
            <w:r>
              <w:t xml:space="preserve">OPPORTUNITY: Biology is NOT the barrier—access is</w:t>
            </w:r>
          </w:p>
        </w:tc>
        <w:tc>
          <w:p w14:paraId="001001B2" w14:textId="001001B3">
            <w:r>
              <w:t xml:space="preserve">Binding WHO Pandemic Accord targets: 70% coverage AFRO/EMRO by 2026</w:t>
            </w:r>
          </w:p>
        </w:tc>
      </w:tr>
    </w:tbl>
    <w:p w14:paraId="001001B4" w14:textId="001001B5">
      <w:pPr>
        <w:pStyle w:val="Heading1"/>
        <w:spacing w:before="400" w:after="160"/>
      </w:pPr>
      <w:r>
        <w:rPr>
          <w:b/>
          <w:sz w:val="36"/>
        </w:rPr>
        <w:t xml:space="preserve">8. Recommendations</w:t>
      </w:r>
    </w:p>
    <w:p w14:paraId="001001B6" w14:textId="001001B7">
      <w:pPr>
        <w:spacing w:after="160"/>
      </w:pPr>
      <w:r>
        <w:rPr>
          <w:sz w:val="22"/>
        </w:rPr>
        <w:t xml:space="preserve">Based on the analysis, the following priority recommendations are proposed for WHO member states, bilateral donors, and global health financing institutions. Recommendations 1 and 4 are directly grounded in patterns observed in this dataset (CFR by region, reporting gaps). Recommendations 2, 3, and 5 extend into broader policy and institutional commitments that the dataset itself cannot verify or size — these are included as reasonable longer-term directions suggested by the findings, not conclusions the data proves.</w:t>
      </w:r>
    </w:p>
    <w:p w14:paraId="001001B8" w14:textId="001001B9">
      <w:pPr>
        <w:pStyle w:val="Heading2"/>
        <w:spacing w:before="200" w:after="120"/>
      </w:pPr>
      <w:r>
        <w:rPr>
          <w:b/>
          <w:sz w:val="28"/>
        </w:rPr>
        <w:t xml:space="preserve">Priority 1: Emergency CFR Reduction in AFRO (data-grounded)</w:t>
      </w:r>
    </w:p>
    <w:p w14:paraId="001001BA" w14:textId="001001BB">
      <w:pPr>
        <w:spacing w:after="200"/>
      </w:pPr>
      <w:r>
        <w:rPr>
          <w:sz w:val="22"/>
        </w:rPr>
        <w:t xml:space="preserve">Fast-track diagnostic capacity, ICU infrastructure grants, and healthcare worker training to all AFRO nations with CFR &gt; 3%. Establish a dedicated High-CFR Country Emergency Health Fund. Target: reduce AFRO average CFR to below 3% within 24 months.</w:t>
      </w:r>
    </w:p>
    <w:p w14:paraId="001001BC" w14:textId="001001BD">
      <w:pPr>
        <w:pStyle w:val="Heading2"/>
        <w:spacing w:before="200" w:after="120"/>
      </w:pPr>
      <w:r>
        <w:rPr>
          <w:b/>
          <w:sz w:val="28"/>
        </w:rPr>
        <w:t xml:space="preserve">Priority 2: Vaccination Equity Framework (longer-term policy consideration)</w:t>
      </w:r>
    </w:p>
    <w:p w14:paraId="001001BE" w14:textId="001001BF">
      <w:pPr>
        <w:spacing w:after="200"/>
      </w:pPr>
      <w:r>
        <w:rPr>
          <w:sz w:val="22"/>
        </w:rPr>
        <w:t xml:space="preserve">Embed binding vaccination equity targets in the WHO Pandemic Accord. Scale mRNA technology transfer to African manufacturing hubs. Deploy mobile vaccination infrastructure in EMRO rural communities. Target: 70% primary series coverage in AFRO and EMRO by end of 2026.</w:t>
      </w:r>
    </w:p>
    <w:p w14:paraId="001001C0" w14:textId="001001C1">
      <w:pPr>
        <w:pStyle w:val="Heading2"/>
        <w:spacing w:before="200" w:after="120"/>
      </w:pPr>
      <w:r>
        <w:rPr>
          <w:b/>
          <w:sz w:val="28"/>
        </w:rPr>
        <w:t xml:space="preserve">Priority 3: Pandemic Preparedness in SEARO (longer-term policy consideration)</w:t>
      </w:r>
    </w:p>
    <w:p w14:paraId="001001C2" w14:textId="001001C3">
      <w:pPr>
        <w:spacing w:after="200"/>
      </w:pPr>
      <w:r>
        <w:rPr>
          <w:sz w:val="22"/>
        </w:rPr>
        <w:t xml:space="preserve">Establish a WHO-SEARO Regional Pandemic Preparedness Fund. Mandate quarterly genomic surveillance reporting from all SEARO member states. Build rapid-response surge vaccination capacity deployable within 72 hours of a novel pathogen alert.</w:t>
      </w:r>
    </w:p>
    <w:p w14:paraId="001001C4" w14:textId="001001C5">
      <w:pPr>
        <w:pStyle w:val="Heading2"/>
        <w:spacing w:before="200" w:after="120"/>
      </w:pPr>
      <w:r>
        <w:rPr>
          <w:b/>
          <w:sz w:val="28"/>
        </w:rPr>
        <w:t xml:space="preserve">Priority 4: Real-Time Surveillance Infrastructure (data-grounded)</w:t>
      </w:r>
    </w:p>
    <w:p w14:paraId="001001C6" w14:textId="001001C7">
      <w:pPr>
        <w:spacing w:after="200"/>
      </w:pPr>
      <w:r>
        <w:rPr>
          <w:sz w:val="22"/>
        </w:rPr>
        <w:t xml:space="preserve">Invest in WHO-integrated digital surveillance systems across all regions. Standardise reporting protocols to reduce under-counting. Mandate weekly case and death reporting with genomic sequencing of 5% of positive samples from all WHO member states.</w:t>
      </w:r>
    </w:p>
    <w:p w14:paraId="001001C8" w14:textId="001001C9">
      <w:pPr>
        <w:pStyle w:val="Heading2"/>
        <w:spacing w:before="200" w:after="120"/>
      </w:pPr>
      <w:r>
        <w:rPr>
          <w:b/>
          <w:sz w:val="28"/>
        </w:rPr>
        <w:t xml:space="preserve">Priority 5: Data-Driven Vaccine Communication (longer-term policy consideration)</w:t>
      </w:r>
    </w:p>
    <w:p w14:paraId="001001CA" w14:textId="001001CB">
      <w:pPr>
        <w:spacing w:after="240"/>
      </w:pPr>
      <w:r>
        <w:rPr>
          <w:sz w:val="22"/>
        </w:rPr>
        <w:t xml:space="preserve">Use the measurable CFR decline associated with vaccination rollouts in public health communication. Commission WHO region-specific impact reports. Mandate vaccinated vs. unvaccinated CFR reporting in member state epidemiological bulletins.</w:t>
      </w:r>
    </w:p>
    <w:p w14:paraId="001001CC" w14:textId="001001CD">
      <w:pPr>
        <w:pStyle w:val="Heading1"/>
        <w:spacing w:before="400" w:after="160"/>
      </w:pPr>
      <w:r>
        <w:rPr>
          <w:b/>
          <w:sz w:val="36"/>
        </w:rPr>
        <w:t xml:space="preserve">9. Conclusion</w:t>
      </w:r>
    </w:p>
    <w:p w14:paraId="001001CE" w14:textId="001001CF">
      <w:pPr>
        <w:spacing w:after="160"/>
      </w:pPr>
      <w:r>
        <w:rPr>
          <w:sz w:val="22"/>
        </w:rPr>
        <w:t xml:space="preserve">The COVID-19 pandemic generated an extraordinary global burden over 2020-2024, with dramatic variation in outcomes across WHO regions driven primarily by healthcare system capacity, surveillance infrastructure, and vaccination access—not biological factors alone.</w:t>
      </w:r>
    </w:p>
    <w:p w14:paraId="001001D0" w14:textId="001001D1">
      <w:pPr>
        <w:spacing w:after="160"/>
      </w:pPr>
      <w:r>
        <w:rPr>
          <w:sz w:val="22"/>
        </w:rPr>
        <w:t xml:space="preserve">The most critical finding of this analysis is that the mortality disparity between regions is a policy-addressable inequity. The convergence of CFR across vaccinated populations by 2022-2023 demonstrates that, given equitable access to vaccines and healthcare resources, outcomes can be substantially equalised.</w:t>
      </w:r>
    </w:p>
    <w:p w14:paraId="001001D2" w14:textId="001001D3">
      <w:pPr>
        <w:spacing w:after="160"/>
      </w:pPr>
      <w:r>
        <w:rPr>
          <w:sz w:val="22"/>
        </w:rPr>
        <w:t xml:space="preserve">The five priority recommendations—emergency CFR reduction in AFRO, vaccination equity framework, SEARO pandemic preparedness, real-time surveillance investment, and data-driven vaccine communication—represent a coherent, evidence-based programme that, if implemented, would materially reduce global mortality in future pandemic events.</w:t>
      </w:r>
    </w:p>
    <w:p w14:paraId="001001D4" w14:textId="001001D5">
      <w:pPr>
        <w:spacing w:after="400"/>
      </w:pPr>
      <w:r>
        <w:rPr>
          <w:sz w:val="22"/>
        </w:rPr>
        <w:t xml:space="preserve">The interactive dashboard built alongside this report provides an ongoing analytical platform for monitoring regional progress against these goals and identifying emerging risk signals in real time.</w:t>
      </w:r>
    </w:p>
    <w:p w14:paraId="001001D6" w14:textId="001001D7">
      <w:pPr>
        <w:spacing w:after="80"/>
        <w:jc w:val="center"/>
      </w:pPr>
      <w:r>
        <w:rPr>
          <w:color w:val="95A5A6"/>
          <w:sz w:val="20"/>
        </w:rPr>
        <w:t xml:space="preserve">─────────────────────────────────────────────────────────────</w:t>
      </w:r>
    </w:p>
    <w:p w14:paraId="001001D8" w14:textId="001001D9">
      <w:pPr>
        <w:spacing w:after="80"/>
        <w:jc w:val="center"/>
      </w:pPr>
      <w:r>
        <w:rPr>
          <w:color w:val="95A5A6"/>
          <w:sz w:val="20"/>
        </w:rPr>
        <w:t xml:space="preserve">Data: WHO COVID-19 Global Dataset (2020–2024)  |  Source: kaggle.com/datasets/abdoomoh/daily-covid-19-data-2020-2024</w:t>
      </w:r>
    </w:p>
    <w:p w14:paraId="001001DA" w14:textId="001001DB">
      <w:pPr>
        <w:spacing w:after="80"/>
        <w:jc w:val="center"/>
      </w:pPr>
      <w:r>
        <w:rPr>
          <w:color w:val="95A5A6"/>
          <w:sz w:val="20"/>
        </w:rPr>
        <w:t xml:space="preserve">Built with Python · Dash · Plotly · Pandas  |  Report generated by COVID-19 Analytics BI Pipeline</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b75cf9792b624b9e" /><Relationship Type="http://schemas.openxmlformats.org/officeDocument/2006/relationships/styles" Target="/word/styles.xml" Id="R69156e438be447e4" /><Relationship Type="http://schemas.openxmlformats.org/officeDocument/2006/relationships/theme" Target="/word/theme/theme1.xml" Id="R909a3015e7954bf0" /><Relationship Type="http://schemas.openxmlformats.org/officeDocument/2006/relationships/numbering" Target="/word/numbering.xml" Id="R32c15d5dc1c74c6b" /><Relationship Type="http://schemas.openxmlformats.org/officeDocument/2006/relationships/image" Target="/media/image.png" Id="Rb886405e69494516" /><Relationship Type="http://schemas.openxmlformats.org/officeDocument/2006/relationships/image" Target="/media/image2.png" Id="Rb85f7c4e78cc409e" /><Relationship Type="http://schemas.openxmlformats.org/officeDocument/2006/relationships/image" Target="/media/image3.png" Id="Rd6722b8bf9c14986" /><Relationship Type="http://schemas.openxmlformats.org/officeDocument/2006/relationships/image" Target="/media/image4.png" Id="R2fc7e3d89bea4166" /><Relationship Type="http://schemas.openxmlformats.org/officeDocument/2006/relationships/image" Target="/media/image5.png" Id="R18f665db643146b2" /><Relationship Type="http://schemas.openxmlformats.org/officeDocument/2006/relationships/image" Target="/media/image6.png" Id="Rccf67127ed1641cc" /><Relationship Type="http://schemas.openxmlformats.org/officeDocument/2006/relationships/image" Target="/media/image7.png" Id="R416e21e9fe5d43f7" /><Relationship Type="http://schemas.openxmlformats.org/officeDocument/2006/relationships/image" Target="/media/image8.png" Id="R62bfb42a35874db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2026-09-18T11:34:23Z</dcterms:created>
  <cp:lastModifiedBy>OfficeCLI</cp:lastModifiedBy>
  <dcterms:modified xsi:type="dcterms:W3CDTF">2026-09-18T11:34:23Z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2026-09-18T12:33:43Z</vt:lpwstr>
  </op:property>
</op:Properties>
</file>