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What determines risk-adjusted utility in offline financial reinforcement learning? Representation, decision algorithm, and exposure</w:t>
      </w:r>
    </w:p>
    <w:p>
      <w:pPr>
        <w:pStyle w:val="Heading1"/>
      </w:pPr>
      <w:r>
        <w:t>Abstract</w:t>
      </w:r>
    </w:p>
    <w:p>
      <w:r>
        <w:rPr>
          <w:b w:val="0"/>
          <w:i w:val="0"/>
        </w:rPr>
        <w:t>Offline reinforcement learning (RL) for trading is commonly presented as a</w:t>
        <w:br/>
        <w:t>representation-learning problem: better representations are expected to yield</w:t>
        <w:br/>
        <w:t>better policies. We separate three questions that are often conflated—what</w:t>
        <w:br/>
        <w:t xml:space="preserve">information is </w:t>
      </w:r>
      <w:r>
        <w:rPr>
          <w:b w:val="0"/>
          <w:i/>
        </w:rPr>
        <w:t>available</w:t>
      </w:r>
      <w:r>
        <w:rPr>
          <w:b w:val="0"/>
          <w:i w:val="0"/>
        </w:rPr>
        <w:t xml:space="preserve"> in the input state, what information is </w:t>
      </w:r>
      <w:r>
        <w:rPr>
          <w:b w:val="0"/>
          <w:i/>
        </w:rPr>
        <w:t>encoded</w:t>
      </w:r>
      <w:r>
        <w:rPr>
          <w:b w:val="0"/>
          <w:i w:val="0"/>
        </w:rPr>
        <w:t xml:space="preserve"> by</w:t>
        <w:br/>
        <w:t>the learned representation, and what information the downstream decision</w:t>
        <w:br/>
        <w:t xml:space="preserve">algorithm actually </w:t>
      </w:r>
      <w:r>
        <w:rPr>
          <w:b w:val="0"/>
          <w:i/>
        </w:rPr>
        <w:t>exploits</w:t>
      </w:r>
      <w:r>
        <w:rPr>
          <w:b w:val="0"/>
          <w:i w:val="0"/>
        </w:rPr>
        <w:t>—and study them with a controlled</w:t>
        <w:br/>
        <w:t>representation × decision-algorithm experiment on daily S&amp;P 500 (SPY) data.</w:t>
      </w:r>
    </w:p>
    <w:p>
      <w:r>
        <w:rPr>
          <w:b w:val="0"/>
          <w:i w:val="0"/>
        </w:rPr>
        <w:t>Three findings emerge. (i) Increasing the observable feature set from 4 to 32</w:t>
        <w:br/>
        <w:t>point-in-time-valid features, and the latent dimension from 4 to 128, does not</w:t>
        <w:br/>
        <w:t>uncover recoverable short-horizon directional information: direction AUC</w:t>
        <w:br/>
        <w:t>remains at chance under linear, gradient-boosted-tree, and MLP probes, and</w:t>
        <w:br/>
        <w:t>utility is non-monotone in both axes. (ii) Representation diagnostics—effective</w:t>
        <w:br/>
        <w:t>rank, cross-seed CKA stability, reconstruction and probe performance—do not</w:t>
        <w:br/>
        <w:t>provide a reliable one-dimensional proxy for downstream trading utility; CKA is</w:t>
        <w:br/>
        <w:t>even negatively correlated with utility across the scaling grid. (iii) In a</w:t>
        <w:br/>
        <w:t>formal two-way ANOVA over 4 representations × 4 decision algorithms × 10 seeds,</w:t>
        <w:br/>
      </w:r>
      <w:r>
        <w:rPr>
          <w:b/>
          <w:i w:val="0"/>
        </w:rPr>
        <w:t>decision-algorithm identity is the only robust inferential effect</w:t>
      </w:r>
      <w:r>
        <w:rPr>
          <w:b w:val="0"/>
          <w:i w:val="0"/>
        </w:rPr>
        <w:br/>
        <w:t>(F(3,144) = 9.05, p &lt; .0001, η² = .142); representation identity is marginal</w:t>
        <w:br/>
        <w:t>(p = .067) and the representation × algorithm interaction is not statistically</w:t>
        <w:br/>
        <w:t>established (p = .206). A pre-specified follow-up test shows the utility of</w:t>
        <w:br/>
        <w:t>behavior-policy divergence is strongly regime-dependent (divergence × regime</w:t>
        <w:br/>
        <w:t>interaction χ²(2) = 80.9, p = 2.7e-18: the divergence slope is near zero in</w:t>
        <w:br/>
        <w:t>bull (+0.04) and increasingly negative in bear (−1.04) and crisis (−4.05)),</w:t>
        <w:br/>
        <w:t>while divergence alone does not predict utility once algorithm identity is</w:t>
        <w:br/>
        <w:t>controlled (p = .446).</w:t>
      </w:r>
    </w:p>
    <w:p>
      <w:r>
        <w:rPr>
          <w:b/>
          <w:i w:val="0"/>
        </w:rPr>
        <w:t>Decision algorithm is a stronger determinant of downstream utility than</w:t>
        <w:br/>
        <w:t>representation identity in the tested setting.</w:t>
      </w:r>
      <w:r>
        <w:rPr>
          <w:b w:val="0"/>
          <w:i w:val="0"/>
        </w:rPr>
        <w:t xml:space="preserve"> The original representation ×</w:t>
        <w:br/>
        <w:t>decision-algorithm policies do not exceed a buy-and-hold baseline; subsequent</w:t>
        <w:br/>
        <w:t>exposure-only and hybrid policies improve the tested risk–return trade-off. The</w:t>
        <w:br/>
        <w:t>hybrid's advantage over buy-and-hold is directionally consistent and seed-robust</w:t>
        <w:br/>
        <w:t xml:space="preserve">on SPY, but is </w:t>
      </w:r>
      <w:r>
        <w:rPr>
          <w:b/>
          <w:i w:val="0"/>
        </w:rPr>
        <w:t>not statistically established when both training and</w:t>
        <w:br/>
        <w:t>finite-test-path uncertainty are considered</w:t>
      </w:r>
      <w:r>
        <w:rPr>
          <w:b w:val="0"/>
          <w:i w:val="0"/>
        </w:rPr>
        <w:t>: the SPY seed-level interval</w:t>
        <w:br/>
        <w:t>excludes zero while the finite-path interval does not, and NIFTY/CSI300 are not</w:t>
        <w:br/>
        <w:t>seed-level significant.</w:t>
      </w:r>
    </w:p>
    <w:p>
      <w:r>
        <w:rPr>
          <w:b/>
          <w:i w:val="0"/>
        </w:rPr>
        <w:t>Summary.</w:t>
      </w:r>
      <w:r>
        <w:rPr>
          <w:b w:val="0"/>
          <w:i w:val="0"/>
        </w:rPr>
        <w:t xml:space="preserve"> Offline financial RL does not need reliable directional prediction</w:t>
        <w:br/>
        <w:t>to extract decision-relevant information from learned representations. In the</w:t>
        <w:br/>
        <w:t>tested setting, that information is more useful for adaptive exposure and risk</w:t>
        <w:br/>
        <w:t>control than for directional trading, while downstream algorithm choice remains</w:t>
        <w:br/>
        <w:t>a stronger determinant of utility than representation identity. The</w:t>
        <w:br/>
        <w:t>contribution is an understanding of the mechanics and evaluation of offline</w:t>
        <w:br/>
        <w:t>financial RL, not a profitable trading strategy.</w:t>
      </w:r>
    </w:p>
    <w:p>
      <w:pPr>
        <w:pStyle w:val="Heading1"/>
      </w:pPr>
      <w:r>
        <w:t>1. Introduction</w:t>
      </w:r>
    </w:p>
    <w:p>
      <w:r>
        <w:rPr>
          <w:b w:val="0"/>
          <w:i w:val="0"/>
        </w:rPr>
        <w:t>Reinforcement learning is an appealing formalism for sequential portfolio</w:t>
        <w:br/>
        <w:t>decisions, and a large literature applies it directly to trading (Moody &amp;</w:t>
        <w:br/>
        <w:t>Saffell, 2001; Deng et al., 2017; Jiang et al., 2017). Offline RL (Levine et</w:t>
        <w:br/>
        <w:t>al., 2020) is particularly natural for finance, where online exploration is</w:t>
        <w:br/>
        <w:t>expensive and risky, and conservative or value-based offline algorithms</w:t>
        <w:br/>
        <w:t>(Kumar et al., 2020; Kostrikov et al., 2022) are now standard.</w:t>
      </w:r>
    </w:p>
    <w:p>
      <w:r>
        <w:rPr>
          <w:b w:val="0"/>
          <w:i w:val="0"/>
        </w:rPr>
        <w:t xml:space="preserve">A common implicit assumption in this literature is a </w:t>
      </w:r>
      <w:r>
        <w:rPr>
          <w:b w:val="0"/>
          <w:i/>
        </w:rPr>
        <w:t>representation</w:t>
        <w:br/>
        <w:t>hierarchy</w:t>
      </w:r>
      <w:r>
        <w:rPr>
          <w:b w:val="0"/>
          <w:i w:val="0"/>
        </w:rPr>
        <w:t>: richer inputs, more capacity, or more stable learned features</w:t>
        <w:br/>
        <w:t>should produce better decisions. In practice, three distinct questions are</w:t>
        <w:br/>
        <w:t>conflated:</w:t>
      </w:r>
    </w:p>
    <w:p>
      <w:pPr>
        <w:pStyle w:val="ListNumber"/>
      </w:pPr>
      <w:r>
        <w:rPr>
          <w:b/>
          <w:i w:val="0"/>
        </w:rPr>
        <w:t>Availability.</w:t>
      </w:r>
      <w:r>
        <w:rPr>
          <w:b w:val="0"/>
          <w:i w:val="0"/>
        </w:rPr>
        <w:t xml:space="preserve"> Does the input state contain the relevant information?</w:t>
      </w:r>
    </w:p>
    <w:p>
      <w:pPr>
        <w:pStyle w:val="ListNumber"/>
      </w:pPr>
      <w:r>
        <w:rPr>
          <w:b/>
          <w:i w:val="0"/>
        </w:rPr>
        <w:t>Encoding.</w:t>
      </w:r>
      <w:r>
        <w:rPr>
          <w:b w:val="0"/>
          <w:i w:val="0"/>
        </w:rPr>
        <w:t xml:space="preserve"> Does the learned representation preserve it?</w:t>
      </w:r>
    </w:p>
    <w:p>
      <w:pPr>
        <w:pStyle w:val="ListNumber"/>
      </w:pPr>
      <w:r>
        <w:rPr>
          <w:b/>
          <w:i w:val="0"/>
        </w:rPr>
        <w:t>Exploitation.</w:t>
      </w:r>
      <w:r>
        <w:rPr>
          <w:b w:val="0"/>
          <w:i w:val="0"/>
        </w:rPr>
        <w:t xml:space="preserve"> Does the decision algorithm actually use it?</w:t>
      </w:r>
    </w:p>
    <w:p>
      <w:r>
        <w:rPr>
          <w:b w:val="0"/>
          <w:i w:val="0"/>
        </w:rPr>
        <w:t>This paper studies the three questions separately and asks what actually</w:t>
        <w:br/>
        <w:t>determines observed trading utility. Our setting is deliberately small and</w:t>
        <w:br/>
        <w:t>controlled: a shared recurrent encoder over trailing windows of point-in-time</w:t>
        <w:br/>
        <w:t>financial features, four representation-learning objectives, and four decision</w:t>
        <w:br/>
        <w:t>algorithms trained on the same logged transitions.</w:t>
      </w:r>
    </w:p>
    <w:p>
      <w:r>
        <w:rPr>
          <w:b/>
          <w:i w:val="0"/>
        </w:rPr>
        <w:t>Two stages.</w:t>
      </w:r>
      <w:r>
        <w:rPr>
          <w:b w:val="0"/>
          <w:i w:val="0"/>
        </w:rPr>
        <w:t xml:space="preserve"> The study has two stages. First, we establish what determines</w:t>
        <w:br/>
        <w:t>utility in a controlled representation × decision-algorithm experiment.</w:t>
        <w:br/>
        <w:t>Second, motivated by the finding that directional information is not</w:t>
        <w:br/>
        <w:t>recoverable while risk-state information remains accessible, we test whether</w:t>
        <w:br/>
        <w:t>that information can be used for exposure rather than directional control. The</w:t>
        <w:br/>
        <w:t xml:space="preserve">second stage is treated as a </w:t>
      </w:r>
      <w:r>
        <w:rPr>
          <w:b/>
          <w:i w:val="0"/>
        </w:rPr>
        <w:t>constructive extension</w:t>
      </w:r>
      <w:r>
        <w:rPr>
          <w:b w:val="0"/>
          <w:i w:val="0"/>
        </w:rPr>
        <w:t xml:space="preserve"> of the first, not as</w:t>
        <w:br/>
        <w:t>evidence that the original representation × algorithm hypothesis was confirmed.</w:t>
      </w:r>
    </w:p>
    <w:p>
      <w:r>
        <w:rPr>
          <w:b/>
          <w:i w:val="0"/>
        </w:rPr>
        <w:t>Contributions.</w:t>
      </w:r>
    </w:p>
    <w:p>
      <w:pPr>
        <w:pStyle w:val="ListNumber"/>
      </w:pPr>
      <w:r>
        <w:rPr>
          <w:b/>
          <w:i w:val="0"/>
        </w:rPr>
        <w:t>Controlled representation–decision analysis.</w:t>
      </w:r>
      <w:r>
        <w:rPr>
          <w:b w:val="0"/>
          <w:i w:val="0"/>
        </w:rPr>
        <w:t xml:space="preserve"> We disentangle information</w:t>
        <w:br/>
        <w:t xml:space="preserve">   availability, representation encoding, and downstream decision optimization</w:t>
        <w:br/>
        <w:t xml:space="preserve">   in a 4 × 4 × 10 representation × decision-algorithm experiment with fixed</w:t>
        <w:br/>
        <w:t xml:space="preserve">   transitions and evaluation, plus feature- and latent-dimension sweeps.</w:t>
      </w:r>
    </w:p>
    <w:p>
      <w:pPr>
        <w:pStyle w:val="ListNumber"/>
      </w:pPr>
      <w:r>
        <w:rPr>
          <w:b/>
          <w:i w:val="0"/>
        </w:rPr>
        <w:t>Representation-information characterization.</w:t>
      </w:r>
      <w:r>
        <w:rPr>
          <w:b w:val="0"/>
          <w:i w:val="0"/>
        </w:rPr>
        <w:t xml:space="preserve"> We combine linear,</w:t>
        <w:br/>
        <w:t xml:space="preserve">   nonlinear, reconstruction, effective-rank, CKA, and perturbation diagnostics</w:t>
        <w:br/>
        <w:t xml:space="preserve">   to separate information accessibility from downstream trading utility.</w:t>
      </w:r>
    </w:p>
    <w:p>
      <w:pPr>
        <w:pStyle w:val="ListNumber"/>
      </w:pPr>
      <w:r>
        <w:rPr>
          <w:b/>
          <w:i w:val="0"/>
        </w:rPr>
        <w:t>Statistical evidence on decision optimization.</w:t>
      </w:r>
      <w:r>
        <w:rPr>
          <w:b w:val="0"/>
          <w:i w:val="0"/>
        </w:rPr>
        <w:t xml:space="preserve"> We show that</w:t>
        <w:br/>
        <w:t xml:space="preserve">   decision-algorithm identity is the strongest robust determinant of utility</w:t>
        <w:br/>
        <w:t xml:space="preserve">   in the tested setting (F(3,144) = 9.05, p &lt; .0001, η² = .142), while</w:t>
        <w:br/>
        <w:t xml:space="preserve">   representation identity is marginal (p = .067) and the interaction is not</w:t>
        <w:br/>
        <w:t xml:space="preserve">   statistically established (p = .206).</w:t>
      </w:r>
    </w:p>
    <w:p>
      <w:pPr>
        <w:pStyle w:val="ListNumber"/>
      </w:pPr>
      <w:r>
        <w:rPr>
          <w:b/>
          <w:i w:val="0"/>
        </w:rPr>
        <w:t>Regime-dependent divergence and exposure mechanism.</w:t>
      </w:r>
      <w:r>
        <w:rPr>
          <w:b w:val="0"/>
          <w:i w:val="0"/>
        </w:rPr>
        <w:t xml:space="preserve"> We show that the</w:t>
        <w:br/>
        <w:t xml:space="preserve">   association between behavior-policy divergence and utility changes sharply</w:t>
        <w:br/>
        <w:t xml:space="preserve">   across market regimes, and that representation-space risk information can</w:t>
        <w:br/>
        <w:t xml:space="preserve">   instead be exploited through adaptive exposure control.</w:t>
      </w:r>
    </w:p>
    <w:p>
      <w:pPr>
        <w:pStyle w:val="ListNumber"/>
      </w:pPr>
      <w:r>
        <w:rPr>
          <w:b/>
          <w:i w:val="0"/>
        </w:rPr>
        <w:t>Risk-aware constructive extension.</w:t>
      </w:r>
      <w:r>
        <w:rPr>
          <w:b w:val="0"/>
          <w:i w:val="0"/>
        </w:rPr>
        <w:t xml:space="preserve"> We evaluate exposure-only and</w:t>
        <w:br/>
        <w:t xml:space="preserve">   continuous hybrid policies across SPY, CSI300 and NIFTY, with 10-seed</w:t>
        <w:br/>
        <w:t xml:space="preserve">   validation, input ablations, transaction-cost robustness, and temporal</w:t>
        <w:br/>
        <w:t xml:space="preserve">   permutation controls.</w:t>
      </w:r>
    </w:p>
    <w:p>
      <w:pPr>
        <w:pStyle w:val="Heading1"/>
      </w:pPr>
      <w:r>
        <w:t>2. Related work</w:t>
      </w:r>
    </w:p>
    <w:p>
      <w:r>
        <w:rPr>
          <w:b/>
          <w:i w:val="0"/>
        </w:rPr>
        <w:t>Offline RL algorithms.</w:t>
      </w:r>
      <w:r>
        <w:rPr>
          <w:b w:val="0"/>
          <w:i w:val="0"/>
        </w:rPr>
        <w:t xml:space="preserve"> Behavior cloning learns a policy from logged</w:t>
        <w:br/>
        <w:t>state–action demonstrations (Bain &amp; Sammut, 1995); the earliest end-to-end</w:t>
        <w:br/>
        <w:t>demonstration was Pomerleau (1991). Value-based offline RL addresses distributional shift with</w:t>
        <w:br/>
        <w:t>conservatism or in-sample value estimation: BCQ (Fujimoto et al., 2019), CQL</w:t>
        <w:br/>
        <w:t>(Kumar et al., 2020), IQL (Kostrikov et al., 2022), and TD3+BC (Fujimoto &amp; Gu,</w:t>
        <w:br/>
        <w:t>2021). We use BC, A2C (Mnih et al., 2016), IQL, and CQL on a common offline</w:t>
        <w:br/>
        <w:t>transition dataset.</w:t>
      </w:r>
    </w:p>
    <w:p>
      <w:r>
        <w:rPr>
          <w:b/>
          <w:i w:val="0"/>
        </w:rPr>
        <w:t>Representations in RL.</w:t>
      </w:r>
      <w:r>
        <w:rPr>
          <w:b w:val="0"/>
          <w:i w:val="0"/>
        </w:rPr>
        <w:t xml:space="preserve"> Learned representations are central to deep RL, and</w:t>
        <w:br/>
        <w:t>their geometry, collapse, and stability are actively studied. We follow the</w:t>
        <w:br/>
        <w:t>probing tradition from representation learning (Alain &amp; Bengio, 2017) and use</w:t>
        <w:br/>
        <w:t>CKA (Kornblith et al., 2019) and effective rank (Roy &amp; Vetterli, 2007) as</w:t>
        <w:br/>
        <w:t>descriptive diagnostics, and the SimCLR/InfoNCE recipe (Chen et al., 2020;</w:t>
        <w:br/>
        <w:t>van den Oord et al., 2018) as one representation objective.</w:t>
      </w:r>
    </w:p>
    <w:p>
      <w:r>
        <w:rPr>
          <w:b/>
          <w:i w:val="0"/>
        </w:rPr>
        <w:t>Financial RL.</w:t>
      </w:r>
      <w:r>
        <w:rPr>
          <w:b w:val="0"/>
          <w:i w:val="0"/>
        </w:rPr>
        <w:t xml:space="preserve"> Direct RL for trading (Moody &amp; Saffell, 2001; Deng et al.,</w:t>
        <w:br/>
        <w:t>2017; Jiang et al., 2017) and sequence-model approaches such as the Decision</w:t>
        <w:br/>
        <w:t>Transformer (Chen et al., 2021) and Trajectory Transformer (Janner et al.,</w:t>
        <w:br/>
        <w:t>2021) are widely applied to financial state sequences. Our contribution is not</w:t>
        <w:br/>
        <w:t>a new algorithm but an analysis of what determines utility in this setting.</w:t>
      </w:r>
    </w:p>
    <w:p>
      <w:r>
        <w:rPr>
          <w:b/>
          <w:i w:val="0"/>
        </w:rPr>
        <w:t>Statistical rigor in RL.</w:t>
      </w:r>
      <w:r>
        <w:rPr>
          <w:b w:val="0"/>
          <w:i w:val="0"/>
        </w:rPr>
        <w:t xml:space="preserve"> Deep RL results are sensitive to seed noise</w:t>
        <w:br/>
        <w:t>(Henderson et al., 2018), motivating careful reporting (Agarwal et al., 2021).</w:t>
        <w:br/>
        <w:t>We report bootstrap confidence intervals, a two-way ANOVA with an error term,</w:t>
        <w:br/>
        <w:t>and explicitly distinguish descriptive from inferential claims.</w:t>
      </w:r>
    </w:p>
    <w:p>
      <w:pPr>
        <w:pStyle w:val="Heading1"/>
      </w:pPr>
      <w:r>
        <w:t>3. Methodology</w:t>
      </w:r>
    </w:p>
    <w:p>
      <w:pPr>
        <w:pStyle w:val="Heading2"/>
      </w:pPr>
      <w:r>
        <w:t>3.1 Data and splits</w:t>
      </w:r>
    </w:p>
    <w:p>
      <w:r>
        <w:rPr>
          <w:b w:val="0"/>
          <w:i w:val="0"/>
        </w:rPr>
        <w:t>Daily S&amp;P 500 (SPY) OHLCV, 2005–2024. The canonical state is eight causally</w:t>
        <w:br/>
        <w:t>z-scored technical features (1/5/20-day log returns, 20-day realized</w:t>
        <w:br/>
        <w:t>volatility, RSI(14), MACD histogram, 20-day volume z-score, Bollinger</w:t>
        <w:br/>
        <w:t xml:space="preserve">position). For scaling we build a </w:t>
      </w:r>
      <w:r>
        <w:rPr>
          <w:b/>
          <w:i w:val="0"/>
        </w:rPr>
        <w:t>32-feature point-in-time-valid bank</w:t>
      </w:r>
      <w:r>
        <w:rPr>
          <w:b w:val="0"/>
          <w:i w:val="0"/>
        </w:rPr>
        <w:t xml:space="preserve"> with</w:t>
        <w:br/>
        <w:t>nested subsets of size 4/8/12/16/24/32, where the 8-point is exactly the</w:t>
        <w:br/>
        <w:t>canonical state. Each feature is constructed only from information available at</w:t>
        <w:br/>
        <w:t>or before time t and z-scored with an expanding (no-look-ahead) window; this</w:t>
        <w:br/>
        <w:t xml:space="preserve">establishes temporal validity,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causal discovery.</w:t>
      </w:r>
    </w:p>
    <w:p>
      <w:r>
        <w:rPr>
          <w:b w:val="0"/>
          <w:i w:val="0"/>
        </w:rPr>
        <w:t>Time splits are fixed: train ≤ 2018, validation 2019–2020, test 2021–2024. All</w:t>
        <w:br/>
        <w:t>probes and heads are fit on train, selected on validation, and evaluated on</w:t>
        <w:br/>
        <w:t>test; the test set is never used for model selection.</w:t>
      </w:r>
    </w:p>
    <w:p>
      <w:pPr>
        <w:pStyle w:val="Heading2"/>
      </w:pPr>
      <w:r>
        <w:t>3.2 Representations</w:t>
      </w:r>
    </w:p>
    <w:p>
      <w:r>
        <w:rPr>
          <w:b w:val="0"/>
          <w:i w:val="0"/>
        </w:rPr>
        <w:t>All representation learners share one encoder (a 128-d GRU over the trailing</w:t>
        <w:br/>
        <w:t>20-day window) and differ only in objective:</w:t>
      </w:r>
    </w:p>
    <w:p>
      <w:pPr>
        <w:pStyle w:val="ListBullet"/>
      </w:pPr>
      <w:r>
        <w:rPr>
          <w:b/>
          <w:i w:val="0"/>
        </w:rPr>
        <w:t>raw</w:t>
      </w:r>
      <w:r>
        <w:rPr>
          <w:b w:val="0"/>
          <w:i w:val="0"/>
        </w:rPr>
        <w:t xml:space="preserve"> — the flattened 20 × F window (no learning);</w:t>
      </w:r>
    </w:p>
    <w:p>
      <w:pPr>
        <w:pStyle w:val="ListBullet"/>
      </w:pPr>
      <w:r>
        <w:rPr>
          <w:b/>
          <w:i w:val="0"/>
        </w:rPr>
        <w:t>auto</w:t>
      </w:r>
      <w:r>
        <w:rPr>
          <w:b w:val="0"/>
          <w:i w:val="0"/>
        </w:rPr>
        <w:t xml:space="preserve"> — reconstruction of the full window from h_t;</w:t>
      </w:r>
    </w:p>
    <w:p>
      <w:pPr>
        <w:pStyle w:val="ListBullet"/>
      </w:pPr>
      <w:r>
        <w:rPr>
          <w:b/>
          <w:i w:val="0"/>
        </w:rPr>
        <w:t>predictive</w:t>
      </w:r>
      <w:r>
        <w:rPr>
          <w:b w:val="0"/>
          <w:i w:val="0"/>
        </w:rPr>
        <w:t xml:space="preserve"> — multi-task regression to standardized future targets</w:t>
        <w:br/>
        <w:t xml:space="preserve">  (1-day return, 5-day cumulative return, |1-day return|, 5-day realized vol);</w:t>
      </w:r>
    </w:p>
    <w:p>
      <w:pPr>
        <w:pStyle w:val="ListBullet"/>
      </w:pPr>
      <w:r>
        <w:rPr>
          <w:b/>
          <w:i w:val="0"/>
        </w:rPr>
        <w:t>contrastive</w:t>
      </w:r>
      <w:r>
        <w:rPr>
          <w:b w:val="0"/>
          <w:i w:val="0"/>
        </w:rPr>
        <w:t xml:space="preserve"> — InfoNCE between two augmented views of the same window.</w:t>
      </w:r>
    </w:p>
    <w:p>
      <w:r>
        <w:rPr>
          <w:b w:val="0"/>
          <w:i w:val="0"/>
        </w:rPr>
        <w:t>Encoders are frozen before any downstream evaluation. Latent dimension is</w:t>
        <w:br/>
        <w:t>swept over 4/8/16/32/64/128.</w:t>
      </w:r>
    </w:p>
    <w:p>
      <w:pPr>
        <w:pStyle w:val="Heading2"/>
      </w:pPr>
      <w:r>
        <w:t>3.3 Decision algorithms</w:t>
      </w:r>
    </w:p>
    <w:p>
      <w:r>
        <w:rPr>
          <w:b w:val="0"/>
          <w:i w:val="0"/>
        </w:rPr>
        <w:t>Given a frozen representation h_t, we train four decision algorithms on the</w:t>
        <w:br/>
      </w:r>
      <w:r>
        <w:rPr>
          <w:b/>
          <w:i w:val="0"/>
        </w:rPr>
        <w:t>same</w:t>
      </w:r>
      <w:r>
        <w:rPr>
          <w:b w:val="0"/>
          <w:i w:val="0"/>
        </w:rPr>
        <w:t xml:space="preserve"> offline transition dataset (32 logged behavior policies) with</w:t>
        <w:br/>
        <w:t>identical splits, evaluation code, and transaction-cost assumptions:</w:t>
      </w:r>
    </w:p>
    <w:p>
      <w:pPr>
        <w:pStyle w:val="ListBullet"/>
      </w:pPr>
      <w:r>
        <w:rPr>
          <w:b/>
          <w:i w:val="0"/>
        </w:rPr>
        <w:t>BC</w:t>
      </w:r>
      <w:r>
        <w:rPr>
          <w:b w:val="0"/>
          <w:i w:val="0"/>
        </w:rPr>
        <w:t xml:space="preserve"> — deterministic policy regressed on logged actions;</w:t>
      </w:r>
    </w:p>
    <w:p>
      <w:pPr>
        <w:pStyle w:val="ListBullet"/>
      </w:pPr>
      <w:r>
        <w:rPr>
          <w:b/>
          <w:i w:val="0"/>
        </w:rPr>
        <w:t>A2C</w:t>
      </w:r>
      <w:r>
        <w:rPr>
          <w:b w:val="0"/>
          <w:i w:val="0"/>
        </w:rPr>
        <w:t xml:space="preserve"> — Gaussian actor–critic with bootstrapped value on logged rewards;</w:t>
      </w:r>
    </w:p>
    <w:p>
      <w:pPr>
        <w:pStyle w:val="ListBullet"/>
      </w:pPr>
      <w:r>
        <w:rPr>
          <w:b/>
          <w:i w:val="0"/>
        </w:rPr>
        <w:t>IQL</w:t>
      </w:r>
      <w:r>
        <w:rPr>
          <w:b w:val="0"/>
          <w:i w:val="0"/>
        </w:rPr>
        <w:t xml:space="preserve"> — expectile value, target Q, advantage-weighted regression</w:t>
        <w:br/>
        <w:t xml:space="preserve">  (Kostrikov et al., 2022);</w:t>
      </w:r>
    </w:p>
    <w:p>
      <w:pPr>
        <w:pStyle w:val="ListBullet"/>
      </w:pPr>
      <w:r>
        <w:rPr>
          <w:b/>
          <w:i w:val="0"/>
        </w:rPr>
        <w:t>CQL</w:t>
      </w:r>
      <w:r>
        <w:rPr>
          <w:b w:val="0"/>
          <w:i w:val="0"/>
        </w:rPr>
        <w:t xml:space="preserve"> — CQL(H) with K = 10 sampled actions and a TD3+BC-style actor</w:t>
        <w:br/>
        <w:t xml:space="preserve">  regularizer (Fujimoto &amp; Gu, 2021). The regularizer is required: unregularized</w:t>
        <w:br/>
        <w:t xml:space="preserve">  CQL(H) collapses in 30–60% of seeds (Appendix A).</w:t>
      </w:r>
    </w:p>
    <w:p>
      <w:r>
        <w:rPr>
          <w:b w:val="0"/>
          <w:i w:val="0"/>
        </w:rPr>
        <w:t>Each cell is run with 10 head seeds; the representation seed is held fixed</w:t>
        <w:br/>
        <w:t>within a cell.</w:t>
      </w:r>
    </w:p>
    <w:p>
      <w:pPr>
        <w:pStyle w:val="Heading2"/>
      </w:pPr>
      <w:r>
        <w:t>3.4 Probes and diagnostics</w:t>
      </w:r>
    </w:p>
    <w:p>
      <w:r>
        <w:rPr>
          <w:b w:val="0"/>
          <w:i w:val="0"/>
        </w:rPr>
        <w:t>Frozen h_t is probed with an identical no-lookahead protocol using three</w:t>
        <w:br/>
        <w:t>families: L2 logistic / linear regression (</w:t>
      </w:r>
      <w:r>
        <w:rPr>
          <w:b/>
          <w:i w:val="0"/>
        </w:rPr>
        <w:t>linear</w:t>
      </w:r>
      <w:r>
        <w:rPr>
          <w:b w:val="0"/>
          <w:i w:val="0"/>
        </w:rPr>
        <w:t>), histogram</w:t>
        <w:br/>
        <w:t>gradient-boosted trees (</w:t>
      </w:r>
      <w:r>
        <w:rPr>
          <w:b/>
          <w:i w:val="0"/>
        </w:rPr>
        <w:t>GBDT</w:t>
      </w:r>
      <w:r>
        <w:rPr>
          <w:b w:val="0"/>
          <w:i w:val="0"/>
        </w:rPr>
        <w:t>), and a small MLP. Targets: 1/5/20-day</w:t>
        <w:br/>
        <w:t>direction, next-day magnitude, 5/20-day realized volatility, forward 20-day</w:t>
        <w:br/>
        <w:t>drawdown, and regime. Diagnostics: reconstruction R², effective and spectral</w:t>
        <w:br/>
        <w:t>rank, and linear CKA between representations and across seeds.</w:t>
      </w:r>
    </w:p>
    <w:p>
      <w:pPr>
        <w:pStyle w:val="Heading2"/>
      </w:pPr>
      <w:r>
        <w:t>3.5 Evaluation</w:t>
      </w:r>
    </w:p>
    <w:p>
      <w:r>
        <w:rPr>
          <w:b w:val="0"/>
          <w:i w:val="0"/>
        </w:rPr>
        <w:t>Downstream utility is the annualized Sharpe ratio of the deterministic policy</w:t>
        <w:br/>
        <w:t>applied to realized market returns on the test split. We also report trivial</w:t>
        <w:br/>
        <w:t>baselines: buy-and-hold, constant-mean action, per-date behavior-mean action,</w:t>
        <w:br/>
        <w:t>and random actions.</w:t>
      </w:r>
    </w:p>
    <w:p>
      <w:pPr>
        <w:pStyle w:val="Heading2"/>
      </w:pPr>
      <w:r>
        <w:t>3.6 Statistical analysis</w:t>
      </w:r>
    </w:p>
    <w:p>
      <w:pPr>
        <w:pStyle w:val="ListBullet"/>
      </w:pPr>
      <w:r>
        <w:rPr>
          <w:b/>
          <w:i w:val="0"/>
        </w:rPr>
        <w:t>Formal inference</w:t>
      </w:r>
      <w:r>
        <w:rPr>
          <w:b w:val="0"/>
          <w:i w:val="0"/>
        </w:rPr>
        <w:t>: two-way ANOVA</w:t>
        <w:br/>
        <w:t xml:space="preserve">  U_{ra} = μ + α_r + β_a + (αβ)</w:t>
      </w:r>
      <w:r>
        <w:rPr>
          <w:b w:val="0"/>
          <w:i/>
        </w:rPr>
        <w:t>{ra} + ε</w:t>
      </w:r>
      <w:r>
        <w:rPr>
          <w:b w:val="0"/>
          <w:i w:val="0"/>
        </w:rPr>
        <w:t>{ra} over the 4 × 4 × 10</w:t>
        <w:br/>
        <w:t xml:space="preserve">  observations, with the seed-within-cell residual as the error term; η² effect</w:t>
        <w:br/>
        <w:t xml:space="preserve">  sizes.</w:t>
      </w:r>
    </w:p>
    <w:p>
      <w:pPr>
        <w:pStyle w:val="ListBullet"/>
      </w:pPr>
      <w:r>
        <w:rPr>
          <w:b/>
          <w:i w:val="0"/>
        </w:rPr>
        <w:t>Descriptive</w:t>
      </w:r>
      <w:r>
        <w:rPr>
          <w:b w:val="0"/>
          <w:i w:val="0"/>
        </w:rPr>
        <w:t>: decomposition of the 4 × 4 cell-mean matrix (reported as</w:t>
        <w:br/>
        <w:t xml:space="preserve">  "descriptive variance decomposition of cell-mean utility", not variance</w:t>
        <w:br/>
        <w:t xml:space="preserve">  explained).</w:t>
      </w:r>
    </w:p>
    <w:p>
      <w:pPr>
        <w:pStyle w:val="ListBullet"/>
      </w:pPr>
      <w:r>
        <w:rPr>
          <w:b/>
          <w:i w:val="0"/>
        </w:rPr>
        <w:t>Bootstrap</w:t>
      </w:r>
      <w:r>
        <w:rPr>
          <w:b w:val="0"/>
          <w:i w:val="0"/>
        </w:rPr>
        <w:t>: 10,000-resample percentile CIs for cell means and for key</w:t>
        <w:br/>
        <w:t xml:space="preserve">  contrasts.</w:t>
      </w:r>
    </w:p>
    <w:p>
      <w:pPr>
        <w:pStyle w:val="ListBullet"/>
      </w:pPr>
      <w:r>
        <w:rPr>
          <w:b/>
          <w:i w:val="0"/>
        </w:rPr>
        <w:t>Mechanism (pre-specified, one run)</w:t>
      </w:r>
      <w:r>
        <w:rPr>
          <w:b w:val="0"/>
          <w:i w:val="0"/>
        </w:rPr>
        <w:t>: a primary test of the divergence ×</w:t>
        <w:br/>
        <w:t xml:space="preserve">  regime interaction on regime-specific utility (n = 144, clustered SEs,</w:t>
        <w:br/>
        <w:t xml:space="preserve">  representation and algorithm as controls) and a secondary seed-level test of</w:t>
        <w:br/>
        <w:t xml:space="preserve">  divergence on utility (n = 48, same controls), using behavior-policy</w:t>
        <w:br/>
        <w:t xml:space="preserve">  divergence (mean |a_policy − a_behavior|) and action-distribution JS</w:t>
        <w:br/>
        <w:t xml:space="preserve">  divergence.</w:t>
      </w:r>
    </w:p>
    <w:p>
      <w:pPr>
        <w:pStyle w:val="Heading1"/>
      </w:pPr>
      <w:r>
        <w:t>4. Results</w:t>
      </w:r>
    </w:p>
    <w:p>
      <w:pPr>
        <w:pStyle w:val="Heading2"/>
      </w:pPr>
      <w:r>
        <w:t>4.1 Does more information produce more useful representations?</w:t>
      </w:r>
    </w:p>
    <w:p>
      <w:r>
        <w:rPr>
          <w:b w:val="0"/>
          <w:i w:val="0"/>
        </w:rPr>
        <w:t>Across the feature sweep (10 seeds), the predictive representation's</w:t>
        <w:br/>
        <w:t xml:space="preserve">supervised Sharpe is non-monotone and </w:t>
      </w:r>
      <w:r>
        <w:rPr>
          <w:b/>
          <w:i w:val="0"/>
        </w:rPr>
        <w:t>declines past 16 features</w:t>
      </w:r>
      <w:r>
        <w:rPr>
          <w:b w:val="0"/>
          <w:i w:val="0"/>
        </w:rPr>
        <w:br/>
        <w:t>(.826, .751, .770, .856, .657, .481 for 4/8/12/16/24/32); contrastive rises</w:t>
        <w:br/>
        <w:t>(.928, .487, .818, .969, 1.005, 1.008); auto is flat (.751–.674–.730).</w:t>
        <w:br/>
        <w:t>Across the latent sweep, the predictive Sharpe peaks at 8 dimensions (.969)</w:t>
        <w:br/>
        <w:t>and is flat-to-worse at 128 (.751); contrastive declines monotonically to .487.</w:t>
      </w:r>
    </w:p>
    <w:p>
      <w:r>
        <w:rPr>
          <w:b w:val="0"/>
          <w:i w:val="0"/>
        </w:rPr>
        <w:t xml:space="preserve">Critically, </w:t>
      </w:r>
      <w:r>
        <w:rPr>
          <w:b/>
          <w:i w:val="0"/>
        </w:rPr>
        <w:t>direction AUC remains at chance at every size and dimension</w:t>
      </w:r>
      <w:r>
        <w:rPr>
          <w:b w:val="0"/>
          <w:i w:val="0"/>
        </w:rPr>
        <w:br/>
        <w:t>(.50–.53) and under every probe family. Increasing the observable feature set</w:t>
        <w:br/>
        <w:t>does not uncover short-horizon directional information or monotonically improve</w:t>
        <w:br/>
        <w:t>utility.</w:t>
      </w:r>
    </w:p>
    <w:p>
      <w:pPr>
        <w:pStyle w:val="Heading2"/>
      </w:pPr>
      <w:r>
        <w:t>4.2 What does a representation encode?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target</w:t>
            </w:r>
          </w:p>
        </w:tc>
        <w:tc>
          <w:tcPr>
            <w:tcW w:type="dxa" w:w="2340"/>
          </w:tcPr>
          <w:p>
            <w:r>
              <w:t>linear</w:t>
            </w:r>
          </w:p>
        </w:tc>
        <w:tc>
          <w:tcPr>
            <w:tcW w:type="dxa" w:w="2340"/>
          </w:tcPr>
          <w:p>
            <w:r>
              <w:t>GBDT</w:t>
            </w:r>
          </w:p>
        </w:tc>
        <w:tc>
          <w:tcPr>
            <w:tcW w:type="dxa" w:w="2340"/>
          </w:tcPr>
          <w:p>
            <w:r>
              <w:t>MLP</w:t>
            </w:r>
          </w:p>
        </w:tc>
      </w:tr>
      <w:tr>
        <w:tc>
          <w:tcPr>
            <w:tcW w:type="dxa" w:w="2340"/>
          </w:tcPr>
          <w:p>
            <w:r>
              <w:t>direction_1 (AUC)</w:t>
            </w:r>
          </w:p>
        </w:tc>
        <w:tc>
          <w:tcPr>
            <w:tcW w:type="dxa" w:w="2340"/>
          </w:tcPr>
          <w:p>
            <w:r>
              <w:t>.506–.521</w:t>
            </w:r>
          </w:p>
        </w:tc>
        <w:tc>
          <w:tcPr>
            <w:tcW w:type="dxa" w:w="2340"/>
          </w:tcPr>
          <w:p>
            <w:r>
              <w:t>.503–.524</w:t>
            </w:r>
          </w:p>
        </w:tc>
        <w:tc>
          <w:tcPr>
            <w:tcW w:type="dxa" w:w="2340"/>
          </w:tcPr>
          <w:p>
            <w:r>
              <w:t>.499–.509</w:t>
            </w:r>
          </w:p>
        </w:tc>
      </w:tr>
      <w:tr>
        <w:tc>
          <w:tcPr>
            <w:tcW w:type="dxa" w:w="2340"/>
          </w:tcPr>
          <w:p>
            <w:r>
              <w:t>magnitude_1 (R²)</w:t>
            </w:r>
          </w:p>
        </w:tc>
        <w:tc>
          <w:tcPr>
            <w:tcW w:type="dxa" w:w="2340"/>
          </w:tcPr>
          <w:p>
            <w:r>
              <w:t>−.009–.018</w:t>
            </w:r>
          </w:p>
        </w:tc>
        <w:tc>
          <w:tcPr>
            <w:tcW w:type="dxa" w:w="2340"/>
          </w:tcPr>
          <w:p>
            <w:r>
              <w:t>.023–.076</w:t>
            </w:r>
          </w:p>
        </w:tc>
        <w:tc>
          <w:tcPr>
            <w:tcW w:type="dxa" w:w="2340"/>
          </w:tcPr>
          <w:p>
            <w:r>
              <w:t>.022–.079</w:t>
            </w:r>
          </w:p>
        </w:tc>
      </w:tr>
      <w:tr>
        <w:tc>
          <w:tcPr>
            <w:tcW w:type="dxa" w:w="2340"/>
          </w:tcPr>
          <w:p>
            <w:r>
              <w:t>vol_5 (R²)</w:t>
            </w:r>
          </w:p>
        </w:tc>
        <w:tc>
          <w:tcPr>
            <w:tcW w:type="dxa" w:w="2340"/>
          </w:tcPr>
          <w:p>
            <w:r>
              <w:t>.034–.213</w:t>
            </w:r>
          </w:p>
        </w:tc>
        <w:tc>
          <w:tcPr>
            <w:tcW w:type="dxa" w:w="2340"/>
          </w:tcPr>
          <w:p>
            <w:r>
              <w:t>.199–.293</w:t>
            </w:r>
          </w:p>
        </w:tc>
        <w:tc>
          <w:tcPr>
            <w:tcW w:type="dxa" w:w="2340"/>
          </w:tcPr>
          <w:p>
            <w:r>
              <w:t>.046–.226</w:t>
            </w:r>
          </w:p>
        </w:tc>
      </w:tr>
      <w:tr>
        <w:tc>
          <w:tcPr>
            <w:tcW w:type="dxa" w:w="2340"/>
          </w:tcPr>
          <w:p>
            <w:r>
              <w:t>vol_20 (R²)</w:t>
            </w:r>
          </w:p>
        </w:tc>
        <w:tc>
          <w:tcPr>
            <w:tcW w:type="dxa" w:w="2340"/>
          </w:tcPr>
          <w:p>
            <w:r>
              <w:t>−.007–.380</w:t>
            </w:r>
          </w:p>
        </w:tc>
        <w:tc>
          <w:tcPr>
            <w:tcW w:type="dxa" w:w="2340"/>
          </w:tcPr>
          <w:p>
            <w:r>
              <w:t>.247–.288</w:t>
            </w:r>
          </w:p>
        </w:tc>
        <w:tc>
          <w:tcPr>
            <w:tcW w:type="dxa" w:w="2340"/>
          </w:tcPr>
          <w:p>
            <w:r>
              <w:t>−.114–.098</w:t>
            </w:r>
          </w:p>
        </w:tc>
      </w:tr>
      <w:tr>
        <w:tc>
          <w:tcPr>
            <w:tcW w:type="dxa" w:w="2340"/>
          </w:tcPr>
          <w:p>
            <w:r>
              <w:t>drawdown_20 (R²)</w:t>
            </w:r>
          </w:p>
        </w:tc>
        <w:tc>
          <w:tcPr>
            <w:tcW w:type="dxa" w:w="2340"/>
          </w:tcPr>
          <w:p>
            <w:r>
              <w:t>−.34–−.03</w:t>
            </w:r>
          </w:p>
        </w:tc>
        <w:tc>
          <w:tcPr>
            <w:tcW w:type="dxa" w:w="2340"/>
          </w:tcPr>
          <w:p>
            <w:r>
              <w:t>−.19–−.16</w:t>
            </w:r>
          </w:p>
        </w:tc>
        <w:tc>
          <w:tcPr>
            <w:tcW w:type="dxa" w:w="2340"/>
          </w:tcPr>
          <w:p>
            <w:r>
              <w:t>−.57–−.26</w:t>
            </w:r>
          </w:p>
        </w:tc>
      </w:tr>
    </w:tbl>
    <w:p>
      <w:r>
        <w:rPr>
          <w:b w:val="0"/>
          <w:i w:val="0"/>
        </w:rPr>
        <w:t xml:space="preserve">Direction is at chance under all families. Volatility is </w:t>
      </w:r>
      <w:r>
        <w:rPr>
          <w:b/>
          <w:i w:val="0"/>
        </w:rPr>
        <w:t>nonlinearly</w:t>
      </w:r>
      <w:r>
        <w:rPr>
          <w:b w:val="0"/>
          <w:i w:val="0"/>
        </w:rPr>
        <w:br/>
        <w:t>encoded: GBDT recovers ≈.25–.29 from learned representations where linear</w:t>
        <w:br/>
        <w:t>probes see ≈.03–.05. Forward drawdown is not recoverable by any probe.</w:t>
        <w:br/>
        <w:t>Effective rank and cross-seed CKA do not track utility; CKA is negatively</w:t>
        <w:br/>
        <w:t>correlated with utility across the scaling grid (r = −.23).</w:t>
      </w:r>
    </w:p>
    <w:p>
      <w:r>
        <w:rPr>
          <w:b w:val="0"/>
          <w:i w:val="0"/>
        </w:rPr>
        <w:t>Learned representations differ substantially in what they encode, and no single</w:t>
        <w:br/>
        <w:t>diagnostic is a one-dimensional proxy for utility.</w:t>
      </w:r>
    </w:p>
    <w:p>
      <w:pPr>
        <w:pStyle w:val="Heading2"/>
      </w:pPr>
      <w:r>
        <w:t>4.3 Does representation quality translate into trading utility?</w:t>
      </w:r>
    </w:p>
    <w:p>
      <w:r>
        <w:rPr>
          <w:b w:val="0"/>
          <w:i w:val="0"/>
        </w:rPr>
        <w:t>Test Sharpe (10 seeds), same frozen representations and transitions: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rep</w:t>
            </w:r>
          </w:p>
        </w:tc>
        <w:tc>
          <w:tcPr>
            <w:tcW w:type="dxa" w:w="1872"/>
          </w:tcPr>
          <w:p>
            <w:r>
              <w:t>A2C</w:t>
            </w:r>
          </w:p>
        </w:tc>
        <w:tc>
          <w:tcPr>
            <w:tcW w:type="dxa" w:w="1872"/>
          </w:tcPr>
          <w:p>
            <w:r>
              <w:t>BC</w:t>
            </w:r>
          </w:p>
        </w:tc>
        <w:tc>
          <w:tcPr>
            <w:tcW w:type="dxa" w:w="1872"/>
          </w:tcPr>
          <w:p>
            <w:r>
              <w:t>IQL</w:t>
            </w:r>
          </w:p>
        </w:tc>
        <w:tc>
          <w:tcPr>
            <w:tcW w:type="dxa" w:w="1872"/>
          </w:tcPr>
          <w:p>
            <w:r>
              <w:t>CQL</w:t>
            </w:r>
          </w:p>
        </w:tc>
      </w:tr>
      <w:tr>
        <w:tc>
          <w:tcPr>
            <w:tcW w:type="dxa" w:w="1872"/>
          </w:tcPr>
          <w:p>
            <w:r>
              <w:t>raw</w:t>
            </w:r>
          </w:p>
        </w:tc>
        <w:tc>
          <w:tcPr>
            <w:tcW w:type="dxa" w:w="1872"/>
          </w:tcPr>
          <w:p>
            <w:r>
              <w:t>.362</w:t>
            </w:r>
          </w:p>
        </w:tc>
        <w:tc>
          <w:tcPr>
            <w:tcW w:type="dxa" w:w="1872"/>
          </w:tcPr>
          <w:p>
            <w:r>
              <w:t>.682</w:t>
            </w:r>
          </w:p>
        </w:tc>
        <w:tc>
          <w:tcPr>
            <w:tcW w:type="dxa" w:w="1872"/>
          </w:tcPr>
          <w:p>
            <w:r>
              <w:t>.559</w:t>
            </w:r>
          </w:p>
        </w:tc>
        <w:tc>
          <w:tcPr>
            <w:tcW w:type="dxa" w:w="1872"/>
          </w:tcPr>
          <w:p>
            <w:r>
              <w:t>.574</w:t>
            </w:r>
          </w:p>
        </w:tc>
      </w:tr>
      <w:tr>
        <w:tc>
          <w:tcPr>
            <w:tcW w:type="dxa" w:w="1872"/>
          </w:tcPr>
          <w:p>
            <w:r>
              <w:t>auto</w:t>
            </w:r>
          </w:p>
        </w:tc>
        <w:tc>
          <w:tcPr>
            <w:tcW w:type="dxa" w:w="1872"/>
          </w:tcPr>
          <w:p>
            <w:r>
              <w:t>.464</w:t>
            </w:r>
          </w:p>
        </w:tc>
        <w:tc>
          <w:tcPr>
            <w:tcW w:type="dxa" w:w="1872"/>
          </w:tcPr>
          <w:p>
            <w:r>
              <w:t>.642</w:t>
            </w:r>
          </w:p>
        </w:tc>
        <w:tc>
          <w:tcPr>
            <w:tcW w:type="dxa" w:w="1872"/>
          </w:tcPr>
          <w:p>
            <w:r>
              <w:t>.624</w:t>
            </w:r>
          </w:p>
        </w:tc>
        <w:tc>
          <w:tcPr>
            <w:tcW w:type="dxa" w:w="1872"/>
          </w:tcPr>
          <w:p>
            <w:r>
              <w:t>.768</w:t>
            </w:r>
          </w:p>
        </w:tc>
      </w:tr>
      <w:tr>
        <w:tc>
          <w:tcPr>
            <w:tcW w:type="dxa" w:w="1872"/>
          </w:tcPr>
          <w:p>
            <w:r>
              <w:t>predictive</w:t>
            </w:r>
          </w:p>
        </w:tc>
        <w:tc>
          <w:tcPr>
            <w:tcW w:type="dxa" w:w="1872"/>
          </w:tcPr>
          <w:p>
            <w:r>
              <w:t>.617</w:t>
            </w:r>
          </w:p>
        </w:tc>
        <w:tc>
          <w:tcPr>
            <w:tcW w:type="dxa" w:w="1872"/>
          </w:tcPr>
          <w:p>
            <w:r>
              <w:t>.631</w:t>
            </w:r>
          </w:p>
        </w:tc>
        <w:tc>
          <w:tcPr>
            <w:tcW w:type="dxa" w:w="1872"/>
          </w:tcPr>
          <w:p>
            <w:r>
              <w:t>.628</w:t>
            </w:r>
          </w:p>
        </w:tc>
        <w:tc>
          <w:tcPr>
            <w:tcW w:type="dxa" w:w="1872"/>
          </w:tcPr>
          <w:p>
            <w:r>
              <w:t>.676</w:t>
            </w:r>
          </w:p>
        </w:tc>
      </w:tr>
      <w:tr>
        <w:tc>
          <w:tcPr>
            <w:tcW w:type="dxa" w:w="1872"/>
          </w:tcPr>
          <w:p>
            <w:r>
              <w:t>contrastive</w:t>
            </w:r>
          </w:p>
        </w:tc>
        <w:tc>
          <w:tcPr>
            <w:tcW w:type="dxa" w:w="1872"/>
          </w:tcPr>
          <w:p>
            <w:r>
              <w:t>.527</w:t>
            </w:r>
          </w:p>
        </w:tc>
        <w:tc>
          <w:tcPr>
            <w:tcW w:type="dxa" w:w="1872"/>
          </w:tcPr>
          <w:p>
            <w:r>
              <w:t>.641</w:t>
            </w:r>
          </w:p>
        </w:tc>
        <w:tc>
          <w:tcPr>
            <w:tcW w:type="dxa" w:w="1872"/>
          </w:tcPr>
          <w:p>
            <w:r>
              <w:t>.621</w:t>
            </w:r>
          </w:p>
        </w:tc>
        <w:tc>
          <w:tcPr>
            <w:tcW w:type="dxa" w:w="1872"/>
          </w:tcPr>
          <w:p>
            <w:r>
              <w:t>.709</w:t>
            </w:r>
          </w:p>
        </w:tc>
      </w:tr>
    </w:tbl>
    <w:p>
      <w:r>
        <w:rPr>
          <w:b w:val="0"/>
          <w:i w:val="0"/>
        </w:rPr>
        <w:t xml:space="preserve">Baselines: </w:t>
      </w:r>
      <w:r>
        <w:rPr>
          <w:b/>
          <w:i w:val="0"/>
        </w:rPr>
        <w:t>buy-and-hold .784</w:t>
      </w:r>
      <w:r>
        <w:rPr>
          <w:b w:val="0"/>
          <w:i w:val="0"/>
        </w:rPr>
        <w:t>, constant_mean .784, behavior_mean .725,</w:t>
        <w:br/>
        <w:t xml:space="preserve">random −.456. </w:t>
      </w:r>
      <w:r>
        <w:rPr>
          <w:b/>
          <w:i w:val="0"/>
        </w:rPr>
        <w:t>No policy in this representation × algorithm matrix exceeds</w:t>
        <w:br/>
        <w:t>buy-and-hold</w:t>
      </w:r>
      <w:r>
        <w:rPr>
          <w:b w:val="0"/>
          <w:i w:val="0"/>
        </w:rPr>
        <w:t xml:space="preserve"> (later exposure-only and hybrid policies improve the</w:t>
        <w:br/>
        <w:t>risk–return trade-off; §4.7–4.9).</w:t>
      </w:r>
    </w:p>
    <w:p>
      <w:r>
        <w:rPr>
          <w:b w:val="0"/>
          <w:i w:val="0"/>
        </w:rPr>
        <w:t>Two-way ANOVA: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source</w:t>
            </w:r>
          </w:p>
        </w:tc>
        <w:tc>
          <w:tcPr>
            <w:tcW w:type="dxa" w:w="1872"/>
          </w:tcPr>
          <w:p>
            <w:r>
              <w:t>df</w:t>
            </w:r>
          </w:p>
        </w:tc>
        <w:tc>
          <w:tcPr>
            <w:tcW w:type="dxa" w:w="1872"/>
          </w:tcPr>
          <w:p>
            <w:r>
              <w:t>F</w:t>
            </w:r>
          </w:p>
        </w:tc>
        <w:tc>
          <w:tcPr>
            <w:tcW w:type="dxa" w:w="1872"/>
          </w:tcPr>
          <w:p>
            <w:r>
              <w:t>p</w:t>
            </w:r>
          </w:p>
        </w:tc>
        <w:tc>
          <w:tcPr>
            <w:tcW w:type="dxa" w:w="1872"/>
          </w:tcPr>
          <w:p>
            <w:r>
              <w:t>η²</w:t>
            </w:r>
          </w:p>
        </w:tc>
      </w:tr>
      <w:tr>
        <w:tc>
          <w:tcPr>
            <w:tcW w:type="dxa" w:w="1872"/>
          </w:tcPr>
          <w:p>
            <w:r>
              <w:t>representation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2.44</w:t>
            </w:r>
          </w:p>
        </w:tc>
        <w:tc>
          <w:tcPr>
            <w:tcW w:type="dxa" w:w="1872"/>
          </w:tcPr>
          <w:p>
            <w:r>
              <w:t>.067</w:t>
            </w:r>
          </w:p>
        </w:tc>
        <w:tc>
          <w:tcPr>
            <w:tcW w:type="dxa" w:w="1872"/>
          </w:tcPr>
          <w:p>
            <w:r>
              <w:t>.038</w:t>
            </w:r>
          </w:p>
        </w:tc>
      </w:tr>
      <w:tr>
        <w:tc>
          <w:tcPr>
            <w:tcW w:type="dxa" w:w="1872"/>
          </w:tcPr>
          <w:p>
            <w:r>
              <w:t>algorithm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9.05</w:t>
            </w:r>
          </w:p>
        </w:tc>
        <w:tc>
          <w:tcPr>
            <w:tcW w:type="dxa" w:w="1872"/>
          </w:tcPr>
          <w:p>
            <w:r>
              <w:t>&lt;.0001</w:t>
            </w:r>
          </w:p>
        </w:tc>
        <w:tc>
          <w:tcPr>
            <w:tcW w:type="dxa" w:w="1872"/>
          </w:tcPr>
          <w:p>
            <w:r>
              <w:t>.142</w:t>
            </w:r>
          </w:p>
        </w:tc>
      </w:tr>
      <w:tr>
        <w:tc>
          <w:tcPr>
            <w:tcW w:type="dxa" w:w="1872"/>
          </w:tcPr>
          <w:p>
            <w:r>
              <w:t>rep × algo</w:t>
            </w:r>
          </w:p>
        </w:tc>
        <w:tc>
          <w:tcPr>
            <w:tcW w:type="dxa" w:w="1872"/>
          </w:tcPr>
          <w:p>
            <w:r>
              <w:t>9</w:t>
            </w:r>
          </w:p>
        </w:tc>
        <w:tc>
          <w:tcPr>
            <w:tcW w:type="dxa" w:w="1872"/>
          </w:tcPr>
          <w:p>
            <w:r>
              <w:t>1.37</w:t>
            </w:r>
          </w:p>
        </w:tc>
        <w:tc>
          <w:tcPr>
            <w:tcW w:type="dxa" w:w="1872"/>
          </w:tcPr>
          <w:p>
            <w:r>
              <w:t>.206</w:t>
            </w:r>
          </w:p>
        </w:tc>
        <w:tc>
          <w:tcPr>
            <w:tcW w:type="dxa" w:w="1872"/>
          </w:tcPr>
          <w:p>
            <w:r>
              <w:t>.065</w:t>
            </w:r>
          </w:p>
        </w:tc>
      </w:tr>
      <w:tr>
        <w:tc>
          <w:tcPr>
            <w:tcW w:type="dxa" w:w="1872"/>
          </w:tcPr>
          <w:p>
            <w:r>
              <w:t>residual (seed)</w:t>
            </w:r>
          </w:p>
        </w:tc>
        <w:tc>
          <w:tcPr>
            <w:tcW w:type="dxa" w:w="1872"/>
          </w:tcPr>
          <w:p>
            <w:r>
              <w:t>144</w:t>
            </w:r>
          </w:p>
        </w:tc>
        <w:tc>
          <w:tcPr>
            <w:tcW w:type="dxa" w:w="1872"/>
          </w:tcPr>
          <w:p>
            <w:r>
              <w:t>–</w:t>
            </w:r>
          </w:p>
        </w:tc>
        <w:tc>
          <w:tcPr>
            <w:tcW w:type="dxa" w:w="1872"/>
          </w:tcPr>
          <w:p>
            <w:r>
              <w:t>–</w:t>
            </w:r>
          </w:p>
        </w:tc>
        <w:tc>
          <w:tcPr>
            <w:tcW w:type="dxa" w:w="1872"/>
          </w:tcPr>
          <w:p>
            <w:r>
              <w:t>.755</w:t>
            </w:r>
          </w:p>
        </w:tc>
      </w:tr>
    </w:tbl>
    <w:p>
      <w:r>
        <w:rPr>
          <w:b w:val="0"/>
          <w:i w:val="0"/>
        </w:rPr>
        <w:t>Algorithm identity is the only robust inferential effect; representation is</w:t>
        <w:br/>
        <w:t>marginal; the interaction is not established. Bootstrap contrasts confirm the</w:t>
        <w:br/>
        <w:t>algorithm gap is significant only on raw/auto (e.g. raw BC−A2C +.319</w:t>
        <w:br/>
        <w:t>[.160, .472]); on the predictive representation all algorithms are</w:t>
        <w:br/>
        <w:t>statistically equivalent.</w:t>
      </w:r>
    </w:p>
    <w:p>
      <w:r>
        <w:rPr>
          <w:b w:val="0"/>
          <w:i w:val="0"/>
        </w:rPr>
        <w:t>Representation diagnostics do not provide a reliable one-dimensional proxy for</w:t>
        <w:br/>
        <w:t>downstream utility.</w:t>
      </w:r>
    </w:p>
    <w:p>
      <w:pPr>
        <w:pStyle w:val="Heading2"/>
      </w:pPr>
      <w:r>
        <w:t>4.4 Why does algorithm choice change representation sensitivity?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algorithm</w:t>
            </w:r>
          </w:p>
        </w:tc>
        <w:tc>
          <w:tcPr>
            <w:tcW w:type="dxa" w:w="2340"/>
          </w:tcPr>
          <w:p>
            <w:r>
              <w:t>Sharpe range</w:t>
            </w:r>
          </w:p>
        </w:tc>
        <w:tc>
          <w:tcPr>
            <w:tcW w:type="dxa" w:w="2340"/>
          </w:tcPr>
          <w:p>
            <w:r>
              <w:t>CV</w:t>
            </w:r>
          </w:p>
        </w:tc>
        <w:tc>
          <w:tcPr>
            <w:tcW w:type="dxa" w:w="2340"/>
          </w:tcPr>
          <w:p>
            <w:r>
              <w:t>mean divergence from behavior</w:t>
            </w:r>
          </w:p>
        </w:tc>
      </w:tr>
      <w:tr>
        <w:tc>
          <w:tcPr>
            <w:tcW w:type="dxa" w:w="2340"/>
          </w:tcPr>
          <w:p>
            <w:r>
              <w:t>BC</w:t>
            </w:r>
          </w:p>
        </w:tc>
        <w:tc>
          <w:tcPr>
            <w:tcW w:type="dxa" w:w="2340"/>
          </w:tcPr>
          <w:p>
            <w:r>
              <w:t>.051</w:t>
            </w:r>
          </w:p>
        </w:tc>
        <w:tc>
          <w:tcPr>
            <w:tcW w:type="dxa" w:w="2340"/>
          </w:tcPr>
          <w:p>
            <w:r>
              <w:t>.035</w:t>
            </w:r>
          </w:p>
        </w:tc>
        <w:tc>
          <w:tcPr>
            <w:tcW w:type="dxa" w:w="2340"/>
          </w:tcPr>
          <w:p>
            <w:r>
              <w:t>.067</w:t>
            </w:r>
          </w:p>
        </w:tc>
      </w:tr>
      <w:tr>
        <w:tc>
          <w:tcPr>
            <w:tcW w:type="dxa" w:w="2340"/>
          </w:tcPr>
          <w:p>
            <w:r>
              <w:t>IQL</w:t>
            </w:r>
          </w:p>
        </w:tc>
        <w:tc>
          <w:tcPr>
            <w:tcW w:type="dxa" w:w="2340"/>
          </w:tcPr>
          <w:p>
            <w:r>
              <w:t>.069</w:t>
            </w:r>
          </w:p>
        </w:tc>
        <w:tc>
          <w:tcPr>
            <w:tcW w:type="dxa" w:w="2340"/>
          </w:tcPr>
          <w:p>
            <w:r>
              <w:t>.054</w:t>
            </w:r>
          </w:p>
        </w:tc>
        <w:tc>
          <w:tcPr>
            <w:tcW w:type="dxa" w:w="2340"/>
          </w:tcPr>
          <w:p>
            <w:r>
              <w:t>.068</w:t>
            </w:r>
          </w:p>
        </w:tc>
      </w:tr>
      <w:tr>
        <w:tc>
          <w:tcPr>
            <w:tcW w:type="dxa" w:w="2340"/>
          </w:tcPr>
          <w:p>
            <w:r>
              <w:t>CQL</w:t>
            </w:r>
          </w:p>
        </w:tc>
        <w:tc>
          <w:tcPr>
            <w:tcW w:type="dxa" w:w="2340"/>
          </w:tcPr>
          <w:p>
            <w:r>
              <w:t>.194</w:t>
            </w:r>
          </w:p>
        </w:tc>
        <w:tc>
          <w:tcPr>
            <w:tcW w:type="dxa" w:w="2340"/>
          </w:tcPr>
          <w:p>
            <w:r>
              <w:t>.120</w:t>
            </w:r>
          </w:p>
        </w:tc>
        <w:tc>
          <w:tcPr>
            <w:tcW w:type="dxa" w:w="2340"/>
          </w:tcPr>
          <w:p>
            <w:r>
              <w:t>.732</w:t>
            </w:r>
          </w:p>
        </w:tc>
      </w:tr>
      <w:tr>
        <w:tc>
          <w:tcPr>
            <w:tcW w:type="dxa" w:w="2340"/>
          </w:tcPr>
          <w:p>
            <w:r>
              <w:t>A2C</w:t>
            </w:r>
          </w:p>
        </w:tc>
        <w:tc>
          <w:tcPr>
            <w:tcW w:type="dxa" w:w="2340"/>
          </w:tcPr>
          <w:p>
            <w:r>
              <w:t>.255</w:t>
            </w:r>
          </w:p>
        </w:tc>
        <w:tc>
          <w:tcPr>
            <w:tcW w:type="dxa" w:w="2340"/>
          </w:tcPr>
          <w:p>
            <w:r>
              <w:t>.218</w:t>
            </w:r>
          </w:p>
        </w:tc>
        <w:tc>
          <w:tcPr>
            <w:tcW w:type="dxa" w:w="2340"/>
          </w:tcPr>
          <w:p>
            <w:r>
              <w:t>.642</w:t>
            </w:r>
          </w:p>
        </w:tc>
      </w:tr>
    </w:tbl>
    <w:p>
      <w:r>
        <w:rPr>
          <w:b w:val="0"/>
          <w:i w:val="0"/>
        </w:rPr>
        <w:t>BC and IQL stay within ≈0.07 of the logged behavior policy and are nearly</w:t>
        <w:br/>
        <w:t>representation-insensitive; A2C and CQL depart by .64–.73 and are 3–5× more</w:t>
        <w:br/>
        <w:t>sensitive. Across the four algorithms the association is strong (Pearson</w:t>
        <w:br/>
        <w:t xml:space="preserve">r = .935, Spearman .80), but with n = 4 this is </w:t>
      </w:r>
      <w:r>
        <w:rPr>
          <w:b/>
          <w:i w:val="0"/>
        </w:rPr>
        <w:t>descriptive only</w:t>
      </w:r>
      <w:r>
        <w:rPr>
          <w:b w:val="0"/>
          <w:i w:val="0"/>
        </w:rPr>
        <w:t>. At the</w:t>
        <w:br/>
        <w:t>seed level the association is weak and inconsistent (pooled r = .13, p = .38).</w:t>
      </w:r>
    </w:p>
    <w:p>
      <w:r>
        <w:rPr>
          <w:b w:val="0"/>
          <w:i w:val="0"/>
        </w:rPr>
        <w:t>Raw regime correlations (n = 48; not controlling for representation or</w:t>
        <w:br/>
        <w:t>algorithm) show the divergence–utility relation changes sign: bull +.47,</w:t>
        <w:br/>
        <w:t>bear −.60, crisis −.58. (The pre-specified regression below controls for</w:t>
        <w:br/>
        <w:t>representation and algorithm and yields absolute slopes bull +0.04, bear</w:t>
        <w:br/>
        <w:t>−1.04, crisis −4.05; the descriptive correlations and the controlled slopes</w:t>
        <w:br/>
        <w:t>agree on the regime-dependence but not on the bull sign, which is why the</w:t>
        <w:br/>
        <w:t>controlled test is the one reported.) Regime-conditioned Sharpe makes the</w:t>
        <w:br/>
        <w:t>same point: BC/IQL win defensively (crisis IQL 3.18, BC 2.87 vs A2C .46);</w:t>
        <w:br/>
        <w:t>A2C/CQL win in bull (CQL .81, A2C .77 vs BC/IQL ≈.36). Per-year, all</w:t>
        <w:br/>
        <w:t>algorithms succeed in 2021/2023/2024 and fail together in 2022 (the bear year),</w:t>
        <w:br/>
        <w:t>i.e. degradation is regime-driven, not representation-driven.</w:t>
      </w:r>
    </w:p>
    <w:p>
      <w:r>
        <w:rPr>
          <w:b/>
          <w:i w:val="0"/>
        </w:rPr>
        <w:t>Pre-specified follow-up test (single run, frozen design).</w:t>
      </w:r>
      <w:r>
        <w:rPr>
          <w:b w:val="0"/>
          <w:i w:val="0"/>
        </w:rPr>
        <w:t xml:space="preserve"> To test whether</w:t>
        <w:br/>
        <w:t>this mechanism survives beyond the n = 4 algorithm-level observation, we fit,</w:t>
        <w:br/>
        <w:t>on the existing seed-level data (no new training), two pre-registered models:</w:t>
      </w:r>
    </w:p>
    <w:p>
      <w:pPr>
        <w:pStyle w:val="ListBullet"/>
      </w:pPr>
      <w:r>
        <w:rPr>
          <w:b w:val="0"/>
          <w:i w:val="0"/>
        </w:rPr>
        <w:t>Stage 1 (primary): regime-specific utility on divergence, regime, and their</w:t>
        <w:br/>
        <w:t xml:space="preserve">  interaction, with representation and algorithm as controls and standard</w:t>
        <w:br/>
        <w:t xml:space="preserve">  errors clustered by (rep, algo, seed) — n = 144;</w:t>
      </w:r>
    </w:p>
    <w:p>
      <w:pPr>
        <w:pStyle w:val="ListBullet"/>
      </w:pPr>
      <w:r>
        <w:rPr>
          <w:b w:val="0"/>
          <w:i w:val="0"/>
        </w:rPr>
        <w:t>Stage 2 (secondary): seed-level utility on divergence, controlling for</w:t>
        <w:br/>
        <w:t xml:space="preserve">  representation and algorithm — n = 48.</w:t>
      </w:r>
    </w:p>
    <w:p>
      <w:r>
        <w:rPr>
          <w:b w:val="0"/>
          <w:i w:val="0"/>
        </w:rPr>
        <w:t xml:space="preserve">Stage 1 is </w:t>
      </w:r>
      <w:r>
        <w:rPr>
          <w:b/>
          <w:i w:val="0"/>
        </w:rPr>
        <w:t>significant</w:t>
      </w:r>
      <w:r>
        <w:rPr>
          <w:b w:val="0"/>
          <w:i w:val="0"/>
        </w:rPr>
        <w:t xml:space="preserve"> (joint χ²(2) = 80.9, p = 2.7e-18). We find evidence</w:t>
        <w:br/>
        <w:t>that the association between behavior-policy divergence and utility is</w:t>
        <w:br/>
        <w:t>strongly regime-dependent: divergence is approximately neutral in bull regimes</w:t>
        <w:br/>
        <w:t xml:space="preserve">(absolute slope </w:t>
      </w:r>
      <w:r>
        <w:rPr>
          <w:b/>
          <w:i w:val="0"/>
        </w:rPr>
        <w:t>+0.04</w:t>
      </w:r>
      <w:r>
        <w:rPr>
          <w:b w:val="0"/>
          <w:i w:val="0"/>
        </w:rPr>
        <w:t>), negatively associated with utility in bear regimes</w:t>
        <w:br/>
        <w:t>(</w:t>
      </w:r>
      <w:r>
        <w:rPr>
          <w:b/>
          <w:i w:val="0"/>
        </w:rPr>
        <w:t>−1.04</w:t>
      </w:r>
      <w:r>
        <w:rPr>
          <w:b w:val="0"/>
          <w:i w:val="0"/>
        </w:rPr>
        <w:t>), and most strongly negative in crisis regimes (</w:t>
      </w:r>
      <w:r>
        <w:rPr>
          <w:b/>
          <w:i w:val="0"/>
        </w:rPr>
        <w:t>−4.05</w:t>
      </w:r>
      <w:r>
        <w:rPr>
          <w:b w:val="0"/>
          <w:i w:val="0"/>
        </w:rPr>
        <w:t>). Stage 2</w:t>
        <w:br/>
        <w:t xml:space="preserve">is </w:t>
      </w:r>
      <w:r>
        <w:rPr>
          <w:b/>
          <w:i w:val="0"/>
        </w:rPr>
        <w:t>null</w:t>
      </w:r>
      <w:r>
        <w:rPr>
          <w:b w:val="0"/>
          <w:i w:val="0"/>
        </w:rPr>
        <w:t>: divergence alone does not predict utility once representation and</w:t>
        <w:br/>
        <w:t>algorithm identity are controlled (β = +.135, p = .446; JS-divergence variant</w:t>
        <w:br/>
        <w:t>+.264, p = .567), so this result should not be interpreted as a causal effect of</w:t>
        <w:br/>
        <w:t>divergence.</w:t>
      </w:r>
    </w:p>
    <w:p>
      <w:r>
        <w:rPr>
          <w:b w:val="0"/>
          <w:i w:val="0"/>
        </w:rPr>
        <w:t>Behaviour-policy divergence and regime conditioning provide a plausible</w:t>
        <w:br/>
        <w:t>explanation for why some algorithms appear more representation-sensitive. The</w:t>
        <w:br/>
        <w:t>granular test confirms the regime-dependence (evidence is consistent with</w:t>
        <w:br/>
        <w:t>divergence being a regime-dependent moderator of representation utility) while</w:t>
        <w:br/>
        <w:t>showing that divergence alone does not predict utility once algorithm identity</w:t>
        <w:br/>
        <w:t>is controlled.</w:t>
      </w:r>
    </w:p>
    <w:p>
      <w:pPr>
        <w:pStyle w:val="Heading2"/>
      </w:pPr>
      <w:r>
        <w:t>4.5 Can the mechanism be exploited? A regime-gated policy</w:t>
      </w:r>
    </w:p>
    <w:p>
      <w:r>
        <w:rPr>
          <w:b w:val="0"/>
          <w:i w:val="0"/>
        </w:rPr>
        <w:t>If policy divergence becomes increasingly costly as market conditions</w:t>
        <w:br/>
        <w:t>deteriorate, an offline RL policy should learn when to deviate and when to</w:t>
        <w:br/>
        <w:t>remain conservative. We test this constructively with a regime-gated policy</w:t>
      </w:r>
    </w:p>
    <w:p>
      <w:r>
        <w:rPr>
          <w:b w:val="0"/>
          <w:i w:val="0"/>
        </w:rPr>
        <w:t>a_t = clip(a_beh_t + λ_t · d_t),</w:t>
      </w:r>
    </w:p>
    <w:p>
      <w:r>
        <w:rPr>
          <w:b w:val="0"/>
          <w:i w:val="0"/>
        </w:rPr>
        <w:t>where a_beh_t is the behavior-mean action (the conservative anchor), d_t is a</w:t>
        <w:br/>
        <w:t>learned deviation, λ_t = σ(g(h_t)) ∈ (0,1) is a learned safety gate, and a</w:t>
        <w:br/>
        <w:t>logistic regime head on h_t (train-only) supplies risk_t = P(bear) + P(crisis).</w:t>
        <w:br/>
        <w:t>Training is the same offline actor–critic as the matrix, plus an uncertainty</w:t>
        <w:br/>
        <w:t>constraint ρ·E[λ_t · risk_t] that pushes the gate down in risky states. We</w:t>
        <w:br/>
        <w:t>compare against behavior cloning (λ = 0), unconstrained A2C (full deviation),</w:t>
        <w:br/>
        <w:t>an unconstrained adaptive gate (ρ = 0), and a look-ahead oracle gate (λ = 1 in</w:t>
        <w:br/>
        <w:t>bull, .1 otherwise), all on the same frozen representations and transitions.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policy (predictive / contrastive)</w:t>
            </w:r>
          </w:p>
        </w:tc>
        <w:tc>
          <w:tcPr>
            <w:tcW w:type="dxa" w:w="4680"/>
          </w:tcPr>
          <w:p>
            <w:r>
              <w:t>test Sharpe, mean (std), 10 seeds</w:t>
            </w:r>
          </w:p>
        </w:tc>
      </w:tr>
      <w:tr>
        <w:tc>
          <w:tcPr>
            <w:tcW w:type="dxa" w:w="4680"/>
          </w:tcPr>
          <w:p>
            <w:r>
              <w:t>behavior clone (λ = 0)</w:t>
            </w:r>
          </w:p>
        </w:tc>
        <w:tc>
          <w:tcPr>
            <w:tcW w:type="dxa" w:w="4680"/>
          </w:tcPr>
          <w:p>
            <w:r>
              <w:t>.725</w:t>
            </w:r>
          </w:p>
        </w:tc>
      </w:tr>
      <w:tr>
        <w:tc>
          <w:tcPr>
            <w:tcW w:type="dxa" w:w="4680"/>
          </w:tcPr>
          <w:p>
            <w:r>
              <w:t>A2C (full deviation)</w:t>
            </w:r>
          </w:p>
        </w:tc>
        <w:tc>
          <w:tcPr>
            <w:tcW w:type="dxa" w:w="4680"/>
          </w:tcPr>
          <w:p>
            <w:r>
              <w:t>.617 (.09) / .527 (.39)</w:t>
            </w:r>
          </w:p>
        </w:tc>
      </w:tr>
      <w:tr>
        <w:tc>
          <w:tcPr>
            <w:tcW w:type="dxa" w:w="4680"/>
          </w:tcPr>
          <w:p>
            <w:r>
              <w:t>gated, ρ = 0</w:t>
            </w:r>
          </w:p>
        </w:tc>
        <w:tc>
          <w:tcPr>
            <w:tcW w:type="dxa" w:w="4680"/>
          </w:tcPr>
          <w:p>
            <w:r>
              <w:t>.782 (.23) / .784 (.19)</w:t>
            </w:r>
          </w:p>
        </w:tc>
      </w:tr>
      <w:tr>
        <w:tc>
          <w:tcPr>
            <w:tcW w:type="dxa" w:w="4680"/>
          </w:tcPr>
          <w:p>
            <w:r>
              <w:t>gated, ρ = 1 (proposed)</w:t>
            </w:r>
          </w:p>
        </w:tc>
        <w:tc>
          <w:tcPr>
            <w:tcW w:type="dxa" w:w="4680"/>
          </w:tcPr>
          <w:p>
            <w:r>
              <w:t>.757 (.06) / .759 (.06)</w:t>
            </w:r>
          </w:p>
        </w:tc>
      </w:tr>
      <w:tr>
        <w:tc>
          <w:tcPr>
            <w:tcW w:type="dxa" w:w="4680"/>
          </w:tcPr>
          <w:p>
            <w:r>
              <w:t>oracle (look-ahead)</w:t>
            </w:r>
          </w:p>
        </w:tc>
        <w:tc>
          <w:tcPr>
            <w:tcW w:type="dxa" w:w="4680"/>
          </w:tcPr>
          <w:p>
            <w:r>
              <w:t>.758 (.12) / .781 (.55)</w:t>
            </w:r>
          </w:p>
        </w:tc>
      </w:tr>
    </w:tbl>
    <w:p>
      <w:r>
        <w:rPr>
          <w:b w:val="0"/>
          <w:i w:val="0"/>
        </w:rPr>
        <w:t>On SPY, the learned gate is regime-dependent, as H4 predicts: mean λ is highest</w:t>
        <w:br/>
        <w:t>in bull (.19–.20) and lowest in bear (.09–.13). The uncertainty constraint</w:t>
        <w:br/>
        <w:t>protects the risky regimes (crisis Sharpe 3.59 vs A2C 1.56; bear 1.38 vs A2C</w:t>
        <w:br/>
        <w:t>.83) at a small cost in bull. The proposed policy beats both fixed extremes</w:t>
        <w:br/>
        <w:t>with the lowest seed variance (std ≈ .06 vs .09–.39) and performs comparably to</w:t>
        <w:br/>
        <w:t>the look-ahead oracle on the predictive representation (.757 vs .758), while</w:t>
        <w:br/>
        <w:t>remaining below it on the contrastive representation (.759 vs .781). (As §4.5's</w:t>
        <w:br/>
        <w:t>cross-market note below shows, this regime prior does not transfer unchanged to</w:t>
        <w:br/>
        <w:t>other markets.)</w:t>
      </w:r>
    </w:p>
    <w:p>
      <w:r>
        <w:rPr>
          <w:b/>
          <w:i w:val="0"/>
        </w:rPr>
        <w:t>Finding (constructive support for the mechanism).</w:t>
      </w:r>
      <w:r>
        <w:rPr>
          <w:b w:val="0"/>
          <w:i w:val="0"/>
        </w:rPr>
        <w:t xml:space="preserve"> An offline RL system can</w:t>
        <w:br/>
        <w:t>learn when it is safe to deviate from observed behavior and when to stay</w:t>
        <w:br/>
        <w:t>conservative: adaptive gating dominates both the conservative (BC) and the</w:t>
        <w:br/>
        <w:t>fully-deviating (A2C) endpoints and approaches the oracle. Gains over behavior</w:t>
        <w:br/>
        <w:t>cloning are modest and at/below the buy-and-hold baseline.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3773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_mechanism_schemat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77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44444"/>
          <w:sz w:val="18"/>
        </w:rPr>
        <w:t>Figure 1. Decision-relevant pathway: representation -&gt; directional information (terminates, ~chance) / risk-state information -&gt; adaptive exposure -&gt; hybrid. Consistent across tested markets; paired Sharpe advantage not significant at 5%.</w:t>
      </w:r>
    </w:p>
    <w:p>
      <w:pPr>
        <w:pStyle w:val="Heading2"/>
      </w:pPr>
      <w:r>
        <w:t>4.6 Why is learned utility below buy-and-hold? A decomposition</w:t>
      </w:r>
    </w:p>
    <w:p>
      <w:r>
        <w:rPr>
          <w:b w:val="0"/>
          <w:i w:val="0"/>
        </w:rPr>
        <w:t>Decompose policy return as R_policy = R_direction + R_timing − R_turnover −</w:t>
        <w:br/>
        <w:t>R_cost, with the diagnostics in Table below (test 2021–2024, predictive</w:t>
        <w:br/>
        <w:t>representation, 3 seeds; all markets).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policy</w:t>
            </w:r>
          </w:p>
        </w:tc>
        <w:tc>
          <w:tcPr>
            <w:tcW w:type="dxa" w:w="1337"/>
          </w:tcPr>
          <w:p>
            <w:r>
              <w:t>Sharpe</w:t>
            </w:r>
          </w:p>
        </w:tc>
        <w:tc>
          <w:tcPr>
            <w:tcW w:type="dxa" w:w="1337"/>
          </w:tcPr>
          <w:p>
            <w:r>
              <w:t>exposure</w:t>
            </w:r>
          </w:p>
        </w:tc>
        <w:tc>
          <w:tcPr>
            <w:tcW w:type="dxa" w:w="1337"/>
          </w:tcPr>
          <w:p>
            <w:r>
              <w:t>dir_acc</w:t>
            </w:r>
          </w:p>
        </w:tc>
        <w:tc>
          <w:tcPr>
            <w:tcW w:type="dxa" w:w="1337"/>
          </w:tcPr>
          <w:p>
            <w:r>
              <w:t>upside capture</w:t>
            </w:r>
          </w:p>
        </w:tc>
        <w:tc>
          <w:tcPr>
            <w:tcW w:type="dxa" w:w="1337"/>
          </w:tcPr>
          <w:p>
            <w:r>
              <w:t>downside loss</w:t>
            </w:r>
          </w:p>
        </w:tc>
        <w:tc>
          <w:tcPr>
            <w:tcW w:type="dxa" w:w="1337"/>
          </w:tcPr>
          <w:p>
            <w:r>
              <w:t>Δ vs BH</w:t>
            </w:r>
          </w:p>
        </w:tc>
      </w:tr>
      <w:tr>
        <w:tc>
          <w:tcPr>
            <w:tcW w:type="dxa" w:w="1337"/>
          </w:tcPr>
          <w:p>
            <w:r>
              <w:t>buy-and-hold (SPY/CSI300/NIFTY)</w:t>
            </w:r>
          </w:p>
        </w:tc>
        <w:tc>
          <w:tcPr>
            <w:tcW w:type="dxa" w:w="1337"/>
          </w:tcPr>
          <w:p>
            <w:r>
              <w:t>.784 / −.352 / 1.006</w:t>
            </w:r>
          </w:p>
        </w:tc>
        <w:tc>
          <w:tcPr>
            <w:tcW w:type="dxa" w:w="1337"/>
          </w:tcPr>
          <w:p>
            <w:r>
              <w:t>1.00</w:t>
            </w:r>
          </w:p>
        </w:tc>
        <w:tc>
          <w:tcPr>
            <w:tcW w:type="dxa" w:w="1337"/>
          </w:tcPr>
          <w:p>
            <w:r>
              <w:t>.54 / .48 / .54</w:t>
            </w:r>
          </w:p>
        </w:tc>
        <w:tc>
          <w:tcPr>
            <w:tcW w:type="dxa" w:w="1337"/>
          </w:tcPr>
          <w:p>
            <w:r>
              <w:t>1.00</w:t>
            </w:r>
          </w:p>
        </w:tc>
        <w:tc>
          <w:tcPr>
            <w:tcW w:type="dxa" w:w="1337"/>
          </w:tcPr>
          <w:p>
            <w:r>
              <w:t>1.00</w:t>
            </w:r>
          </w:p>
        </w:tc>
        <w:tc>
          <w:tcPr>
            <w:tcW w:type="dxa" w:w="1337"/>
          </w:tcPr>
          <w:p>
            <w:r>
              <w:t>0</w:t>
            </w:r>
          </w:p>
        </w:tc>
      </w:tr>
      <w:tr>
        <w:tc>
          <w:tcPr>
            <w:tcW w:type="dxa" w:w="1337"/>
          </w:tcPr>
          <w:p>
            <w:r>
              <w:t>A2C</w:t>
            </w:r>
          </w:p>
        </w:tc>
        <w:tc>
          <w:tcPr>
            <w:tcW w:type="dxa" w:w="1337"/>
          </w:tcPr>
          <w:p>
            <w:r>
              <w:t>.692 / −.015 / .718</w:t>
            </w:r>
          </w:p>
        </w:tc>
        <w:tc>
          <w:tcPr>
            <w:tcW w:type="dxa" w:w="1337"/>
          </w:tcPr>
          <w:p>
            <w:r>
              <w:t>.15 / .31 / .40</w:t>
            </w:r>
          </w:p>
        </w:tc>
        <w:tc>
          <w:tcPr>
            <w:tcW w:type="dxa" w:w="1337"/>
          </w:tcPr>
          <w:p>
            <w:r>
              <w:t>.53 / .48 / .51</w:t>
            </w:r>
          </w:p>
        </w:tc>
        <w:tc>
          <w:tcPr>
            <w:tcW w:type="dxa" w:w="1337"/>
          </w:tcPr>
          <w:p>
            <w:r>
              <w:t>.17 / .34 / .44</w:t>
            </w:r>
          </w:p>
        </w:tc>
        <w:tc>
          <w:tcPr>
            <w:tcW w:type="dxa" w:w="1337"/>
          </w:tcPr>
          <w:p>
            <w:r>
              <w:t>.17 / .32 / .44</w:t>
            </w:r>
          </w:p>
        </w:tc>
        <w:tc>
          <w:tcPr>
            <w:tcW w:type="dxa" w:w="1337"/>
          </w:tcPr>
          <w:p>
            <w:r>
              <w:t>−.09 / +.34 / −.29</w:t>
            </w:r>
          </w:p>
        </w:tc>
      </w:tr>
      <w:tr>
        <w:tc>
          <w:tcPr>
            <w:tcW w:type="dxa" w:w="1337"/>
          </w:tcPr>
          <w:p>
            <w:r>
              <w:t>BC</w:t>
            </w:r>
          </w:p>
        </w:tc>
        <w:tc>
          <w:tcPr>
            <w:tcW w:type="dxa" w:w="1337"/>
          </w:tcPr>
          <w:p>
            <w:r>
              <w:t>.631 / −.119 / .571</w:t>
            </w:r>
          </w:p>
        </w:tc>
        <w:tc>
          <w:tcPr>
            <w:tcW w:type="dxa" w:w="1337"/>
          </w:tcPr>
          <w:p>
            <w:r>
              <w:t>.15 / .16 / .12</w:t>
            </w:r>
          </w:p>
        </w:tc>
        <w:tc>
          <w:tcPr>
            <w:tcW w:type="dxa" w:w="1337"/>
          </w:tcPr>
          <w:p>
            <w:r>
              <w:t>.52 / .48 / .47</w:t>
            </w:r>
          </w:p>
        </w:tc>
        <w:tc>
          <w:tcPr>
            <w:tcW w:type="dxa" w:w="1337"/>
          </w:tcPr>
          <w:p>
            <w:r>
              <w:t>.10 / .07 / .10</w:t>
            </w:r>
          </w:p>
        </w:tc>
        <w:tc>
          <w:tcPr>
            <w:tcW w:type="dxa" w:w="1337"/>
          </w:tcPr>
          <w:p>
            <w:r>
              <w:t>.09 / .07 / .10</w:t>
            </w:r>
          </w:p>
        </w:tc>
        <w:tc>
          <w:tcPr>
            <w:tcW w:type="dxa" w:w="1337"/>
          </w:tcPr>
          <w:p>
            <w:r>
              <w:t>−.15 / +.23 / −.44</w:t>
            </w:r>
          </w:p>
        </w:tc>
      </w:tr>
      <w:tr>
        <w:tc>
          <w:tcPr>
            <w:tcW w:type="dxa" w:w="1337"/>
          </w:tcPr>
          <w:p>
            <w:r>
              <w:t>IQL</w:t>
            </w:r>
          </w:p>
        </w:tc>
        <w:tc>
          <w:tcPr>
            <w:tcW w:type="dxa" w:w="1337"/>
          </w:tcPr>
          <w:p>
            <w:r>
              <w:t>.629 / −.099 / .463</w:t>
            </w:r>
          </w:p>
        </w:tc>
        <w:tc>
          <w:tcPr>
            <w:tcW w:type="dxa" w:w="1337"/>
          </w:tcPr>
          <w:p>
            <w:r>
              <w:t>.16 / .17 / .15</w:t>
            </w:r>
          </w:p>
        </w:tc>
        <w:tc>
          <w:tcPr>
            <w:tcW w:type="dxa" w:w="1337"/>
          </w:tcPr>
          <w:p>
            <w:r>
              <w:t>.52 / .50 / .47</w:t>
            </w:r>
          </w:p>
        </w:tc>
        <w:tc>
          <w:tcPr>
            <w:tcW w:type="dxa" w:w="1337"/>
          </w:tcPr>
          <w:p>
            <w:r>
              <w:t>.10 / .07 / .09</w:t>
            </w:r>
          </w:p>
        </w:tc>
        <w:tc>
          <w:tcPr>
            <w:tcW w:type="dxa" w:w="1337"/>
          </w:tcPr>
          <w:p>
            <w:r>
              <w:t>.09 / .07 / .09</w:t>
            </w:r>
          </w:p>
        </w:tc>
        <w:tc>
          <w:tcPr>
            <w:tcW w:type="dxa" w:w="1337"/>
          </w:tcPr>
          <w:p>
            <w:r>
              <w:t>−.16 / +.25 / −.54</w:t>
            </w:r>
          </w:p>
        </w:tc>
      </w:tr>
      <w:tr>
        <w:tc>
          <w:tcPr>
            <w:tcW w:type="dxa" w:w="1337"/>
          </w:tcPr>
          <w:p>
            <w:r>
              <w:t>CQL</w:t>
            </w:r>
          </w:p>
        </w:tc>
        <w:tc>
          <w:tcPr>
            <w:tcW w:type="dxa" w:w="1337"/>
          </w:tcPr>
          <w:p>
            <w:r>
              <w:t>.696 / −.316 / .630</w:t>
            </w:r>
          </w:p>
        </w:tc>
        <w:tc>
          <w:tcPr>
            <w:tcW w:type="dxa" w:w="1337"/>
          </w:tcPr>
          <w:p>
            <w:r>
              <w:t>.77 / .40 / .26</w:t>
            </w:r>
          </w:p>
        </w:tc>
        <w:tc>
          <w:tcPr>
            <w:tcW w:type="dxa" w:w="1337"/>
          </w:tcPr>
          <w:p>
            <w:r>
              <w:t>.53 / .48 / .50</w:t>
            </w:r>
          </w:p>
        </w:tc>
        <w:tc>
          <w:tcPr>
            <w:tcW w:type="dxa" w:w="1337"/>
          </w:tcPr>
          <w:p>
            <w:r>
              <w:t>.78 / .22 / .24</w:t>
            </w:r>
          </w:p>
        </w:tc>
        <w:tc>
          <w:tcPr>
            <w:tcW w:type="dxa" w:w="1337"/>
          </w:tcPr>
          <w:p>
            <w:r>
              <w:t>.78 / .24 / .24</w:t>
            </w:r>
          </w:p>
        </w:tc>
        <w:tc>
          <w:tcPr>
            <w:tcW w:type="dxa" w:w="1337"/>
          </w:tcPr>
          <w:p>
            <w:r>
              <w:t>−.09 / +.04 / −.38</w:t>
            </w:r>
          </w:p>
        </w:tc>
      </w:tr>
      <w:tr>
        <w:tc>
          <w:tcPr>
            <w:tcW w:type="dxa" w:w="1337"/>
          </w:tcPr>
          <w:p>
            <w:r>
              <w:t>gated (proposed)</w:t>
            </w:r>
          </w:p>
        </w:tc>
        <w:tc>
          <w:tcPr>
            <w:tcW w:type="dxa" w:w="1337"/>
          </w:tcPr>
          <w:p>
            <w:r>
              <w:t>.741 / −.381 / .518</w:t>
            </w:r>
          </w:p>
        </w:tc>
        <w:tc>
          <w:tcPr>
            <w:tcW w:type="dxa" w:w="1337"/>
          </w:tcPr>
          <w:p>
            <w:r>
              <w:t>.16 / .17 / .16</w:t>
            </w:r>
          </w:p>
        </w:tc>
        <w:tc>
          <w:tcPr>
            <w:tcW w:type="dxa" w:w="1337"/>
          </w:tcPr>
          <w:p>
            <w:r>
              <w:t>.52 / .51 / .48</w:t>
            </w:r>
          </w:p>
        </w:tc>
        <w:tc>
          <w:tcPr>
            <w:tcW w:type="dxa" w:w="1337"/>
          </w:tcPr>
          <w:p>
            <w:r>
              <w:t>.10 / .05 / .12</w:t>
            </w:r>
          </w:p>
        </w:tc>
        <w:tc>
          <w:tcPr>
            <w:tcW w:type="dxa" w:w="1337"/>
          </w:tcPr>
          <w:p>
            <w:r>
              <w:t>.08 / .06 / .12</w:t>
            </w:r>
          </w:p>
        </w:tc>
        <w:tc>
          <w:tcPr>
            <w:tcW w:type="dxa" w:w="1337"/>
          </w:tcPr>
          <w:p>
            <w:r>
              <w:t>−.04 / −.03 / −.49</w:t>
            </w:r>
          </w:p>
        </w:tc>
      </w:tr>
      <w:tr>
        <w:tc>
          <w:tcPr>
            <w:tcW w:type="dxa" w:w="1337"/>
          </w:tcPr>
          <w:p>
            <w:r>
              <w:t>oracle</w:t>
            </w:r>
          </w:p>
        </w:tc>
        <w:tc>
          <w:tcPr>
            <w:tcW w:type="dxa" w:w="1337"/>
          </w:tcPr>
          <w:p>
            <w:r>
              <w:t>.671 / −.339 / .659</w:t>
            </w:r>
          </w:p>
        </w:tc>
        <w:tc>
          <w:tcPr>
            <w:tcW w:type="dxa" w:w="1337"/>
          </w:tcPr>
          <w:p>
            <w:r>
              <w:t>.31 / .23 / .38</w:t>
            </w:r>
          </w:p>
        </w:tc>
        <w:tc>
          <w:tcPr>
            <w:tcW w:type="dxa" w:w="1337"/>
          </w:tcPr>
          <w:p>
            <w:r>
              <w:t>.53 / .50 / .52</w:t>
            </w:r>
          </w:p>
        </w:tc>
        <w:tc>
          <w:tcPr>
            <w:tcW w:type="dxa" w:w="1337"/>
          </w:tcPr>
          <w:p>
            <w:r>
              <w:t>.29 / .16 / .40</w:t>
            </w:r>
          </w:p>
        </w:tc>
        <w:tc>
          <w:tcPr>
            <w:tcW w:type="dxa" w:w="1337"/>
          </w:tcPr>
          <w:p>
            <w:r>
              <w:t>.27 / .17 / .40</w:t>
            </w:r>
          </w:p>
        </w:tc>
        <w:tc>
          <w:tcPr>
            <w:tcW w:type="dxa" w:w="1337"/>
          </w:tcPr>
          <w:p>
            <w:r>
              <w:t>−.11 / +.01 / −.35</w:t>
            </w:r>
          </w:p>
        </w:tc>
      </w:tr>
    </w:tbl>
    <w:p>
      <w:r>
        <w:rPr>
          <w:b w:val="0"/>
          <w:i w:val="0"/>
        </w:rPr>
        <w:t>Three conclusions:</w:t>
      </w:r>
    </w:p>
    <w:p>
      <w:pPr>
        <w:pStyle w:val="ListNumber"/>
      </w:pPr>
      <w:r>
        <w:rPr>
          <w:b/>
          <w:i w:val="0"/>
        </w:rPr>
        <w:t>Direction is at chance in every market and every policy</w:t>
      </w:r>
      <w:r>
        <w:rPr>
          <w:b w:val="0"/>
          <w:i w:val="0"/>
        </w:rPr>
        <w:t xml:space="preserve"> (dir_acc ≈ the</w:t>
        <w:br/>
        <w:t xml:space="preserve">   market's up-day frequency). There is no predictive skill to exploit.</w:t>
      </w:r>
    </w:p>
    <w:p>
      <w:pPr>
        <w:pStyle w:val="ListNumber"/>
      </w:pPr>
      <w:r>
        <w:rPr>
          <w:b/>
          <w:i w:val="0"/>
        </w:rPr>
        <w:t>The loss is a positioning problem, not a prediction or cost problem.</w:t>
      </w:r>
      <w:r>
        <w:rPr>
          <w:b w:val="0"/>
          <w:i w:val="0"/>
        </w:rPr>
        <w:br/>
        <w:t xml:space="preserve">   Turnover and costs are negligible (0.03–0.07); directional accuracy is</w:t>
        <w:br/>
        <w:t xml:space="preserve">   identical to chance. Every learned policy </w:t>
      </w:r>
      <w:r>
        <w:rPr>
          <w:b w:val="0"/>
          <w:i/>
        </w:rPr>
        <w:t>underexposes</w:t>
      </w:r>
      <w:r>
        <w:rPr>
          <w:b w:val="0"/>
          <w:i w:val="0"/>
        </w:rPr>
        <w:t xml:space="preserve"> (0.12–0.77 vs 1.00)</w:t>
        <w:br/>
        <w:t xml:space="preserve">   and varies its position, and with no directional skill time-varying exposure</w:t>
        <w:br/>
        <w:t xml:space="preserve">   adds variance without mean, which lowers Sharpe below buy-and-hold (constant</w:t>
        <w:br/>
        <w:t xml:space="preserve">   exposure is Sharpe-scale-invariant; time-varying exposure is not).</w:t>
      </w:r>
    </w:p>
    <w:p>
      <w:pPr>
        <w:pStyle w:val="ListNumber"/>
      </w:pPr>
      <w:r>
        <w:rPr>
          <w:b/>
          <w:i w:val="0"/>
        </w:rPr>
        <w:t>Regime coloring:</w:t>
      </w:r>
      <w:r>
        <w:rPr>
          <w:b w:val="0"/>
          <w:i w:val="0"/>
        </w:rPr>
        <w:t xml:space="preserve"> the policies' underexposure buys crisis/bear protection</w:t>
        <w:br/>
        <w:t xml:space="preserve">   where buy-and-hold crashes (SPY crisis −1.64 vs learned +3–4) but sacrifices</w:t>
        <w:br/>
        <w:t xml:space="preserve">   bull participation (SPY bull .96 vs learned .35–.84; NIFTY crisis 5.15 vs</w:t>
        <w:br/>
        <w:t xml:space="preserve">   learned ≤3.5). On CSI300 the buy-and-hold itself is negative (−.352), and a</w:t>
        <w:br/>
        <w:t xml:space="preserve">   look-ahead oracle is </w:t>
      </w:r>
      <w:r>
        <w:rPr>
          <w:b w:val="0"/>
          <w:i/>
        </w:rPr>
        <w:t>also</w:t>
      </w:r>
      <w:r>
        <w:rPr>
          <w:b w:val="0"/>
          <w:i w:val="0"/>
        </w:rPr>
        <w:t xml:space="preserve"> negative (−.339) — the evaluation period is</w:t>
        <w:br/>
        <w:t xml:space="preserve">   intrinsically hostile, and the decision learner is not the primary bottleneck</w:t>
        <w:br/>
        <w:t xml:space="preserve">   (learned policies actually beat buy-and-hold there by underexposing).</w:t>
      </w:r>
    </w:p>
    <w:p>
      <w:r>
        <w:rPr>
          <w:b w:val="0"/>
          <w:i w:val="0"/>
        </w:rPr>
        <w:t>The below-buy-and-hold result is therefore a positioning (timing) loss from</w:t>
        <w:br/>
        <w:t>directionless underexposure, not a prediction or transaction-cost failure.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11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ybrid_mechanis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1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44444"/>
          <w:sz w:val="18"/>
        </w:rPr>
        <w:t>Figure 2. Hybrid exposure pathway: a_t = e_t + alpha_t(1 - e_t).</w:t>
      </w:r>
    </w:p>
    <w:p>
      <w:pPr>
        <w:pStyle w:val="Heading2"/>
      </w:pPr>
      <w:r>
        <w:t>4.7 Exposure without direction: can adaptive market participation improve risk-adjusted utility?</w:t>
      </w:r>
    </w:p>
    <w:p>
      <w:r>
        <w:rPr>
          <w:b w:val="0"/>
          <w:i w:val="0"/>
        </w:rPr>
        <w:t>If the binding problem is directionless underexposure, the natural control is</w:t>
        <w:br/>
        <w:t xml:space="preserve">an </w:t>
      </w:r>
      <w:r>
        <w:rPr>
          <w:b/>
          <w:i w:val="0"/>
        </w:rPr>
        <w:t>exposure-only policy</w:t>
      </w:r>
      <w:r>
        <w:rPr>
          <w:b w:val="0"/>
          <w:i w:val="0"/>
        </w:rPr>
        <w:t>: a_t = e_t (long-only), e_t = σ(g(h_t)) ∈ (0,1),</w:t>
        <w:br/>
        <w:t>with the directional component fixed at +1 and no directional prediction made.</w:t>
        <w:br/>
        <w:t>We train two variants by maximizing the differentiable Sharpe of e_t·r_t over</w:t>
        <w:br/>
        <w:t>the training path, with and without an uncertainty constraint</w:t>
        <w:br/>
        <w:t>(ρ·E[e_t·risk_t], risk = P(bear)+P(crisis)); comparators are buy-and-hold and</w:t>
        <w:br/>
        <w:t>a constant exposure at the learned mean.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policy (SPY / CSI300 / NIFTY)</w:t>
            </w:r>
          </w:p>
        </w:tc>
        <w:tc>
          <w:tcPr>
            <w:tcW w:type="dxa" w:w="1872"/>
          </w:tcPr>
          <w:p>
            <w:r>
              <w:t>Sharpe</w:t>
            </w:r>
          </w:p>
        </w:tc>
        <w:tc>
          <w:tcPr>
            <w:tcW w:type="dxa" w:w="1872"/>
          </w:tcPr>
          <w:p>
            <w:r>
              <w:t>return</w:t>
            </w:r>
          </w:p>
        </w:tc>
        <w:tc>
          <w:tcPr>
            <w:tcW w:type="dxa" w:w="1872"/>
          </w:tcPr>
          <w:p>
            <w:r>
              <w:t>maxDD</w:t>
            </w:r>
          </w:p>
        </w:tc>
        <w:tc>
          <w:tcPr>
            <w:tcW w:type="dxa" w:w="1872"/>
          </w:tcPr>
          <w:p>
            <w:r>
              <w:t>exposure</w:t>
            </w:r>
          </w:p>
        </w:tc>
      </w:tr>
      <w:tr>
        <w:tc>
          <w:tcPr>
            <w:tcW w:type="dxa" w:w="1872"/>
          </w:tcPr>
          <w:p>
            <w:r>
              <w:t>buy-and-hold</w:t>
            </w:r>
          </w:p>
        </w:tc>
        <w:tc>
          <w:tcPr>
            <w:tcW w:type="dxa" w:w="1872"/>
          </w:tcPr>
          <w:p>
            <w:r>
              <w:t>.784 / −.352 / 1.006</w:t>
            </w:r>
          </w:p>
        </w:tc>
        <w:tc>
          <w:tcPr>
            <w:tcW w:type="dxa" w:w="1872"/>
          </w:tcPr>
          <w:p>
            <w:r>
              <w:t>.586 / −.275 / .694</w:t>
            </w:r>
          </w:p>
        </w:tc>
        <w:tc>
          <w:tcPr>
            <w:tcW w:type="dxa" w:w="1872"/>
          </w:tcPr>
          <w:p>
            <w:r>
              <w:t>−.253 / −.456 / −.172</w:t>
            </w:r>
          </w:p>
        </w:tc>
        <w:tc>
          <w:tcPr>
            <w:tcW w:type="dxa" w:w="1872"/>
          </w:tcPr>
          <w:p>
            <w:r>
              <w:t>1.00</w:t>
            </w:r>
          </w:p>
        </w:tc>
      </w:tr>
      <w:tr>
        <w:tc>
          <w:tcPr>
            <w:tcW w:type="dxa" w:w="1872"/>
          </w:tcPr>
          <w:p>
            <w:r>
              <w:t>constant at learned mean</w:t>
            </w:r>
          </w:p>
        </w:tc>
        <w:tc>
          <w:tcPr>
            <w:tcW w:type="dxa" w:w="1872"/>
          </w:tcPr>
          <w:p>
            <w:r>
              <w:t>.784 / −.352 / 1.006</w:t>
            </w:r>
          </w:p>
        </w:tc>
        <w:tc>
          <w:tcPr>
            <w:tcW w:type="dxa" w:w="1872"/>
          </w:tcPr>
          <w:p>
            <w:r>
              <w:t>.262 / −.133 / .281</w:t>
            </w:r>
          </w:p>
        </w:tc>
        <w:tc>
          <w:tcPr>
            <w:tcW w:type="dxa" w:w="1872"/>
          </w:tcPr>
          <w:p>
            <w:r>
              <w:t>−.125 / −.252 / −.079</w:t>
            </w:r>
          </w:p>
        </w:tc>
        <w:tc>
          <w:tcPr>
            <w:tcW w:type="dxa" w:w="1872"/>
          </w:tcPr>
          <w:p>
            <w:r>
              <w:t>.48</w:t>
            </w:r>
          </w:p>
        </w:tc>
      </w:tr>
      <w:tr>
        <w:tc>
          <w:tcPr>
            <w:tcW w:type="dxa" w:w="1872"/>
          </w:tcPr>
          <w:p>
            <w:r>
              <w:t>exposure, max Sharpe</w:t>
            </w:r>
          </w:p>
        </w:tc>
        <w:tc>
          <w:tcPr>
            <w:tcW w:type="dxa" w:w="1872"/>
          </w:tcPr>
          <w:p>
            <w:r>
              <w:t>.909 / −.355 / 1.033</w:t>
            </w:r>
          </w:p>
        </w:tc>
        <w:tc>
          <w:tcPr>
            <w:tcW w:type="dxa" w:w="1872"/>
          </w:tcPr>
          <w:p>
            <w:r>
              <w:t>.309 / −.135 / .271</w:t>
            </w:r>
          </w:p>
        </w:tc>
        <w:tc>
          <w:tcPr>
            <w:tcW w:type="dxa" w:w="1872"/>
          </w:tcPr>
          <w:p>
            <w:r>
              <w:t>−.114 / −.253 / −.081</w:t>
            </w:r>
          </w:p>
        </w:tc>
        <w:tc>
          <w:tcPr>
            <w:tcW w:type="dxa" w:w="1872"/>
          </w:tcPr>
          <w:p>
            <w:r>
              <w:t>.48</w:t>
            </w:r>
          </w:p>
        </w:tc>
      </w:tr>
      <w:tr>
        <w:tc>
          <w:tcPr>
            <w:tcW w:type="dxa" w:w="1872"/>
          </w:tcPr>
          <w:p>
            <w:r>
              <w:t>exposure, regime-constrained</w:t>
            </w:r>
          </w:p>
        </w:tc>
        <w:tc>
          <w:tcPr>
            <w:tcW w:type="dxa" w:w="1872"/>
          </w:tcPr>
          <w:p>
            <w:r>
              <w:t>.819 / −.357 / .971</w:t>
            </w:r>
          </w:p>
        </w:tc>
        <w:tc>
          <w:tcPr>
            <w:tcW w:type="dxa" w:w="1872"/>
          </w:tcPr>
          <w:p>
            <w:r>
              <w:t>.236 / −.134 / .133</w:t>
            </w:r>
          </w:p>
        </w:tc>
        <w:tc>
          <w:tcPr>
            <w:tcW w:type="dxa" w:w="1872"/>
          </w:tcPr>
          <w:p>
            <w:r>
              <w:t>−.109 / −.251 / −.046</w:t>
            </w:r>
          </w:p>
        </w:tc>
        <w:tc>
          <w:tcPr>
            <w:tcW w:type="dxa" w:w="1872"/>
          </w:tcPr>
          <w:p>
            <w:r>
              <w:t>.43</w:t>
            </w:r>
          </w:p>
        </w:tc>
      </w:tr>
    </w:tbl>
    <w:p>
      <w:r>
        <w:rPr>
          <w:b w:val="0"/>
          <w:i w:val="0"/>
        </w:rPr>
        <w:t>Three findings:</w:t>
      </w:r>
    </w:p>
    <w:p>
      <w:pPr>
        <w:pStyle w:val="ListNumber"/>
      </w:pPr>
      <w:r>
        <w:rPr>
          <w:b/>
          <w:i w:val="0"/>
        </w:rPr>
        <w:t>Holding at the learned mean exposure reproduces buy-and-hold Sharpe</w:t>
        <w:br/>
        <w:t xml:space="preserve">   exactly</w:t>
      </w:r>
      <w:r>
        <w:rPr>
          <w:b w:val="0"/>
          <w:i w:val="0"/>
        </w:rPr>
        <w:t xml:space="preserve"> (Sharpe is scale-invariant under constant exposure). Any Sharpe</w:t>
        <w:br/>
        <w:t xml:space="preserve">   gain must therefore come from </w:t>
      </w:r>
      <w:r>
        <w:rPr>
          <w:b w:val="0"/>
          <w:i/>
        </w:rPr>
        <w:t>timing</w:t>
      </w:r>
      <w:r>
        <w:rPr>
          <w:b w:val="0"/>
          <w:i w:val="0"/>
        </w:rPr>
        <w:t>, not from being underexposed.</w:t>
      </w:r>
    </w:p>
    <w:p>
      <w:pPr>
        <w:pStyle w:val="ListNumber"/>
      </w:pPr>
      <w:r>
        <w:rPr>
          <w:b/>
          <w:i w:val="0"/>
        </w:rPr>
        <w:t>Under the tested protocol, adaptive exposure improves risk-adjusted</w:t>
        <w:br/>
        <w:t xml:space="preserve">   utility without measurable directional skill.</w:t>
      </w:r>
      <w:r>
        <w:rPr>
          <w:b w:val="0"/>
          <w:i w:val="0"/>
        </w:rPr>
        <w:t xml:space="preserve"> The policy has no</w:t>
        <w:br/>
        <w:t xml:space="preserve">   directional head, and the exposure is uncorrelated with next-day returns</w:t>
        <w:br/>
        <w:t xml:space="preserve">   (corr(e_t, r_{t+1}) ≈ 0 on both SPY and NIFTY). It beats buy-and-hold on</w:t>
        <w:br/>
        <w:t xml:space="preserve">   Sharpe on both positive-drift markets (SPY .909 vs .784; NIFTY 1.033 vs</w:t>
        <w:br/>
        <w:t xml:space="preserve">   1.006) while roughly halving max drawdown.</w:t>
      </w:r>
    </w:p>
    <w:p>
      <w:pPr>
        <w:pStyle w:val="ListNumber"/>
      </w:pPr>
      <w:r>
        <w:rPr>
          <w:b/>
          <w:i w:val="0"/>
        </w:rPr>
        <w:t>The regime-constrained variant is a risk-control knob</w:t>
      </w:r>
      <w:r>
        <w:rPr>
          <w:b w:val="0"/>
          <w:i w:val="0"/>
        </w:rPr>
        <w:t>: it reduces</w:t>
        <w:br/>
        <w:t xml:space="preserve">   downside exposure at the expense of some risk-adjusted efficiency (SPY .819</w:t>
        <w:br/>
        <w:t xml:space="preserve">   vs .909, maxDD −.109 vs −.114; NIFTY .971 vs 1.033, maxDD −.046 vs −.081) —</w:t>
        <w:br/>
        <w:t xml:space="preserve">   it is not presented as superior, but as the explicit trade-off lever.</w:t>
      </w:r>
    </w:p>
    <w:p>
      <w:r>
        <w:rPr>
          <w:b/>
          <w:i w:val="0"/>
        </w:rPr>
        <w:t>Finding.</w:t>
      </w:r>
      <w:r>
        <w:rPr>
          <w:b w:val="0"/>
          <w:i w:val="0"/>
        </w:rPr>
        <w:t xml:space="preserve"> An uncertainty- and risk-state-aware exposure policy can improve</w:t>
        <w:br/>
        <w:t>the risk/return trade-off without requiring directional skill, beating</w:t>
        <w:br/>
        <w:t>buy-and-hold on Sharpe while reducing drawdown on positive-drift markets. This is the</w:t>
        <w:br/>
        <w:t>constructive complement to the §4.6 diagnosis: the tested exploitable margin is</w:t>
        <w:br/>
        <w:t>in exposure/risk control rather than direction prediction.</w:t>
      </w:r>
    </w:p>
    <w:p>
      <w:r>
        <w:rPr>
          <w:b/>
          <w:i w:val="0"/>
        </w:rPr>
        <w:t>Boundary condition (CSI300).</w:t>
      </w:r>
      <w:r>
        <w:rPr>
          <w:b w:val="0"/>
          <w:i w:val="0"/>
        </w:rPr>
        <w:t xml:space="preserve"> The exposure policy reproduces buy-and-hold</w:t>
        <w:br/>
        <w:t>there (−.355 ≈ −.352): exposure timing can improve the risk/return trade-off</w:t>
        <w:br/>
        <w:t>when exploitable positive-drift/risk-timing structure exists, but it cannot</w:t>
        <w:br/>
        <w:t>overcome an intrinsically unfavorable evaluation period.</w:t>
      </w:r>
    </w:p>
    <w:p>
      <w:pPr>
        <w:pStyle w:val="Heading2"/>
      </w:pPr>
      <w:r>
        <w:t>4.8 What information drives exposure timing? An attribution</w:t>
      </w:r>
    </w:p>
    <w:p>
      <w:r>
        <w:rPr>
          <w:b w:val="0"/>
          <w:i w:val="0"/>
        </w:rPr>
        <w:t>We ask which information inside h_t the exposure decision responds to,</w:t>
        <w:br/>
        <w:t>separating risk-management skill from directional skill (SPY, NIFTY; mean</w:t>
        <w:br/>
        <w:t>exposure policy over 3 seeds):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driver</w:t>
            </w:r>
          </w:p>
        </w:tc>
        <w:tc>
          <w:tcPr>
            <w:tcW w:type="dxa" w:w="1872"/>
          </w:tcPr>
          <w:p>
            <w:r>
              <w:t>SPY corr(e,·)</w:t>
            </w:r>
          </w:p>
        </w:tc>
        <w:tc>
          <w:tcPr>
            <w:tcW w:type="dxa" w:w="1872"/>
          </w:tcPr>
          <w:p>
            <w:r>
              <w:t>SPY OLS β</w:t>
            </w:r>
          </w:p>
        </w:tc>
        <w:tc>
          <w:tcPr>
            <w:tcW w:type="dxa" w:w="1872"/>
          </w:tcPr>
          <w:p>
            <w:r>
              <w:t>NIFTY corr(e,·)</w:t>
            </w:r>
          </w:p>
        </w:tc>
        <w:tc>
          <w:tcPr>
            <w:tcW w:type="dxa" w:w="1872"/>
          </w:tcPr>
          <w:p>
            <w:r>
              <w:t>NIFTY OLS β</w:t>
            </w:r>
          </w:p>
        </w:tc>
      </w:tr>
      <w:tr>
        <w:tc>
          <w:tcPr>
            <w:tcW w:type="dxa" w:w="1872"/>
          </w:tcPr>
          <w:p>
            <w:r>
              <w:t>next-day return</w:t>
            </w:r>
          </w:p>
        </w:tc>
        <w:tc>
          <w:tcPr>
            <w:tcW w:type="dxa" w:w="1872"/>
          </w:tcPr>
          <w:p>
            <w:r>
              <w:t>+.05</w:t>
            </w:r>
          </w:p>
        </w:tc>
        <w:tc>
          <w:tcPr>
            <w:tcW w:type="dxa" w:w="1872"/>
          </w:tcPr>
          <w:p>
            <w:r>
              <w:t>–</w:t>
            </w:r>
          </w:p>
        </w:tc>
        <w:tc>
          <w:tcPr>
            <w:tcW w:type="dxa" w:w="1872"/>
          </w:tcPr>
          <w:p>
            <w:r>
              <w:t>−.01</w:t>
            </w:r>
          </w:p>
        </w:tc>
        <w:tc>
          <w:tcPr>
            <w:tcW w:type="dxa" w:w="1872"/>
          </w:tcPr>
          <w:p>
            <w:r>
              <w:t>–</w:t>
            </w:r>
          </w:p>
        </w:tc>
      </w:tr>
      <w:tr>
        <w:tc>
          <w:tcPr>
            <w:tcW w:type="dxa" w:w="1872"/>
          </w:tcPr>
          <w:p>
            <w:r>
              <w:t>realized vol (z)</w:t>
            </w:r>
          </w:p>
        </w:tc>
        <w:tc>
          <w:tcPr>
            <w:tcW w:type="dxa" w:w="1872"/>
          </w:tcPr>
          <w:p>
            <w:r>
              <w:t>−.29</w:t>
            </w:r>
          </w:p>
        </w:tc>
        <w:tc>
          <w:tcPr>
            <w:tcW w:type="dxa" w:w="1872"/>
          </w:tcPr>
          <w:p>
            <w:r>
              <w:t>−.040</w:t>
            </w:r>
          </w:p>
        </w:tc>
        <w:tc>
          <w:tcPr>
            <w:tcW w:type="dxa" w:w="1872"/>
          </w:tcPr>
          <w:p>
            <w:r>
              <w:t>−.34</w:t>
            </w:r>
          </w:p>
        </w:tc>
        <w:tc>
          <w:tcPr>
            <w:tcW w:type="dxa" w:w="1872"/>
          </w:tcPr>
          <w:p>
            <w:r>
              <w:t>−.014</w:t>
            </w:r>
          </w:p>
        </w:tc>
      </w:tr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>
              <w:t>next-day return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>
              <w:t>−.10</w:t>
            </w:r>
          </w:p>
        </w:tc>
        <w:tc>
          <w:tcPr>
            <w:tcW w:type="dxa" w:w="1872"/>
          </w:tcPr>
          <w:p>
            <w:r>
              <w:t>–</w:t>
            </w:r>
          </w:p>
        </w:tc>
      </w:tr>
      <w:tr>
        <w:tc>
          <w:tcPr>
            <w:tcW w:type="dxa" w:w="1872"/>
          </w:tcPr>
          <w:p>
            <w:r>
              <w:t>forward 5d vol</w:t>
            </w:r>
          </w:p>
        </w:tc>
        <w:tc>
          <w:tcPr>
            <w:tcW w:type="dxa" w:w="1872"/>
          </w:tcPr>
          <w:p>
            <w:r>
              <w:t>−.03</w:t>
            </w:r>
          </w:p>
        </w:tc>
        <w:tc>
          <w:tcPr>
            <w:tcW w:type="dxa" w:w="1872"/>
          </w:tcPr>
          <w:p>
            <w:r>
              <w:t>–</w:t>
            </w:r>
          </w:p>
        </w:tc>
        <w:tc>
          <w:tcPr>
            <w:tcW w:type="dxa" w:w="1872"/>
          </w:tcPr>
          <w:p>
            <w:r>
              <w:t>−.21</w:t>
            </w:r>
          </w:p>
        </w:tc>
        <w:tc>
          <w:tcPr>
            <w:tcW w:type="dxa" w:w="1872"/>
          </w:tcPr>
          <w:p>
            <w:r>
              <w:t>–</w:t>
            </w:r>
          </w:p>
        </w:tc>
      </w:tr>
      <w:tr>
        <w:tc>
          <w:tcPr>
            <w:tcW w:type="dxa" w:w="1872"/>
          </w:tcPr>
          <w:p>
            <w:r>
              <w:t>OOD distance (Mahalanobis)</w:t>
            </w:r>
          </w:p>
        </w:tc>
        <w:tc>
          <w:tcPr>
            <w:tcW w:type="dxa" w:w="1872"/>
          </w:tcPr>
          <w:p>
            <w:r>
              <w:t>−.25</w:t>
            </w:r>
          </w:p>
        </w:tc>
        <w:tc>
          <w:tcPr>
            <w:tcW w:type="dxa" w:w="1872"/>
          </w:tcPr>
          <w:p>
            <w:r>
              <w:t>−.022</w:t>
            </w:r>
          </w:p>
        </w:tc>
        <w:tc>
          <w:tcPr>
            <w:tcW w:type="dxa" w:w="1872"/>
          </w:tcPr>
          <w:p>
            <w:r>
              <w:t>−.33</w:t>
            </w:r>
          </w:p>
        </w:tc>
        <w:tc>
          <w:tcPr>
            <w:tcW w:type="dxa" w:w="1872"/>
          </w:tcPr>
          <w:p>
            <w:r>
              <w:t>−.005</w:t>
            </w:r>
          </w:p>
        </w:tc>
      </w:tr>
      <w:tr>
        <w:tc>
          <w:tcPr>
            <w:tcW w:type="dxa" w:w="1872"/>
          </w:tcPr>
          <w:p>
            <w:r>
              <w:t>drawdown state</w:t>
            </w:r>
          </w:p>
        </w:tc>
        <w:tc>
          <w:tcPr>
            <w:tcW w:type="dxa" w:w="1872"/>
          </w:tcPr>
          <w:p>
            <w:r>
              <w:t>+.03</w:t>
            </w:r>
          </w:p>
        </w:tc>
        <w:tc>
          <w:tcPr>
            <w:tcW w:type="dxa" w:w="1872"/>
          </w:tcPr>
          <w:p>
            <w:r>
              <w:t>−.038</w:t>
            </w:r>
          </w:p>
        </w:tc>
        <w:tc>
          <w:tcPr>
            <w:tcW w:type="dxa" w:w="1872"/>
          </w:tcPr>
          <w:p>
            <w:r>
              <w:t>+.66</w:t>
            </w:r>
          </w:p>
        </w:tc>
        <w:tc>
          <w:tcPr>
            <w:tcW w:type="dxa" w:w="1872"/>
          </w:tcPr>
          <w:p>
            <w:r>
              <w:t>+.099</w:t>
            </w:r>
          </w:p>
        </w:tc>
      </w:tr>
      <w:tr>
        <w:tc>
          <w:tcPr>
            <w:tcW w:type="dxa" w:w="1872"/>
          </w:tcPr>
          <w:p>
            <w:r>
              <w:t>regime P(bull)</w:t>
            </w:r>
          </w:p>
        </w:tc>
        <w:tc>
          <w:tcPr>
            <w:tcW w:type="dxa" w:w="1872"/>
          </w:tcPr>
          <w:p>
            <w:r>
              <w:t>+.05</w:t>
            </w:r>
          </w:p>
        </w:tc>
        <w:tc>
          <w:tcPr>
            <w:tcW w:type="dxa" w:w="1872"/>
          </w:tcPr>
          <w:p>
            <w:r>
              <w:t>−.005</w:t>
            </w:r>
          </w:p>
        </w:tc>
        <w:tc>
          <w:tcPr>
            <w:tcW w:type="dxa" w:w="1872"/>
          </w:tcPr>
          <w:p>
            <w:r>
              <w:t>+.01</w:t>
            </w:r>
          </w:p>
        </w:tc>
        <w:tc>
          <w:tcPr>
            <w:tcW w:type="dxa" w:w="1872"/>
          </w:tcPr>
          <w:p>
            <w:r>
              <w:t>−.028</w:t>
            </w:r>
          </w:p>
        </w:tc>
      </w:tr>
    </w:tbl>
    <w:p>
      <w:r>
        <w:rPr>
          <w:b w:val="0"/>
          <w:i w:val="0"/>
        </w:rPr>
        <w:t>Two clear patterns:</w:t>
      </w:r>
    </w:p>
    <w:p>
      <w:pPr>
        <w:pStyle w:val="ListNumber"/>
      </w:pPr>
      <w:r>
        <w:rPr>
          <w:b/>
          <w:i w:val="0"/>
        </w:rPr>
        <w:t>No directional component.</w:t>
      </w:r>
      <w:r>
        <w:rPr>
          <w:b w:val="0"/>
          <w:i w:val="0"/>
        </w:rPr>
        <w:t xml:space="preserve"> The exposure is uncorrelated with next-day</w:t>
        <w:br/>
        <w:t xml:space="preserve">   returns (SPY +.05, NIFTY −.01), confirming the policy does not use</w:t>
        <w:br/>
        <w:t xml:space="preserve">   directional information.</w:t>
      </w:r>
    </w:p>
    <w:p>
      <w:pPr>
        <w:pStyle w:val="ListNumber"/>
      </w:pPr>
      <w:r>
        <w:rPr>
          <w:b/>
          <w:i w:val="0"/>
        </w:rPr>
        <w:t>Risk timing, not regime labels.</w:t>
      </w:r>
      <w:r>
        <w:rPr>
          <w:b w:val="0"/>
          <w:i w:val="0"/>
        </w:rPr>
        <w:t xml:space="preserve"> Exposure is reduced ahead of</w:t>
        <w:br/>
        <w:t xml:space="preserve">   high-volatility/risky periods — negative loadings on realized vol,</w:t>
        <w:br/>
        <w:t xml:space="preserve">   |next-day return|, forward 5-day volatility, and OOD distance in both</w:t>
        <w:br/>
        <w:t xml:space="preserve">   markets — while the regime-probability inputs contribute little. Drawdown</w:t>
        <w:br/>
        <w:t xml:space="preserve">   state is used market-specifically (NIFTY increases exposure into drawdowns</w:t>
        <w:br/>
        <w:t xml:space="preserve">   that recover; SPY slightly reduces it).</w:t>
      </w:r>
    </w:p>
    <w:p>
      <w:r>
        <w:rPr>
          <w:b/>
          <w:i w:val="0"/>
        </w:rPr>
        <w:t>Finding (identified pathway).</w:t>
      </w:r>
      <w:r>
        <w:rPr>
          <w:b w:val="0"/>
          <w:i w:val="0"/>
        </w:rPr>
        <w:t xml:space="preserve"> The exposure improvement comes from a</w:t>
        <w:br/>
        <w:t>specific decision-relevant representation pathway — latent risk/volatility</w:t>
        <w:br/>
        <w:t>(and drawdown-state) information is useful for exposure control even when</w:t>
        <w:br/>
        <w:t>directional information is unavailable. This is the difference between</w:t>
        <w:br/>
        <w:t>predictive skill and risk-management skill made operational.</w:t>
      </w:r>
    </w:p>
    <w:p>
      <w:pPr>
        <w:pStyle w:val="Heading2"/>
      </w:pPr>
      <w:r>
        <w:t>4.9 Hybrid exposure: retaining buy-and-hold's upside while keeping risk timing</w:t>
      </w:r>
    </w:p>
    <w:p>
      <w:r>
        <w:rPr>
          <w:b w:val="0"/>
          <w:i w:val="0"/>
        </w:rPr>
        <w:t>Since the exposure-only policy beats buy-and-hold on Sharpe but sacrifices</w:t>
        <w:br/>
        <w:t>much of its participation (return .31 vs .59 on SPY), we test a continuous</w:t>
        <w:br/>
        <w:t>blend a_t = e_t + α_t·(1 − e_t) with α_t ∈ [0,1] (α=0 → adaptive exposure,</w:t>
        <w:br/>
        <w:t>α=1 → buy-and-hold), where α_t = σ(W·[risk, ood, vol]) is a three-parameter</w:t>
        <w:br/>
        <w:t>head on explicit at-t features only (regime risk, Mahalanobis OOD distance,</w:t>
        <w:br/>
        <w:t>realized volatility) — no future information, no threshold, no direction.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policy (SPY / CSI300 / NIFTY)</w:t>
            </w:r>
          </w:p>
        </w:tc>
        <w:tc>
          <w:tcPr>
            <w:tcW w:type="dxa" w:w="1872"/>
          </w:tcPr>
          <w:p>
            <w:r>
              <w:t>Sharpe</w:t>
            </w:r>
          </w:p>
        </w:tc>
        <w:tc>
          <w:tcPr>
            <w:tcW w:type="dxa" w:w="1872"/>
          </w:tcPr>
          <w:p>
            <w:r>
              <w:t>return</w:t>
            </w:r>
          </w:p>
        </w:tc>
        <w:tc>
          <w:tcPr>
            <w:tcW w:type="dxa" w:w="1872"/>
          </w:tcPr>
          <w:p>
            <w:r>
              <w:t>maxDD</w:t>
            </w:r>
          </w:p>
        </w:tc>
        <w:tc>
          <w:tcPr>
            <w:tcW w:type="dxa" w:w="1872"/>
          </w:tcPr>
          <w:p>
            <w:r>
              <w:t>exposure</w:t>
            </w:r>
          </w:p>
        </w:tc>
      </w:tr>
      <w:tr>
        <w:tc>
          <w:tcPr>
            <w:tcW w:type="dxa" w:w="1872"/>
          </w:tcPr>
          <w:p>
            <w:r>
              <w:t>buy-and-hold</w:t>
            </w:r>
          </w:p>
        </w:tc>
        <w:tc>
          <w:tcPr>
            <w:tcW w:type="dxa" w:w="1872"/>
          </w:tcPr>
          <w:p>
            <w:r>
              <w:t>.784 / −.352 / 1.006</w:t>
            </w:r>
          </w:p>
        </w:tc>
        <w:tc>
          <w:tcPr>
            <w:tcW w:type="dxa" w:w="1872"/>
          </w:tcPr>
          <w:p>
            <w:r>
              <w:t>.586 / −.275 / .694</w:t>
            </w:r>
          </w:p>
        </w:tc>
        <w:tc>
          <w:tcPr>
            <w:tcW w:type="dxa" w:w="1872"/>
          </w:tcPr>
          <w:p>
            <w:r>
              <w:t>−.253 / −.456 / −.172</w:t>
            </w:r>
          </w:p>
        </w:tc>
        <w:tc>
          <w:tcPr>
            <w:tcW w:type="dxa" w:w="1872"/>
          </w:tcPr>
          <w:p>
            <w:r>
              <w:t>1.00</w:t>
            </w:r>
          </w:p>
        </w:tc>
      </w:tr>
      <w:tr>
        <w:tc>
          <w:tcPr>
            <w:tcW w:type="dxa" w:w="1872"/>
          </w:tcPr>
          <w:p>
            <w:r>
              <w:t>adaptive exposure</w:t>
            </w:r>
          </w:p>
        </w:tc>
        <w:tc>
          <w:tcPr>
            <w:tcW w:type="dxa" w:w="1872"/>
          </w:tcPr>
          <w:p>
            <w:r>
              <w:t>.909 / −.355 / 1.033</w:t>
            </w:r>
          </w:p>
        </w:tc>
        <w:tc>
          <w:tcPr>
            <w:tcW w:type="dxa" w:w="1872"/>
          </w:tcPr>
          <w:p>
            <w:r>
              <w:t>.309 / −.135 / .271</w:t>
            </w:r>
          </w:p>
        </w:tc>
        <w:tc>
          <w:tcPr>
            <w:tcW w:type="dxa" w:w="1872"/>
          </w:tcPr>
          <w:p>
            <w:r>
              <w:t>−.114 / −.253 / −.081</w:t>
            </w:r>
          </w:p>
        </w:tc>
        <w:tc>
          <w:tcPr>
            <w:tcW w:type="dxa" w:w="1872"/>
          </w:tcPr>
          <w:p>
            <w:r>
              <w:t>.48</w:t>
            </w:r>
          </w:p>
        </w:tc>
      </w:tr>
      <w:tr>
        <w:tc>
          <w:tcPr>
            <w:tcW w:type="dxa" w:w="1872"/>
          </w:tcPr>
          <w:p>
            <w:r>
              <w:t>constant 50/50 blend</w:t>
            </w:r>
          </w:p>
        </w:tc>
        <w:tc>
          <w:tcPr>
            <w:tcW w:type="dxa" w:w="1872"/>
          </w:tcPr>
          <w:p>
            <w:r>
              <w:t>.827 / −.353 / 1.024</w:t>
            </w:r>
          </w:p>
        </w:tc>
        <w:tc>
          <w:tcPr>
            <w:tcW w:type="dxa" w:w="1872"/>
          </w:tcPr>
          <w:p>
            <w:r>
              <w:t>.447 / −.204 / .473</w:t>
            </w:r>
          </w:p>
        </w:tc>
        <w:tc>
          <w:tcPr>
            <w:tcW w:type="dxa" w:w="1872"/>
          </w:tcPr>
          <w:p>
            <w:r>
              <w:t>−.184 / −.360 / −.127</w:t>
            </w:r>
          </w:p>
        </w:tc>
        <w:tc>
          <w:tcPr>
            <w:tcW w:type="dxa" w:w="1872"/>
          </w:tcPr>
          <w:p>
            <w:r>
              <w:t>.74</w:t>
            </w:r>
          </w:p>
        </w:tc>
      </w:tr>
      <w:tr>
        <w:tc>
          <w:tcPr>
            <w:tcW w:type="dxa" w:w="1872"/>
          </w:tcPr>
          <w:p>
            <w:r>
              <w:t>floor max(e, .5)</w:t>
            </w:r>
          </w:p>
        </w:tc>
        <w:tc>
          <w:tcPr>
            <w:tcW w:type="dxa" w:w="1872"/>
          </w:tcPr>
          <w:p>
            <w:r>
              <w:t>.812 / −.350 / 1.053</w:t>
            </w:r>
          </w:p>
        </w:tc>
        <w:tc>
          <w:tcPr>
            <w:tcW w:type="dxa" w:w="1872"/>
          </w:tcPr>
          <w:p>
            <w:r>
              <w:t>.300 / −.135 / .350</w:t>
            </w:r>
          </w:p>
        </w:tc>
        <w:tc>
          <w:tcPr>
            <w:tcW w:type="dxa" w:w="1872"/>
          </w:tcPr>
          <w:p>
            <w:r>
              <w:t>−.134 / −.254 / −.087</w:t>
            </w:r>
          </w:p>
        </w:tc>
        <w:tc>
          <w:tcPr>
            <w:tcW w:type="dxa" w:w="1872"/>
          </w:tcPr>
          <w:p>
            <w:r>
              <w:t>.51</w:t>
            </w:r>
          </w:p>
        </w:tc>
      </w:tr>
      <w:tr>
        <w:tc>
          <w:tcPr>
            <w:tcW w:type="dxa" w:w="1872"/>
          </w:tcPr>
          <w:p>
            <w:r>
              <w:t>risk-aware blend (proposed)</w:t>
            </w:r>
          </w:p>
        </w:tc>
        <w:tc>
          <w:tcPr>
            <w:tcW w:type="dxa" w:w="1872"/>
          </w:tcPr>
          <w:p>
            <w:r>
              <w:t>.890 / −.281 / 1.203</w:t>
            </w:r>
          </w:p>
        </w:tc>
        <w:tc>
          <w:tcPr>
            <w:tcW w:type="dxa" w:w="1872"/>
          </w:tcPr>
          <w:p>
            <w:r>
              <w:t>.439 / −.199 / .661</w:t>
            </w:r>
          </w:p>
        </w:tc>
        <w:tc>
          <w:tcPr>
            <w:tcW w:type="dxa" w:w="1872"/>
          </w:tcPr>
          <w:p>
            <w:r>
              <w:t>−.166 / −.383 / −.105</w:t>
            </w:r>
          </w:p>
        </w:tc>
        <w:tc>
          <w:tcPr>
            <w:tcW w:type="dxa" w:w="1872"/>
          </w:tcPr>
          <w:p>
            <w:r>
              <w:t>.71</w:t>
            </w:r>
          </w:p>
        </w:tc>
      </w:tr>
    </w:tbl>
    <w:p>
      <w:r>
        <w:rPr>
          <w:b w:val="0"/>
          <w:i w:val="0"/>
        </w:rPr>
        <w:t>The proposed blend retains most of buy-and-hold's upside while keeping the</w:t>
        <w:br/>
        <w:t>risk-timing benefit: on NIFTY it reaches Sharpe 1.203 with return .661 (vs .694</w:t>
        <w:br/>
        <w:t>for buy-and-hold) and better drawdown; on SPY Sharpe .890 with return .439</w:t>
        <w:br/>
        <w:t>(vs .586) and better drawdown; on CSI300 it is the best policy (−.281 vs −.352)</w:t>
        <w:br/>
        <w:t>by recovering exposure. The mechanism is readable from the three-parameter head:</w:t>
        <w:br/>
        <w:t>on SPY α correlates −.93 with volatility — the blend approaches buy-and-hold</w:t>
        <w:br/>
        <w:t>when risk is low and reverts toward adaptive exposure when risk is high (α by</w:t>
        <w:br/>
        <w:t>regime: bull .53 &gt; bear .23 &gt; crisis .13); on NIFTY α rises in the crisis</w:t>
        <w:br/>
        <w:t xml:space="preserve">rally (.73). A </w:t>
      </w:r>
      <w:r>
        <w:rPr>
          <w:b w:val="0"/>
          <w:i/>
        </w:rPr>
        <w:t>constant</w:t>
      </w:r>
      <w:r>
        <w:rPr>
          <w:b w:val="0"/>
          <w:i w:val="0"/>
        </w:rPr>
        <w:t xml:space="preserve"> 50/50 blend does not reproduce this (SPY .827, below</w:t>
        <w:br/>
        <w:t>both adaptive and the risk-aware blend), confirming that the at-t risk/OOD/vol</w:t>
        <w:br/>
        <w:t>control — not blending per se — is the differentiator.</w:t>
      </w:r>
    </w:p>
    <w:p>
      <w:r>
        <w:rPr>
          <w:b/>
          <w:i w:val="0"/>
        </w:rPr>
        <w:t>Finding.</w:t>
      </w:r>
      <w:r>
        <w:rPr>
          <w:b w:val="0"/>
          <w:i w:val="0"/>
        </w:rPr>
        <w:t xml:space="preserve"> The risk-aware hybrid improves the risk-adjusted outcome relative</w:t>
        <w:br/>
        <w:t>to buy-and-hold across all three tested markets, with the largest improvement</w:t>
        <w:br/>
        <w:t>in NIFTY; in SPY it retains a Sharpe advantage while sacrificing some return,</w:t>
        <w:br/>
        <w:t>and in CSI300 it reduces losses during an intrinsically unfavorable evaluation</w:t>
        <w:br/>
        <w:t>period. The data, not a prior, decides the upper anchor: in calm positive-drift</w:t>
        <w:br/>
        <w:t>periods the blend leans toward buy-and-hold, and in high-risk states toward</w:t>
        <w:br/>
        <w:t>adaptive exposure.</w:t>
      </w:r>
    </w:p>
    <w:p>
      <w:pPr>
        <w:pStyle w:val="Heading2"/>
      </w:pPr>
      <w:r>
        <w:t>4.10 Validation of the hybrid result</w:t>
      </w:r>
    </w:p>
    <w:p>
      <w:r>
        <w:rPr>
          <w:b w:val="0"/>
          <w:i w:val="0"/>
        </w:rPr>
        <w:t>The §4.9 numbers are a 3–5-seed development analysis; we therefore treat the</w:t>
        <w:br/>
        <w:t xml:space="preserve">following 10-seed experiment as the </w:t>
      </w:r>
      <w:r>
        <w:rPr>
          <w:b/>
          <w:i w:val="0"/>
        </w:rPr>
        <w:t>primary validation</w:t>
      </w:r>
      <w:r>
        <w:rPr>
          <w:b w:val="0"/>
          <w:i w:val="0"/>
        </w:rPr>
        <w:t xml:space="preserve"> of the hybrid rather</w:t>
        <w:br/>
        <w:t>than relying on the earlier point estimate (the exploratory headline NIFTY</w:t>
        <w:br/>
        <w:t>value of 1.203 is superseded by the validated 1.074). Validation covers 10</w:t>
        <w:br/>
        <w:t xml:space="preserve">seeds, </w:t>
      </w:r>
      <w:r>
        <w:rPr>
          <w:b/>
          <w:i w:val="0"/>
        </w:rPr>
        <w:t>two distinct sources of uncertainty</w:t>
      </w:r>
      <w:r>
        <w:rPr>
          <w:b w:val="0"/>
          <w:i w:val="0"/>
        </w:rPr>
        <w:t xml:space="preserve"> (stochastic training and the</w:t>
        <w:br/>
        <w:t>finite test path), transaction-cost robustness, out-of-sample sub-periods, an</w:t>
        <w:br/>
        <w:t>input ablation, an OOD-vs-volatility diagnostic, and a temporal permutation</w:t>
        <w:br/>
        <w:t>control.</w:t>
      </w:r>
    </w:p>
    <w:p>
      <w:r>
        <w:rPr>
          <w:b/>
          <w:i w:val="0"/>
        </w:rPr>
        <w:t>10-seed Sharpe (mean) and finite-path paired hybrid − buy-and-hold</w:t>
        <w:br/>
        <w:t>difference (5,000 date-block resamples over identical test dates):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market</w:t>
            </w:r>
          </w:p>
        </w:tc>
        <w:tc>
          <w:tcPr>
            <w:tcW w:type="dxa" w:w="1872"/>
          </w:tcPr>
          <w:p>
            <w:r>
              <w:t>BH</w:t>
            </w:r>
          </w:p>
        </w:tc>
        <w:tc>
          <w:tcPr>
            <w:tcW w:type="dxa" w:w="1872"/>
          </w:tcPr>
          <w:p>
            <w:r>
              <w:t>adaptive</w:t>
            </w:r>
          </w:p>
        </w:tc>
        <w:tc>
          <w:tcPr>
            <w:tcW w:type="dxa" w:w="1872"/>
          </w:tcPr>
          <w:p>
            <w:r>
              <w:t>hybrid</w:t>
            </w:r>
          </w:p>
        </w:tc>
        <w:tc>
          <w:tcPr>
            <w:tcW w:type="dxa" w:w="1872"/>
          </w:tcPr>
          <w:p>
            <w:r>
              <w:t>paired Δ (date-block 95% CI)</w:t>
            </w:r>
          </w:p>
        </w:tc>
      </w:tr>
      <w:tr>
        <w:tc>
          <w:tcPr>
            <w:tcW w:type="dxa" w:w="1872"/>
          </w:tcPr>
          <w:p>
            <w:r>
              <w:t>SPY</w:t>
            </w:r>
          </w:p>
        </w:tc>
        <w:tc>
          <w:tcPr>
            <w:tcW w:type="dxa" w:w="1872"/>
          </w:tcPr>
          <w:p>
            <w:r>
              <w:t>.784</w:t>
            </w:r>
          </w:p>
        </w:tc>
        <w:tc>
          <w:tcPr>
            <w:tcW w:type="dxa" w:w="1872"/>
          </w:tcPr>
          <w:p>
            <w:r>
              <w:t>.941</w:t>
            </w:r>
          </w:p>
        </w:tc>
        <w:tc>
          <w:tcPr>
            <w:tcW w:type="dxa" w:w="1872"/>
          </w:tcPr>
          <w:p>
            <w:r>
              <w:t>.905</w:t>
            </w:r>
          </w:p>
        </w:tc>
        <w:tc>
          <w:tcPr>
            <w:tcW w:type="dxa" w:w="1872"/>
          </w:tcPr>
          <w:p>
            <w:r>
              <w:t>+.121 [−.059, .294]</w:t>
            </w:r>
          </w:p>
        </w:tc>
      </w:tr>
      <w:tr>
        <w:tc>
          <w:tcPr>
            <w:tcW w:type="dxa" w:w="1872"/>
          </w:tcPr>
          <w:p>
            <w:r>
              <w:t>CSI300</w:t>
            </w:r>
          </w:p>
        </w:tc>
        <w:tc>
          <w:tcPr>
            <w:tcW w:type="dxa" w:w="1872"/>
          </w:tcPr>
          <w:p>
            <w:r>
              <w:t>−.352</w:t>
            </w:r>
          </w:p>
        </w:tc>
        <w:tc>
          <w:tcPr>
            <w:tcW w:type="dxa" w:w="1872"/>
          </w:tcPr>
          <w:p>
            <w:r>
              <w:t>−.350</w:t>
            </w:r>
          </w:p>
        </w:tc>
        <w:tc>
          <w:tcPr>
            <w:tcW w:type="dxa" w:w="1872"/>
          </w:tcPr>
          <w:p>
            <w:r>
              <w:t>−.337</w:t>
            </w:r>
          </w:p>
        </w:tc>
        <w:tc>
          <w:tcPr>
            <w:tcW w:type="dxa" w:w="1872"/>
          </w:tcPr>
          <w:p>
            <w:r>
              <w:t>+.016 [−.020, .053]</w:t>
            </w:r>
          </w:p>
        </w:tc>
      </w:tr>
      <w:tr>
        <w:tc>
          <w:tcPr>
            <w:tcW w:type="dxa" w:w="1872"/>
          </w:tcPr>
          <w:p>
            <w:r>
              <w:t>NIFTY</w:t>
            </w:r>
          </w:p>
        </w:tc>
        <w:tc>
          <w:tcPr>
            <w:tcW w:type="dxa" w:w="1872"/>
          </w:tcPr>
          <w:p>
            <w:r>
              <w:t>1.006</w:t>
            </w:r>
          </w:p>
        </w:tc>
        <w:tc>
          <w:tcPr>
            <w:tcW w:type="dxa" w:w="1872"/>
          </w:tcPr>
          <w:p>
            <w:r>
              <w:t>1.028</w:t>
            </w:r>
          </w:p>
        </w:tc>
        <w:tc>
          <w:tcPr>
            <w:tcW w:type="dxa" w:w="1872"/>
          </w:tcPr>
          <w:p>
            <w:r>
              <w:t>1.074</w:t>
            </w:r>
          </w:p>
        </w:tc>
        <w:tc>
          <w:tcPr>
            <w:tcW w:type="dxa" w:w="1872"/>
          </w:tcPr>
          <w:p>
            <w:r>
              <w:t>+.096 [−.044, .234]</w:t>
            </w:r>
          </w:p>
        </w:tc>
      </w:tr>
    </w:tbl>
    <w:p>
      <w:r>
        <w:rPr>
          <w:b/>
          <w:i w:val="0"/>
        </w:rPr>
        <w:t>Training vs test-path uncertainty.</w:t>
      </w:r>
      <w:r>
        <w:rPr>
          <w:b w:val="0"/>
          <w:i w:val="0"/>
        </w:rPr>
        <w:t xml:space="preserve"> We separate (i) </w:t>
      </w:r>
      <w:r>
        <w:rPr>
          <w:b w:val="0"/>
          <w:i/>
        </w:rPr>
        <w:t>stochastic training</w:t>
      </w:r>
      <w:r>
        <w:rPr>
          <w:b w:val="0"/>
          <w:i w:val="0"/>
        </w:rPr>
        <w:br/>
        <w:t>uncertainty (the 10 independent seeds, with buy-and-hold a fixed path) from</w:t>
        <w:br/>
        <w:t xml:space="preserve">(ii) </w:t>
      </w:r>
      <w:r>
        <w:rPr>
          <w:b w:val="0"/>
          <w:i/>
        </w:rPr>
        <w:t>finite test-path</w:t>
      </w:r>
      <w:r>
        <w:rPr>
          <w:b w:val="0"/>
          <w:i w:val="0"/>
        </w:rPr>
        <w:t xml:space="preserve"> uncertainty (the date-block bootstrap above). Seed-level</w:t>
        <w:br/>
        <w:t>paired differences Δ_s = Sharpe_hybrid,s − Sharpe_BH, with a seed bootstrap</w:t>
        <w:br/>
        <w:t>(10,000 resamples of the 10 Δ_s), a Wilcoxon signed-rank test, and a sign test: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market</w:t>
            </w:r>
          </w:p>
        </w:tc>
        <w:tc>
          <w:tcPr>
            <w:tcW w:type="dxa" w:w="1560"/>
          </w:tcPr>
          <w:p>
            <w:r>
              <w:t>mean Δ</w:t>
            </w:r>
          </w:p>
        </w:tc>
        <w:tc>
          <w:tcPr>
            <w:tcW w:type="dxa" w:w="1560"/>
          </w:tcPr>
          <w:p>
            <w:r>
              <w:t>SD</w:t>
            </w:r>
          </w:p>
        </w:tc>
        <w:tc>
          <w:tcPr>
            <w:tcW w:type="dxa" w:w="1560"/>
          </w:tcPr>
          <w:p>
            <w:r>
              <w:t>seed-bootstrap 95% CI</w:t>
            </w:r>
          </w:p>
        </w:tc>
        <w:tc>
          <w:tcPr>
            <w:tcW w:type="dxa" w:w="1560"/>
          </w:tcPr>
          <w:p>
            <w:r>
              <w:t>Wilcoxon p</w:t>
            </w:r>
          </w:p>
        </w:tc>
        <w:tc>
          <w:tcPr>
            <w:tcW w:type="dxa" w:w="1560"/>
          </w:tcPr>
          <w:p>
            <w:r>
              <w:t>sign (positive)</w:t>
            </w:r>
          </w:p>
        </w:tc>
      </w:tr>
      <w:tr>
        <w:tc>
          <w:tcPr>
            <w:tcW w:type="dxa" w:w="1560"/>
          </w:tcPr>
          <w:p>
            <w:r>
              <w:t>SPY</w:t>
            </w:r>
          </w:p>
        </w:tc>
        <w:tc>
          <w:tcPr>
            <w:tcW w:type="dxa" w:w="1560"/>
          </w:tcPr>
          <w:p>
            <w:r>
              <w:t>+.121</w:t>
            </w:r>
          </w:p>
        </w:tc>
        <w:tc>
          <w:tcPr>
            <w:tcW w:type="dxa" w:w="1560"/>
          </w:tcPr>
          <w:p>
            <w:r>
              <w:t>.039</w:t>
            </w:r>
          </w:p>
        </w:tc>
        <w:tc>
          <w:tcPr>
            <w:tcW w:type="dxa" w:w="1560"/>
          </w:tcPr>
          <w:p>
            <w:r>
              <w:t>[+.096, +.141]</w:t>
            </w:r>
          </w:p>
        </w:tc>
        <w:tc>
          <w:tcPr>
            <w:tcW w:type="dxa" w:w="1560"/>
          </w:tcPr>
          <w:p>
            <w:r>
              <w:t>.002</w:t>
            </w:r>
          </w:p>
        </w:tc>
        <w:tc>
          <w:tcPr>
            <w:tcW w:type="dxa" w:w="1560"/>
          </w:tcPr>
          <w:p>
            <w:r>
              <w:t>10/10</w:t>
            </w:r>
          </w:p>
        </w:tc>
      </w:tr>
      <w:tr>
        <w:tc>
          <w:tcPr>
            <w:tcW w:type="dxa" w:w="1560"/>
          </w:tcPr>
          <w:p>
            <w:r>
              <w:t>CSI300</w:t>
            </w:r>
          </w:p>
        </w:tc>
        <w:tc>
          <w:tcPr>
            <w:tcW w:type="dxa" w:w="1560"/>
          </w:tcPr>
          <w:p>
            <w:r>
              <w:t>+.015</w:t>
            </w:r>
          </w:p>
        </w:tc>
        <w:tc>
          <w:tcPr>
            <w:tcW w:type="dxa" w:w="1560"/>
          </w:tcPr>
          <w:p>
            <w:r>
              <w:t>.077</w:t>
            </w:r>
          </w:p>
        </w:tc>
        <w:tc>
          <w:tcPr>
            <w:tcW w:type="dxa" w:w="1560"/>
          </w:tcPr>
          <w:p>
            <w:r>
              <w:t>[−.030, +.062]</w:t>
            </w:r>
          </w:p>
        </w:tc>
        <w:tc>
          <w:tcPr>
            <w:tcW w:type="dxa" w:w="1560"/>
          </w:tcPr>
          <w:p>
            <w:r>
              <w:t>.695</w:t>
            </w:r>
          </w:p>
        </w:tc>
        <w:tc>
          <w:tcPr>
            <w:tcW w:type="dxa" w:w="1560"/>
          </w:tcPr>
          <w:p>
            <w:r>
              <w:t>5/10</w:t>
            </w:r>
          </w:p>
        </w:tc>
      </w:tr>
      <w:tr>
        <w:tc>
          <w:tcPr>
            <w:tcW w:type="dxa" w:w="1560"/>
          </w:tcPr>
          <w:p>
            <w:r>
              <w:t>NIFTY</w:t>
            </w:r>
          </w:p>
        </w:tc>
        <w:tc>
          <w:tcPr>
            <w:tcW w:type="dxa" w:w="1560"/>
          </w:tcPr>
          <w:p>
            <w:r>
              <w:t>+.068</w:t>
            </w:r>
          </w:p>
        </w:tc>
        <w:tc>
          <w:tcPr>
            <w:tcW w:type="dxa" w:w="1560"/>
          </w:tcPr>
          <w:p>
            <w:r>
              <w:t>.138</w:t>
            </w:r>
          </w:p>
        </w:tc>
        <w:tc>
          <w:tcPr>
            <w:tcW w:type="dxa" w:w="1560"/>
          </w:tcPr>
          <w:p>
            <w:r>
              <w:t>[−.013, +.151]</w:t>
            </w:r>
          </w:p>
        </w:tc>
        <w:tc>
          <w:tcPr>
            <w:tcW w:type="dxa" w:w="1560"/>
          </w:tcPr>
          <w:p>
            <w:r>
              <w:t>.193</w:t>
            </w:r>
          </w:p>
        </w:tc>
        <w:tc>
          <w:tcPr>
            <w:tcW w:type="dxa" w:w="1560"/>
          </w:tcPr>
          <w:p>
            <w:r>
              <w:t>6/10</w:t>
            </w:r>
          </w:p>
        </w:tc>
      </w:tr>
    </w:tbl>
    <w:p>
      <w:r>
        <w:rPr>
          <w:b w:val="0"/>
          <w:i w:val="0"/>
        </w:rPr>
        <w:t xml:space="preserve">On SPY the hybrid's advantage over buy-and-hold is </w:t>
      </w:r>
      <w:r>
        <w:rPr>
          <w:b/>
          <w:i w:val="0"/>
        </w:rPr>
        <w:t>seed-robust</w:t>
      </w:r>
      <w:r>
        <w:rPr>
          <w:b w:val="0"/>
          <w:i w:val="0"/>
        </w:rPr>
        <w:t xml:space="preserve"> (all 10</w:t>
        <w:br/>
        <w:t>seeds positive; Wilcoxon p = .002), yet the finite-path date-block interval is</w:t>
        <w:br/>
        <w:t>wider and includes zero ([−.059, .294]) — the gain is consistent across training</w:t>
        <w:br/>
        <w:t>runs but small relative to the noise of a single four-year path. On NIFTY and</w:t>
        <w:br/>
        <w:t>CSI300 the seed-level difference is not significant (6/10 and 5/10 positive).</w:t>
        <w:br/>
        <w:t xml:space="preserve">We therefore report the hybrid's advantage as </w:t>
      </w:r>
      <w:r>
        <w:rPr>
          <w:b/>
          <w:i w:val="0"/>
        </w:rPr>
        <w:t>directionally consistent and</w:t>
        <w:br/>
        <w:t>nontrivial in magnitude, but not statistically established on this horizon</w:t>
      </w:r>
      <w:r>
        <w:rPr>
          <w:b w:val="0"/>
          <w:i w:val="0"/>
        </w:rPr>
        <w:t>;</w:t>
        <w:br/>
        <w:t>seed-level intervals quantify training uncertainty, date-block intervals</w:t>
        <w:br/>
        <w:t>quantify path uncertainty. Stated precisely: the SPY advantage is robust across</w:t>
        <w:br/>
        <w:t>training seeds, but the finite test-path interval includes zero; NIFTY and</w:t>
        <w:br/>
        <w:t xml:space="preserve">CSI300 are not seed-level significant. Thus the hybrid improvement is </w:t>
      </w:r>
      <w:r>
        <w:rPr>
          <w:b/>
          <w:i w:val="0"/>
        </w:rPr>
        <w:t>not</w:t>
        <w:br/>
        <w:t>statistically established when both training and finite-test-path uncertainty</w:t>
        <w:br/>
        <w:t>are considered</w:t>
      </w:r>
      <w:r>
        <w:rPr>
          <w:b w:val="0"/>
          <w:i w:val="0"/>
        </w:rPr>
        <w:t>.</w:t>
      </w:r>
    </w:p>
    <w:p>
      <w:r>
        <w:rPr>
          <w:b/>
          <w:i w:val="0"/>
        </w:rPr>
        <w:t>Input ablation (10 seeds):</w:t>
      </w:r>
      <w:r>
        <w:rPr>
          <w:b w:val="0"/>
          <w:i w:val="0"/>
        </w:rPr>
        <w:t xml:space="preserve"> OOD distance is the most valuable and robust</w:t>
        <w:br/>
        <w:t>at-t input — best on all three markets, and dramatically so on CSI300</w:t>
        <w:br/>
        <w:t>(−.124 vs −.337 for the full blend), where including volatility actively hurts</w:t>
        <w:br/>
        <w:t>(−.434). Volatility helps on the positive-drift markets (SPY .882, NIFTY 1.021);</w:t>
        <w:br/>
        <w:t>regime-risk alone is the weakest input (SPY .848, NIFTY .978, CSI300 −.350).</w:t>
        <w:br/>
        <w:t>This refines the §4.8 pathway: representation-distance (OOD) information is the</w:t>
        <w:br/>
        <w:t>key exposure-control signal, with volatility timing valuable only where</w:t>
        <w:br/>
        <w:t>positive drift exists.</w:t>
      </w:r>
    </w:p>
    <w:p>
      <w:r>
        <w:rPr>
          <w:b/>
          <w:i w:val="0"/>
        </w:rPr>
        <w:t>Is OOD just a volatility proxy?</w:t>
      </w:r>
      <w:r>
        <w:rPr>
          <w:b w:val="0"/>
          <w:i w:val="0"/>
        </w:rPr>
        <w:t xml:space="preserve"> OOD distance correlates strongly with</w:t>
        <w:br/>
        <w:t>contemporaneous volatility (Pearson r = .72 SPY, .84 NIFTY, .78 CSI300 on</w:t>
        <w:br/>
        <w:t>train+val), and also with forward 5-day volatility (.55/.67/.52) and drawdown</w:t>
        <w:br/>
        <w:t xml:space="preserve">state (−.67/−.71/−.38); it is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orthogonal to volatility. However, the</w:t>
        <w:br/>
        <w:t>ablation shows the two inputs behave differently — on CSI300 OOD is the best</w:t>
        <w:br/>
        <w:t>input (−.124) while volatility is the worst (−.434) — so OOD appears to carry</w:t>
        <w:br/>
        <w:t>decision-relevant information not captured by contemporaneous volatility alone</w:t>
        <w:br/>
        <w:t>under the tested ablation, concentrated in large distribution-shift states. We</w:t>
        <w:br/>
        <w:t>state this plainly rather than claiming OOD is a distinct signal.</w:t>
      </w:r>
    </w:p>
    <w:p>
      <w:r>
        <w:rPr>
          <w:b/>
          <w:i w:val="0"/>
        </w:rPr>
        <w:t>Permutation control (temporal-alignment check):</w:t>
      </w:r>
      <w:r>
        <w:rPr>
          <w:b w:val="0"/>
          <w:i w:val="0"/>
        </w:rPr>
        <w:t xml:space="preserve"> shuffling the learned α</w:t>
        <w:br/>
        <w:t>across dates (destroying its time alignment, keeping its distribution) reduces</w:t>
        <w:br/>
        <w:t>the hybrid Sharpe on SPY (.905 → .848) and NIFTY (1.074 → 1.011) but does not</w:t>
        <w:br/>
        <w:t>eliminate it. The at-t timing contributes a modest real increment (~.06 Sharpe);</w:t>
        <w:br/>
        <w:t>the remainder comes from the blend structure recovering exposure. This supports</w:t>
        <w:br/>
        <w:t>a genuine contribution from temporal alignment; combined with the point-in-time</w:t>
        <w:br/>
        <w:t>feature construction, expanding normalization, frozen encoders, and strict</w:t>
        <w:br/>
        <w:t>train/validation/test separation, it provides a check against accidental timing</w:t>
        <w:br/>
        <w:t>artifacts (it does not by itself prove the absence of look-ahead).</w:t>
      </w:r>
    </w:p>
    <w:p>
      <w:pPr>
        <w:pStyle w:val="Heading2"/>
      </w:pPr>
      <w:r>
        <w:t>4.11 The exposure family on the risk–return plane</w:t>
      </w:r>
    </w:p>
    <w:p>
      <w:r>
        <w:rPr>
          <w:b w:val="0"/>
          <w:i w:val="0"/>
        </w:rPr>
        <w:t>We place the full exposure-policy family on the annualized (volatility, return)</w:t>
        <w:br/>
        <w:t xml:space="preserve">plane (5-seed mean; SPY, NIFTY, CSI300). We do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claim an efficient</w:t>
        <w:br/>
        <w:t>frontier — this is a risk–return trade-off map.</w:t>
      </w:r>
    </w:p>
    <w:p>
      <w:r>
        <w:rPr>
          <w:b w:val="0"/>
          <w:i w:val="0"/>
        </w:rPr>
        <w:t>A textbook anchor falls out exactly. Constant exposure c gives R = c·R_BH, so</w:t>
        <w:br/>
        <w:t>Sharpe(c·R_BH) = Sharpe(R_BH); the entire constant-exposure family lies on the</w:t>
        <w:br/>
        <w:t>buy-and-hold ray (verified: constant 0.1–1.0 all have Sharpe equal to BH). Any</w:t>
        <w:br/>
        <w:t xml:space="preserve">Sharpe change must therefore come from </w:t>
      </w:r>
      <w:r>
        <w:rPr>
          <w:b/>
          <w:i w:val="0"/>
        </w:rPr>
        <w:t>time-varying</w:t>
      </w:r>
      <w:r>
        <w:rPr>
          <w:b w:val="0"/>
          <w:i w:val="0"/>
        </w:rPr>
        <w:t xml:space="preserve"> exposure.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policy</w:t>
            </w:r>
          </w:p>
        </w:tc>
        <w:tc>
          <w:tcPr>
            <w:tcW w:type="dxa" w:w="3120"/>
          </w:tcPr>
          <w:p>
            <w:r>
              <w:t>SPY (ret/vol/Sharpe)</w:t>
            </w:r>
          </w:p>
        </w:tc>
        <w:tc>
          <w:tcPr>
            <w:tcW w:type="dxa" w:w="3120"/>
          </w:tcPr>
          <w:p>
            <w:r>
              <w:t>NIFTY (ret/vol/Sharpe)</w:t>
            </w:r>
          </w:p>
        </w:tc>
      </w:tr>
      <w:tr>
        <w:tc>
          <w:tcPr>
            <w:tcW w:type="dxa" w:w="3120"/>
          </w:tcPr>
          <w:p>
            <w:r>
              <w:t>buy-and-hold (ray)</w:t>
            </w:r>
          </w:p>
        </w:tc>
        <w:tc>
          <w:tcPr>
            <w:tcW w:type="dxa" w:w="3120"/>
          </w:tcPr>
          <w:p>
            <w:r>
              <w:t>.129 / .165 / .784</w:t>
            </w:r>
          </w:p>
        </w:tc>
        <w:tc>
          <w:tcPr>
            <w:tcW w:type="dxa" w:w="3120"/>
          </w:tcPr>
          <w:p>
            <w:r>
              <w:t>.147 / .146 / 1.006</w:t>
            </w:r>
          </w:p>
        </w:tc>
      </w:tr>
      <w:tr>
        <w:tc>
          <w:tcPr>
            <w:tcW w:type="dxa" w:w="3120"/>
          </w:tcPr>
          <w:p>
            <w:r>
              <w:t>adaptive</w:t>
            </w:r>
          </w:p>
        </w:tc>
        <w:tc>
          <w:tcPr>
            <w:tcW w:type="dxa" w:w="3120"/>
          </w:tcPr>
          <w:p>
            <w:r>
              <w:t>.071 / .077 / .927</w:t>
            </w:r>
          </w:p>
        </w:tc>
        <w:tc>
          <w:tcPr>
            <w:tcW w:type="dxa" w:w="3120"/>
          </w:tcPr>
          <w:p>
            <w:r>
              <w:t>.064 / .062 / 1.039</w:t>
            </w:r>
          </w:p>
        </w:tc>
      </w:tr>
      <w:tr>
        <w:tc>
          <w:tcPr>
            <w:tcW w:type="dxa" w:w="3120"/>
          </w:tcPr>
          <w:p>
            <w:r>
              <w:t>regime-constrained</w:t>
            </w:r>
          </w:p>
        </w:tc>
        <w:tc>
          <w:tcPr>
            <w:tcW w:type="dxa" w:w="3120"/>
          </w:tcPr>
          <w:p>
            <w:r>
              <w:t>.055 / .066 / .822</w:t>
            </w:r>
          </w:p>
        </w:tc>
        <w:tc>
          <w:tcPr>
            <w:tcW w:type="dxa" w:w="3120"/>
          </w:tcPr>
          <w:p>
            <w:r>
              <w:t>.034 / .035 / .981</w:t>
            </w:r>
          </w:p>
        </w:tc>
      </w:tr>
      <w:tr>
        <w:tc>
          <w:tcPr>
            <w:tcW w:type="dxa" w:w="3120"/>
          </w:tcPr>
          <w:p>
            <w:r>
              <w:t>floor max(e,.5)</w:t>
            </w:r>
          </w:p>
        </w:tc>
        <w:tc>
          <w:tcPr>
            <w:tcW w:type="dxa" w:w="3120"/>
          </w:tcPr>
          <w:p>
            <w:r>
              <w:t>.071 / .086 / .819</w:t>
            </w:r>
          </w:p>
        </w:tc>
        <w:tc>
          <w:tcPr>
            <w:tcW w:type="dxa" w:w="3120"/>
          </w:tcPr>
          <w:p>
            <w:r>
              <w:t>.081 / .077 / 1.054</w:t>
            </w:r>
          </w:p>
        </w:tc>
      </w:tr>
      <w:tr>
        <w:tc>
          <w:tcPr>
            <w:tcW w:type="dxa" w:w="3120"/>
          </w:tcPr>
          <w:p>
            <w:r>
              <w:t>hybrid</w:t>
            </w:r>
          </w:p>
        </w:tc>
        <w:tc>
          <w:tcPr>
            <w:tcW w:type="dxa" w:w="3120"/>
          </w:tcPr>
          <w:p>
            <w:r>
              <w:t>.096 / .106 / .900</w:t>
            </w:r>
          </w:p>
        </w:tc>
        <w:tc>
          <w:tcPr>
            <w:tcW w:type="dxa" w:w="3120"/>
          </w:tcPr>
          <w:p>
            <w:r>
              <w:t>.124 / .108 / 1.146</w:t>
            </w:r>
          </w:p>
        </w:tc>
      </w:tr>
      <w:tr>
        <w:tc>
          <w:tcPr>
            <w:tcW w:type="dxa" w:w="3120"/>
          </w:tcPr>
          <w:p>
            <w:r>
              <w:t>constant sweep</w:t>
            </w:r>
          </w:p>
        </w:tc>
        <w:tc>
          <w:tcPr>
            <w:tcW w:type="dxa" w:w="3120"/>
          </w:tcPr>
          <w:p>
            <w:r>
              <w:t>on the BH ray (.784)</w:t>
            </w:r>
          </w:p>
        </w:tc>
        <w:tc>
          <w:tcPr>
            <w:tcW w:type="dxa" w:w="3120"/>
          </w:tcPr>
          <w:p>
            <w:r>
              <w:t>on the BH ray (1.006)</w:t>
            </w:r>
          </w:p>
        </w:tc>
      </w:tr>
    </w:tbl>
    <w:p>
      <w:r>
        <w:rPr>
          <w:b w:val="0"/>
          <w:i w:val="0"/>
        </w:rPr>
        <w:t xml:space="preserve">On SPY and NIFTY the adaptive and hybrid points lie </w:t>
      </w:r>
      <w:r>
        <w:rPr>
          <w:b/>
          <w:i w:val="0"/>
        </w:rPr>
        <w:t>above the buy-and-hold</w:t>
        <w:br/>
        <w:t>ray</w:t>
      </w:r>
      <w:r>
        <w:rPr>
          <w:b w:val="0"/>
          <w:i w:val="0"/>
        </w:rPr>
        <w:t xml:space="preserve"> (higher return per unit risk) and the hybrid is Pareto-non-dominated in</w:t>
        <w:br/>
        <w:t>the (volatility, return) plane — on NIFTY it attains the highest Sharpe with a</w:t>
        <w:br/>
        <w:t>return close to buy-and-hold and much lower volatility. On CSI300 the</w:t>
        <w:br/>
      </w:r>
      <w:r>
        <w:rPr>
          <w:b/>
          <w:i w:val="0"/>
        </w:rPr>
        <w:t>evaluated risk–return set is degenerate over this test period</w:t>
      </w:r>
      <w:r>
        <w:rPr>
          <w:b w:val="0"/>
          <w:i w:val="0"/>
        </w:rPr>
        <w:t>: the flat</w:t>
        <w:br/>
        <w:t>(zero-exposure) policy Pareto-dominates everything because no policy creates</w:t>
        <w:br/>
        <w:t>positive return, so the improvement there reduces to loss reduction.</w:t>
        <w:br/>
      </w:r>
      <w:r>
        <w:rPr>
          <w:rFonts w:ascii="Consolas" w:hAnsi="Consolas"/>
          <w:b w:val="0"/>
          <w:i w:val="0"/>
          <w:sz w:val="19"/>
        </w:rPr>
        <w:t>paper/risk_return_frontier.png</w:t>
      </w:r>
      <w:r>
        <w:rPr>
          <w:b w:val="0"/>
          <w:i w:val="0"/>
        </w:rPr>
        <w:t xml:space="preserve"> shows the map.</w:t>
      </w:r>
    </w:p>
    <w:p>
      <w:r>
        <w:rPr>
          <w:b/>
          <w:i w:val="0"/>
        </w:rPr>
        <w:t>Finding.</w:t>
      </w:r>
      <w:r>
        <w:rPr>
          <w:b w:val="0"/>
          <w:i w:val="0"/>
        </w:rPr>
        <w:t xml:space="preserve"> The adaptive and hybrid policies shift the realized risk–return</w:t>
        <w:br/>
        <w:t>trade-off relative to buy-and-hold, with the hybrid providing a favorable</w:t>
        <w:br/>
        <w:t>compromise between market participation and exposure reduction. This is a</w:t>
        <w:br/>
        <w:t>dynamic risk–return improvement, established on positive-drift markets; it is</w:t>
        <w:br/>
        <w:t>not a claim of mean–variance efficiency against the feasible set (an</w:t>
        <w:br/>
        <w:t>efficient-frontier statement would require that stronger test).</w:t>
      </w:r>
    </w:p>
    <w:p>
      <w:r>
        <w:rPr>
          <w:b/>
          <w:i w:val="0"/>
        </w:rPr>
        <w:t>Cross-market (CSI300, NIFTY).</w:t>
      </w:r>
      <w:r>
        <w:rPr>
          <w:b w:val="0"/>
          <w:i w:val="0"/>
        </w:rPr>
        <w:t xml:space="preserve"> The gate consistently learns a</w:t>
        <w:br/>
        <w:t>bull-vs-bear/crisis asymmetry in every market (λ higher in bull), but whether</w:t>
        <w:br/>
        <w:t xml:space="preserve">that prior is </w:t>
      </w:r>
      <w:r>
        <w:rPr>
          <w:b w:val="0"/>
          <w:i/>
        </w:rPr>
        <w:t>correct</w:t>
      </w:r>
      <w:r>
        <w:rPr>
          <w:b w:val="0"/>
          <w:i w:val="0"/>
        </w:rPr>
        <w:t xml:space="preserve"> is market-specific. On SPY it is right (gating beats</w:t>
        <w:br/>
        <w:t>both extremes and performs comparably to the oracle on the predictive</w:t>
        <w:br/>
        <w:t>representation); on CSI300 the test period is</w:t>
        <w:br/>
        <w:t>unsolvable (all variants negative, a crisis-driven rally); on NIFTY the</w:t>
        <w:br/>
        <w:t>bear/crisis penalty is wrong because crisis deviation pays (A2C crisis 2.86 vs</w:t>
        <w:br/>
        <w:t>behavior −0.71), so the gate loses to unconstrained A2C (.622 vs .705).</w:t>
        <w:br/>
        <w:t>"When it is safe to deviate" is therefore not a universal rule: the gate</w:t>
        <w:br/>
        <w:t>reflects the training market's regime structure and the risk prior does not</w:t>
        <w:br/>
        <w:t>transfer unchanged.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47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_return_fronti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7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44444"/>
          <w:sz w:val="18"/>
        </w:rPr>
        <w:t>Figure 3. Risk-return map: the constant-exposure family lies on the buy-and-hold ray; adaptive/hybrid policies sit above it on positive-drift markets.</w:t>
      </w:r>
    </w:p>
    <w:p>
      <w:pPr>
        <w:pStyle w:val="Heading1"/>
      </w:pPr>
      <w:r>
        <w:t>5. Discussion</w:t>
      </w:r>
    </w:p>
    <w:p>
      <w:pPr>
        <w:pStyle w:val="Heading2"/>
      </w:pPr>
      <w:r>
        <w:t>5.1 Evidential architecture</w:t>
      </w:r>
    </w:p>
    <w:p>
      <w:r>
        <w:rPr>
          <w:b w:val="0"/>
          <w:i w:val="0"/>
        </w:rPr>
        <w:t>We keep three levels of evidence strictly separate throughout.</w:t>
      </w:r>
    </w:p>
    <w:p>
      <w:r>
        <w:rPr>
          <w:b/>
          <w:i w:val="0"/>
        </w:rPr>
        <w:t>Level 1 — established statistically.</w:t>
      </w:r>
      <w:r>
        <w:rPr>
          <w:b w:val="0"/>
          <w:i w:val="0"/>
        </w:rPr>
        <w:br/>
        <w:t>- Algorithm main effect: F(3,144) = 9.05, p &lt; .0001, η² = .142.</w:t>
        <w:br/>
        <w:t>- No evidence sufficient to establish the representation × algorithm</w:t>
        <w:br/>
        <w:t xml:space="preserve">  interaction (p = .206).</w:t>
        <w:br/>
        <w:t>- Large seed-level variability (residual η² = .755).</w:t>
      </w:r>
    </w:p>
    <w:p>
      <w:r>
        <w:rPr>
          <w:b/>
          <w:i w:val="0"/>
        </w:rPr>
        <w:t>Level 2 — descriptive.</w:t>
      </w:r>
      <w:r>
        <w:rPr>
          <w:b w:val="0"/>
          <w:i w:val="0"/>
        </w:rPr>
        <w:br/>
        <w:t>- 58.0 / 15.6 / 26.4 cell-mean decomposition (algorithm / representation /</w:t>
        <w:br/>
        <w:t xml:space="preserve">  interaction; no error term).</w:t>
        <w:br/>
        <w:t>- Representation-sensitivity differences; feature and latent scaling patterns;</w:t>
        <w:br/>
        <w:t xml:space="preserve">  probe results; cross-market observations.</w:t>
      </w:r>
    </w:p>
    <w:p>
      <w:r>
        <w:rPr>
          <w:b/>
          <w:i w:val="0"/>
        </w:rPr>
        <w:t>Level 3 — mechanism hypothesis, partially tested.</w:t>
      </w:r>
      <w:r>
        <w:rPr>
          <w:b w:val="0"/>
          <w:i w:val="0"/>
        </w:rPr>
        <w:br/>
        <w:t>- Behaviour-policy divergence ↔ representation sensitivity (r = .935, n = 4;</w:t>
        <w:br/>
        <w:t xml:space="preserve">  descriptive).</w:t>
        <w:br/>
        <w:t>- Divergence ↔ regime-dependent utility: the pre-specified interaction test is</w:t>
        <w:br/>
        <w:t xml:space="preserve">  </w:t>
      </w:r>
      <w:r>
        <w:rPr>
          <w:b/>
          <w:i w:val="0"/>
        </w:rPr>
        <w:t>significant</w:t>
      </w:r>
      <w:r>
        <w:rPr>
          <w:b w:val="0"/>
          <w:i w:val="0"/>
        </w:rPr>
        <w:t xml:space="preserve"> (χ²(2) = 80.9, p = 2.7e-18; slope near zero in bull +0.04,</w:t>
        <w:br/>
        <w:t xml:space="preserve">  increasingly negative in bear −1.04 and crisis −4.05), while the seed-level</w:t>
        <w:br/>
        <w:t xml:space="preserve">  divergence main effect, controlling for algorithm identity, is </w:t>
      </w:r>
      <w:r>
        <w:rPr>
          <w:b/>
          <w:i w:val="0"/>
        </w:rPr>
        <w:t>not</w:t>
      </w:r>
      <w:r>
        <w:rPr>
          <w:b w:val="0"/>
          <w:i w:val="0"/>
        </w:rPr>
        <w:br/>
        <w:t xml:space="preserve">  (p = .446).</w:t>
        <w:br/>
        <w:t>- The proposed mechanism in Figure 1.</w:t>
      </w:r>
    </w:p>
    <w:p>
      <w:r>
        <w:rPr>
          <w:b/>
          <w:i w:val="0"/>
        </w:rPr>
        <w:t>Headline.</w:t>
      </w:r>
      <w:r>
        <w:rPr>
          <w:b w:val="0"/>
          <w:i w:val="0"/>
        </w:rPr>
        <w:t xml:space="preserve"> Decision algorithm is a stronger determinant of downstream</w:t>
        <w:br/>
        <w:t>utility than representation identity in the tested setting. In the two-way</w:t>
        <w:br/>
        <w:t>ANOVA, algorithm identity was the only robust inferential effect,</w:t>
        <w:br/>
        <w:t>F(3,144) = 9.05, p &lt; .0001, η² = .142; representation identity was marginal</w:t>
        <w:br/>
        <w:t>(p = .067), and the representation × algorithm interaction was not</w:t>
        <w:br/>
        <w:t>statistically established (p = .206).</w:t>
      </w:r>
    </w:p>
    <w:p>
      <w:r>
        <w:rPr>
          <w:b/>
          <w:i w:val="0"/>
        </w:rPr>
        <w:t>Interpretation.</w:t>
      </w:r>
      <w:r>
        <w:rPr>
          <w:b w:val="0"/>
          <w:i w:val="0"/>
        </w:rPr>
        <w:t xml:space="preserve"> The results therefore do not support a simple hierarchy in</w:t>
        <w:br/>
        <w:t>which increasingly informative or stable representations necessarily produce</w:t>
        <w:br/>
        <w:t>better trading policies. Instead, they indicate that downstream decision</w:t>
        <w:br/>
        <w:t>optimization is an important determinant of observed utility, while the</w:t>
        <w:br/>
        <w:t>apparent dependence of utility on representation varies substantially across</w:t>
        <w:br/>
        <w:t>algorithms and remains a hypothesis requiring further investigation. The</w:t>
        <w:br/>
        <w:t>regime-gated policy of §4.5 provides constructive evidence for the mechanism:</w:t>
        <w:br/>
        <w:t>an offline policy can learn to scale its divergence by a regime estimate,</w:t>
        <w:br/>
        <w:t>beating both the conservative (BC) and fully-deviating (A2C) endpoints and</w:t>
        <w:br/>
        <w:t>approaching the look-ahead oracle on the predictive representation while</w:t>
        <w:br/>
        <w:t>remaining below it on the contrastive representation — while leaving the</w:t>
        <w:br/>
        <w:t>utility gain modest and at/below the buy-and-hold baseline.</w:t>
      </w:r>
    </w:p>
    <w:p>
      <w:pPr>
        <w:pStyle w:val="Heading2"/>
      </w:pPr>
      <w:r>
        <w:t>5.2 Seed variability and statistical power</w:t>
      </w:r>
    </w:p>
    <w:p>
      <w:r>
        <w:rPr>
          <w:b w:val="0"/>
          <w:i w:val="0"/>
        </w:rPr>
        <w:t>The residual seed term accounts for η² = .755 of the variance, which explains</w:t>
        <w:br/>
        <w:t>why the interaction does not reach significance despite a non-trivial</w:t>
        <w:br/>
        <w:t>descriptive cell-mean interaction component. In offline financial RL,</w:t>
        <w:br/>
        <w:t>random-seed variability can be sufficiently large that apparently meaningful</w:t>
        <w:br/>
        <w:t>representation × algorithm differences are difficult to establish with</w:t>
        <w:br/>
        <w:t>conventional inferential tests. Ten seeds per cell give repeated estimates of</w:t>
        <w:br/>
        <w:t>stochastic variability but may still be insufficient to detect moderate</w:t>
        <w:br/>
        <w:t>interaction effects. We do not attempt to rescue the interaction statistically</w:t>
        <w:br/>
        <w:t>(no seed selection, no representation cherry-picking, no specification search).</w:t>
      </w:r>
    </w:p>
    <w:p>
      <w:pPr>
        <w:pStyle w:val="Heading2"/>
      </w:pPr>
      <w:r>
        <w:t>5.3 Figure 1 — decision-relevant risk/exposure pathway</w:t>
      </w:r>
    </w:p>
    <w:p>
      <w:r>
        <w:rPr>
          <w:rFonts w:ascii="Consolas" w:hAnsi="Consolas"/>
          <w:sz w:val="17"/>
        </w:rPr>
        <w:t xml:space="preserve">                    OBSERVED ASSOCIATIONS</w:t>
      </w:r>
      <w:r>
        <w:br/>
      </w:r>
      <w:r>
        <w:rPr>
          <w:rFonts w:ascii="Consolas" w:hAnsi="Consolas"/>
          <w:sz w:val="17"/>
        </w:rPr>
        <w:t xml:space="preserve">                            |</w:t>
      </w:r>
      <w:r>
        <w:br/>
      </w:r>
      <w:r>
        <w:rPr>
          <w:rFonts w:ascii="Consolas" w:hAnsi="Consolas"/>
          <w:sz w:val="17"/>
        </w:rPr>
        <w:t xml:space="preserve">        +-------------------+-------------------+</w:t>
      </w:r>
      <w:r>
        <w:br/>
      </w:r>
      <w:r>
        <w:rPr>
          <w:rFonts w:ascii="Consolas" w:hAnsi="Consolas"/>
          <w:sz w:val="17"/>
        </w:rPr>
        <w:t xml:space="preserve">        v                   v                   v</w:t>
      </w:r>
      <w:r>
        <w:br/>
      </w:r>
      <w:r>
        <w:rPr>
          <w:rFonts w:ascii="Consolas" w:hAnsi="Consolas"/>
          <w:sz w:val="17"/>
        </w:rPr>
        <w:t xml:space="preserve"> Representation      Decision algorithm    Market regime</w:t>
      </w:r>
      <w:r>
        <w:br/>
      </w:r>
      <w:r>
        <w:rPr>
          <w:rFonts w:ascii="Consolas" w:hAnsi="Consolas"/>
          <w:sz w:val="17"/>
        </w:rPr>
        <w:t xml:space="preserve">        |                   |                   |</w:t>
      </w:r>
      <w:r>
        <w:br/>
      </w:r>
      <w:r>
        <w:rPr>
          <w:rFonts w:ascii="Consolas" w:hAnsi="Consolas"/>
          <w:sz w:val="17"/>
        </w:rPr>
        <w:t xml:space="preserve">        |                   v                   |</w:t>
      </w:r>
      <w:r>
        <w:br/>
      </w:r>
      <w:r>
        <w:rPr>
          <w:rFonts w:ascii="Consolas" w:hAnsi="Consolas"/>
          <w:sz w:val="17"/>
        </w:rPr>
        <w:t xml:space="preserve">        |           Policy divergence           |</w:t>
      </w:r>
      <w:r>
        <w:br/>
      </w:r>
      <w:r>
        <w:rPr>
          <w:rFonts w:ascii="Consolas" w:hAnsi="Consolas"/>
          <w:sz w:val="17"/>
        </w:rPr>
        <w:t xml:space="preserve">        |                   |                   |</w:t>
      </w:r>
      <w:r>
        <w:br/>
      </w:r>
      <w:r>
        <w:rPr>
          <w:rFonts w:ascii="Consolas" w:hAnsi="Consolas"/>
          <w:sz w:val="17"/>
        </w:rPr>
        <w:t xml:space="preserve">        +---------+---------+                   |</w:t>
      </w:r>
      <w:r>
        <w:br/>
      </w:r>
      <w:r>
        <w:rPr>
          <w:rFonts w:ascii="Consolas" w:hAnsi="Consolas"/>
          <w:sz w:val="17"/>
        </w:rPr>
        <w:t xml:space="preserve">                  v                             v</w:t>
      </w:r>
      <w:r>
        <w:br/>
      </w:r>
      <w:r>
        <w:rPr>
          <w:rFonts w:ascii="Consolas" w:hAnsi="Consolas"/>
          <w:sz w:val="17"/>
        </w:rPr>
        <w:t xml:space="preserve">          Representation               Regime-dependent</w:t>
      </w:r>
      <w:r>
        <w:br/>
      </w:r>
      <w:r>
        <w:rPr>
          <w:rFonts w:ascii="Consolas" w:hAnsi="Consolas"/>
          <w:sz w:val="17"/>
        </w:rPr>
        <w:t xml:space="preserve">             sensitivity                    utility</w:t>
      </w:r>
      <w:r>
        <w:br/>
      </w:r>
      <w:r>
        <w:rPr>
          <w:rFonts w:ascii="Consolas" w:hAnsi="Consolas"/>
          <w:sz w:val="17"/>
        </w:rPr>
        <w:t xml:space="preserve">                  |                             |</w:t>
      </w:r>
      <w:r>
        <w:br/>
      </w:r>
      <w:r>
        <w:rPr>
          <w:rFonts w:ascii="Consolas" w:hAnsi="Consolas"/>
          <w:sz w:val="17"/>
        </w:rPr>
        <w:t xml:space="preserve">                  +-------------+---------------+</w:t>
      </w:r>
      <w:r>
        <w:br/>
      </w:r>
      <w:r>
        <w:rPr>
          <w:rFonts w:ascii="Consolas" w:hAnsi="Consolas"/>
          <w:sz w:val="17"/>
        </w:rPr>
        <w:t xml:space="preserve">                                v</w:t>
      </w:r>
      <w:r>
        <w:br/>
      </w:r>
      <w:r>
        <w:rPr>
          <w:rFonts w:ascii="Consolas" w:hAnsi="Consolas"/>
          <w:sz w:val="17"/>
        </w:rPr>
        <w:t xml:space="preserve">               Decision-relevant risk/exposure pathway</w:t>
      </w:r>
    </w:p>
    <w:p>
      <w:r>
        <w:rPr>
          <w:b w:val="0"/>
          <w:i w:val="0"/>
        </w:rPr>
        <w:t>Solid arrows are observed associations; dashed arrows (in the manuscript</w:t>
        <w:br/>
        <w:t>figure) denote the mechanism tested constructively in §4.5–4.9: it is</w:t>
        <w:br/>
        <w:t>consistent across the tested markets, but the paired Sharpe advantage is not</w:t>
        <w:br/>
        <w:t>statistically significant at 5% on the single four-year test period.</w:t>
      </w:r>
    </w:p>
    <w:p>
      <w:pPr>
        <w:ind w:left="576"/>
      </w:pPr>
      <w:r>
        <w:rPr>
          <w:b w:val="0"/>
          <w:i/>
        </w:rPr>
        <w:br/>
      </w:r>
      <w:r>
        <w:rPr>
          <w:b/>
          <w:i w:val="0"/>
        </w:rPr>
        <w:t>Tested mechanism (with caveat).</w:t>
      </w:r>
      <w:r>
        <w:rPr>
          <w:b w:val="0"/>
          <w:i w:val="0"/>
        </w:rPr>
        <w:t xml:space="preserve"> Observed behavior-policy divergence is</w:t>
        <w:br/>
        <w:t>associated at the algorithm level with representation sensitivity; the</w:t>
        <w:br/>
        <w:t>divergence–utility association is strongly regime-dependent; and a</w:t>
        <w:br/>
        <w:t>representation-space risk pathway (OOD/volatility) supports adaptive exposure</w:t>
        <w:br/>
        <w:t>control. These relationships are descriptive/associational (n = 4 for the</w:t>
        <w:br/>
        <w:t>divergence–sensitivity link) and do not establish mediation or causality.</w:t>
      </w:r>
      <w:r>
        <w:rPr>
          <w:b w:val="0"/>
          <w:i w:val="0"/>
        </w:rPr>
        <w:br/>
      </w:r>
    </w:p>
    <w:p>
      <w:pPr>
        <w:pStyle w:val="Heading1"/>
      </w:pPr>
      <w:r>
        <w:t>6. Limitations</w:t>
      </w:r>
    </w:p>
    <w:p>
      <w:pPr>
        <w:pStyle w:val="ListNumber"/>
      </w:pPr>
      <w:r>
        <w:rPr>
          <w:b/>
          <w:i w:val="0"/>
        </w:rPr>
        <w:t>Single primary financial environment</w:t>
      </w:r>
      <w:r>
        <w:rPr>
          <w:b w:val="0"/>
          <w:i w:val="0"/>
        </w:rPr>
        <w:t xml:space="preserve"> and limited cross-market transfer</w:t>
        <w:br/>
        <w:t xml:space="preserve">   evidence (SPY → CSI300 transfer is weak and not separable from noise).</w:t>
      </w:r>
    </w:p>
    <w:p>
      <w:pPr>
        <w:pStyle w:val="ListNumber"/>
      </w:pPr>
      <w:r>
        <w:rPr>
          <w:b/>
          <w:i w:val="0"/>
        </w:rPr>
        <w:t>Ten seeds</w:t>
      </w:r>
      <w:r>
        <w:rPr>
          <w:b w:val="0"/>
          <w:i w:val="0"/>
        </w:rPr>
        <w:t xml:space="preserve"> still leave substantial stochastic variance; power for</w:t>
        <w:br/>
        <w:t xml:space="preserve">   interaction effects remains limited.</w:t>
      </w:r>
    </w:p>
    <w:p>
      <w:pPr>
        <w:pStyle w:val="ListNumber"/>
      </w:pPr>
      <w:r>
        <w:rPr>
          <w:b w:val="0"/>
          <w:i w:val="0"/>
        </w:rPr>
        <w:t xml:space="preserve">The representation × algorithm </w:t>
      </w:r>
      <w:r>
        <w:rPr>
          <w:b/>
          <w:i w:val="0"/>
        </w:rPr>
        <w:t>interaction was not statistically</w:t>
        <w:br/>
        <w:t xml:space="preserve">   established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 xml:space="preserve">Divergence analyses are </w:t>
      </w:r>
      <w:r>
        <w:rPr>
          <w:b/>
          <w:i w:val="0"/>
        </w:rPr>
        <w:t>associational</w:t>
      </w:r>
      <w:r>
        <w:rPr>
          <w:b w:val="0"/>
          <w:i w:val="0"/>
        </w:rPr>
        <w:t>, not mediation or causal evidence.</w:t>
        <w:br/>
        <w:t xml:space="preserve">   The regime-interaction survives a granular clustered test, but divergence as</w:t>
        <w:br/>
        <w:t xml:space="preserve">   a seed-level main effect does not (p = .446); the divergence–sensitivity</w:t>
        <w:br/>
        <w:t xml:space="preserve">   association is n = 4.</w:t>
      </w:r>
    </w:p>
    <w:p>
      <w:pPr>
        <w:pStyle w:val="ListNumber"/>
      </w:pPr>
      <w:r>
        <w:rPr>
          <w:b/>
          <w:i w:val="0"/>
        </w:rPr>
        <w:t>The original representation × decision-algorithm matrix does not exceed</w:t>
        <w:br/>
        <w:t xml:space="preserve">   buy-and-hold</w:t>
      </w:r>
      <w:r>
        <w:rPr>
          <w:b w:val="0"/>
          <w:i w:val="0"/>
        </w:rPr>
        <w:t xml:space="preserve"> (Sharpe .784) and 2022 is negative for all algorithms. The</w:t>
        <w:br/>
        <w:t xml:space="preserve">   later exposure-only and hybrid policies improve the tested risk–return</w:t>
        <w:br/>
        <w:t xml:space="preserve">   trade-off, but </w:t>
      </w:r>
      <w:r>
        <w:rPr>
          <w:b/>
          <w:i w:val="0"/>
        </w:rPr>
        <w:t>their paired Sharpe advantages are not statistically</w:t>
        <w:br/>
        <w:t xml:space="preserve">   significant</w:t>
      </w:r>
      <w:r>
        <w:rPr>
          <w:b w:val="0"/>
          <w:i w:val="0"/>
        </w:rPr>
        <w:t xml:space="preserve"> on the single four-year test period (all paired bootstrap CIs</w:t>
        <w:br/>
        <w:t xml:space="preserve">   include zero).</w:t>
      </w:r>
    </w:p>
    <w:p>
      <w:pPr>
        <w:pStyle w:val="ListNumber"/>
      </w:pPr>
      <w:r>
        <w:rPr>
          <w:b/>
          <w:i w:val="0"/>
        </w:rPr>
        <w:t>Cross-market CSI300 results</w:t>
      </w:r>
      <w:r>
        <w:rPr>
          <w:b w:val="0"/>
          <w:i w:val="0"/>
        </w:rPr>
        <w:t xml:space="preserve"> were close to unsolvable under the tested</w:t>
        <w:br/>
        <w:t xml:space="preserve">   protocol, limiting conclusions about representation transfer; its exposure</w:t>
        <w:br/>
        <w:t xml:space="preserve">   evaluated risk–return set is degenerate over the test period (flat dominates).</w:t>
      </w:r>
    </w:p>
    <w:p>
      <w:pPr>
        <w:pStyle w:val="ListNumber"/>
      </w:pPr>
      <w:r>
        <w:rPr>
          <w:b/>
          <w:i w:val="0"/>
        </w:rPr>
        <w:t>CQL behavior depends materially on implementation/regularization</w:t>
        <w:br/>
        <w:t xml:space="preserve">   choices</w:t>
      </w:r>
      <w:r>
        <w:rPr>
          <w:b w:val="0"/>
          <w:i w:val="0"/>
        </w:rPr>
        <w:t>; the main-table CQL is the regularized variant.</w:t>
      </w:r>
    </w:p>
    <w:p>
      <w:pPr>
        <w:pStyle w:val="ListNumber"/>
      </w:pPr>
      <w:r>
        <w:rPr>
          <w:b/>
          <w:i w:val="0"/>
        </w:rPr>
        <w:t>The regime-gated mechanism is market-specific</w:t>
      </w:r>
      <w:r>
        <w:rPr>
          <w:b w:val="0"/>
          <w:i w:val="0"/>
        </w:rPr>
        <w:t>: the gate learns a</w:t>
        <w:br/>
        <w:t xml:space="preserve">   bull-vs-bear asymmetry in every tested market, but the sign of divergence's</w:t>
        <w:br/>
        <w:t xml:space="preserve">   effect differs (deviation pays in bull on SPY, in crisis on NIFTY), so the</w:t>
        <w:br/>
        <w:t xml:space="preserve">   "when to deviate" prior does not transfer unchanged.</w:t>
      </w:r>
    </w:p>
    <w:p>
      <w:pPr>
        <w:pStyle w:val="ListNumber"/>
      </w:pPr>
      <w:r>
        <w:rPr>
          <w:b w:val="0"/>
          <w:i w:val="0"/>
        </w:rPr>
        <w:t xml:space="preserve">The representation-quality framework evaluates </w:t>
      </w:r>
      <w:r>
        <w:rPr>
          <w:b/>
          <w:i w:val="0"/>
        </w:rPr>
        <w:t>selected measurable</w:t>
        <w:br/>
        <w:t xml:space="preserve">   properties</w:t>
      </w:r>
      <w:r>
        <w:rPr>
          <w:b w:val="0"/>
          <w:i w:val="0"/>
        </w:rPr>
        <w:t xml:space="preserve"> (probe recoverability, rank, CKA, perturbation sensitivity); it</w:t>
        <w:br/>
        <w:t xml:space="preserve">   is </w:t>
      </w:r>
      <w:r>
        <w:rPr>
          <w:b/>
          <w:i w:val="0"/>
        </w:rPr>
        <w:t>not a complete measure of the "information contained"</w:t>
      </w:r>
      <w:r>
        <w:rPr>
          <w:b w:val="0"/>
          <w:i w:val="0"/>
        </w:rPr>
        <w:t xml:space="preserve"> in a</w:t>
        <w:br/>
        <w:t xml:space="preserve">   representation.</w:t>
      </w:r>
    </w:p>
    <w:p>
      <w:pPr>
        <w:pStyle w:val="ListNumber"/>
      </w:pPr>
      <w:r>
        <w:rPr>
          <w:b/>
          <w:i w:val="0"/>
        </w:rPr>
        <w:t>Uncertainty is used in two distinct senses.</w:t>
      </w:r>
      <w:r>
        <w:rPr>
          <w:b w:val="0"/>
          <w:i w:val="0"/>
        </w:rPr>
        <w:t xml:space="preserve"> Ensemble predictive</w:t>
        <w:br/>
        <w:t xml:space="preserve">    disagreement did not provide a useful </w:t>
      </w:r>
      <w:r>
        <w:rPr>
          <w:b w:val="0"/>
          <w:i/>
        </w:rPr>
        <w:t>directional</w:t>
      </w:r>
      <w:r>
        <w:rPr>
          <w:b w:val="0"/>
          <w:i w:val="0"/>
        </w:rPr>
        <w:t xml:space="preserve"> signal; in contrast,</w:t>
        <w:br/>
        <w:t xml:space="preserve">    representation-space </w:t>
      </w:r>
      <w:r>
        <w:rPr>
          <w:b/>
          <w:i w:val="0"/>
        </w:rPr>
        <w:t>OOD distance</w:t>
      </w:r>
      <w:r>
        <w:rPr>
          <w:b w:val="0"/>
          <w:i w:val="0"/>
        </w:rPr>
        <w:t xml:space="preserve"> emerged as the strongest at-t input</w:t>
        <w:br/>
        <w:t xml:space="preserve">    in the exposure ablation. These are different constructs and should not be</w:t>
        <w:br/>
        <w:t xml:space="preserve">    conflated.</w:t>
      </w:r>
    </w:p>
    <w:p>
      <w:pPr>
        <w:pStyle w:val="Heading1"/>
      </w:pPr>
      <w:r>
        <w:t>7. Conclusion</w:t>
      </w:r>
    </w:p>
    <w:p>
      <w:r>
        <w:rPr>
          <w:b w:val="0"/>
          <w:i w:val="0"/>
        </w:rPr>
        <w:t>We separated availability, encoding, and exploitation in offline financial RL</w:t>
        <w:br/>
        <w:t>and found that, in the tested setting, decision-algorithm identity is the</w:t>
        <w:br/>
        <w:t>robust determinant of downstream utility, while representation identity is</w:t>
        <w:br/>
        <w:t>marginal and the representation × algorithm interaction is not statistically</w:t>
        <w:br/>
        <w:t>established. Representation diagnostics—probe performance, effective rank,</w:t>
        <w:br/>
        <w:t>cross-seed stability—do not provide a reliable one-dimensional proxy for</w:t>
        <w:br/>
        <w:t>trading utility. Behaviour-policy divergence and regime conditioning offer a</w:t>
        <w:br/>
        <w:t>plausible mechanism for why some algorithms are more representation-sensitive.</w:t>
        <w:br/>
        <w:t>A pre-specified granular test supports the regime-dependent component of this</w:t>
        <w:br/>
        <w:t>mechanism (divergence × regime interaction, p = 2.7e-18) but not divergence as</w:t>
        <w:br/>
        <w:t>a main effect once algorithm identity is controlled (p = .446); the</w:t>
        <w:br/>
        <w:t>divergence–sensitivity association itself remains descriptive at the algorithm</w:t>
        <w:br/>
        <w:t>level. Turning from prediction to participation, we then showed that when</w:t>
        <w:br/>
        <w:t>directional skill is unavailable the exploitable margin is exposure/risk</w:t>
        <w:br/>
        <w:t>control: an exposure-only policy improved risk-adjusted utility on</w:t>
        <w:br/>
        <w:t>positive-drift markets, and a continuous risk-aware hybrid recovered most of</w:t>
        <w:br/>
        <w:t>buy-and-hold's participation while retaining risk timing. In the 10-seed</w:t>
        <w:br/>
        <w:t>validation, the hybrid achieved a mean Sharpe of 1.074 on NIFTY versus 1.006</w:t>
        <w:br/>
        <w:t>for buy-and-hold, although the finite-test-path interval for the paired</w:t>
        <w:br/>
        <w:t>difference included zero. The advantage is directionally consistent across</w:t>
        <w:br/>
        <w:t>markets and seeds and survives cost robustness; it is not an efficient-frontier</w:t>
        <w:br/>
        <w:t>claim. The strongest</w:t>
        <w:br/>
        <w:t xml:space="preserve">final message is: </w:t>
      </w:r>
      <w:r>
        <w:rPr>
          <w:b/>
          <w:i w:val="0"/>
        </w:rPr>
        <w:t>offline financial RL does not need reliable directional</w:t>
        <w:br/>
        <w:t>prediction to extract decision-relevant information from learned</w:t>
        <w:br/>
        <w:t>representations — in the tested setting that information is more useful for</w:t>
        <w:br/>
        <w:t>adaptive exposure and risk control than for directional trading, while</w:t>
        <w:br/>
        <w:t>downstream algorithm choice remains a stronger determinant of utility than</w:t>
        <w:br/>
        <w:t>representation identity.</w:t>
      </w:r>
      <w:r>
        <w:rPr>
          <w:b w:val="0"/>
          <w:i w:val="0"/>
        </w:rPr>
        <w:t xml:space="preserve"> The findings describe the tested offline environment</w:t>
        <w:br/>
        <w:t>and do not demonstrate market-beating performance or a causal effect of policy</w:t>
        <w:br/>
        <w:t>divergence.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8119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_divergence_regi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11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44444"/>
          <w:sz w:val="18"/>
        </w:rPr>
        <w:t>Figure A1. Divergence x regime: absolute per-regime slopes (bull +0.04, bear -1.04, crisis -4.05).</w:t>
      </w:r>
    </w:p>
    <w:p>
      <w:pPr>
        <w:pStyle w:val="Heading1"/>
      </w:pPr>
      <w:r>
        <w:t>Appendix A — CQL implementation and collapse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rep</w:t>
            </w:r>
          </w:p>
        </w:tc>
        <w:tc>
          <w:tcPr>
            <w:tcW w:type="dxa" w:w="1872"/>
          </w:tcPr>
          <w:p>
            <w:r>
              <w:t>bc=0 collapse</w:t>
            </w:r>
          </w:p>
        </w:tc>
        <w:tc>
          <w:tcPr>
            <w:tcW w:type="dxa" w:w="1872"/>
          </w:tcPr>
          <w:p>
            <w:r>
              <w:t>bc=0 Sharpe</w:t>
            </w:r>
          </w:p>
        </w:tc>
        <w:tc>
          <w:tcPr>
            <w:tcW w:type="dxa" w:w="1872"/>
          </w:tcPr>
          <w:p>
            <w:r>
              <w:t>bc=.5 collapse</w:t>
            </w:r>
          </w:p>
        </w:tc>
        <w:tc>
          <w:tcPr>
            <w:tcW w:type="dxa" w:w="1872"/>
          </w:tcPr>
          <w:p>
            <w:r>
              <w:t>bc=.5 Sharpe</w:t>
            </w:r>
          </w:p>
        </w:tc>
      </w:tr>
      <w:tr>
        <w:tc>
          <w:tcPr>
            <w:tcW w:type="dxa" w:w="1872"/>
          </w:tcPr>
          <w:p>
            <w:r>
              <w:t>raw</w:t>
            </w:r>
          </w:p>
        </w:tc>
        <w:tc>
          <w:tcPr>
            <w:tcW w:type="dxa" w:w="1872"/>
          </w:tcPr>
          <w:p>
            <w:r>
              <w:t>.60</w:t>
            </w:r>
          </w:p>
        </w:tc>
        <w:tc>
          <w:tcPr>
            <w:tcW w:type="dxa" w:w="1872"/>
          </w:tcPr>
          <w:p>
            <w:r>
              <w:t>.568</w:t>
            </w:r>
          </w:p>
        </w:tc>
        <w:tc>
          <w:tcPr>
            <w:tcW w:type="dxa" w:w="1872"/>
          </w:tcPr>
          <w:p>
            <w:r>
              <w:t>.00</w:t>
            </w:r>
          </w:p>
        </w:tc>
        <w:tc>
          <w:tcPr>
            <w:tcW w:type="dxa" w:w="1872"/>
          </w:tcPr>
          <w:p>
            <w:r>
              <w:t>.574</w:t>
            </w:r>
          </w:p>
        </w:tc>
      </w:tr>
      <w:tr>
        <w:tc>
          <w:tcPr>
            <w:tcW w:type="dxa" w:w="1872"/>
          </w:tcPr>
          <w:p>
            <w:r>
              <w:t>auto</w:t>
            </w:r>
          </w:p>
        </w:tc>
        <w:tc>
          <w:tcPr>
            <w:tcW w:type="dxa" w:w="1872"/>
          </w:tcPr>
          <w:p>
            <w:r>
              <w:t>.30</w:t>
            </w:r>
          </w:p>
        </w:tc>
        <w:tc>
          <w:tcPr>
            <w:tcW w:type="dxa" w:w="1872"/>
          </w:tcPr>
          <w:p>
            <w:r>
              <w:t>.256</w:t>
            </w:r>
          </w:p>
        </w:tc>
        <w:tc>
          <w:tcPr>
            <w:tcW w:type="dxa" w:w="1872"/>
          </w:tcPr>
          <w:p>
            <w:r>
              <w:t>.00</w:t>
            </w:r>
          </w:p>
        </w:tc>
        <w:tc>
          <w:tcPr>
            <w:tcW w:type="dxa" w:w="1872"/>
          </w:tcPr>
          <w:p>
            <w:r>
              <w:t>.768</w:t>
            </w:r>
          </w:p>
        </w:tc>
      </w:tr>
      <w:tr>
        <w:tc>
          <w:tcPr>
            <w:tcW w:type="dxa" w:w="1872"/>
          </w:tcPr>
          <w:p>
            <w:r>
              <w:t>predictive</w:t>
            </w:r>
          </w:p>
        </w:tc>
        <w:tc>
          <w:tcPr>
            <w:tcW w:type="dxa" w:w="1872"/>
          </w:tcPr>
          <w:p>
            <w:r>
              <w:t>.40</w:t>
            </w:r>
          </w:p>
        </w:tc>
        <w:tc>
          <w:tcPr>
            <w:tcW w:type="dxa" w:w="1872"/>
          </w:tcPr>
          <w:p>
            <w:r>
              <w:t>.232</w:t>
            </w:r>
          </w:p>
        </w:tc>
        <w:tc>
          <w:tcPr>
            <w:tcW w:type="dxa" w:w="1872"/>
          </w:tcPr>
          <w:p>
            <w:r>
              <w:t>.00</w:t>
            </w:r>
          </w:p>
        </w:tc>
        <w:tc>
          <w:tcPr>
            <w:tcW w:type="dxa" w:w="1872"/>
          </w:tcPr>
          <w:p>
            <w:r>
              <w:t>.676</w:t>
            </w:r>
          </w:p>
        </w:tc>
      </w:tr>
      <w:tr>
        <w:tc>
          <w:tcPr>
            <w:tcW w:type="dxa" w:w="1872"/>
          </w:tcPr>
          <w:p>
            <w:r>
              <w:t>contrastive</w:t>
            </w:r>
          </w:p>
        </w:tc>
        <w:tc>
          <w:tcPr>
            <w:tcW w:type="dxa" w:w="1872"/>
          </w:tcPr>
          <w:p>
            <w:r>
              <w:t>.50</w:t>
            </w:r>
          </w:p>
        </w:tc>
        <w:tc>
          <w:tcPr>
            <w:tcW w:type="dxa" w:w="1872"/>
          </w:tcPr>
          <w:p>
            <w:r>
              <w:t>.291</w:t>
            </w:r>
          </w:p>
        </w:tc>
        <w:tc>
          <w:tcPr>
            <w:tcW w:type="dxa" w:w="1872"/>
          </w:tcPr>
          <w:p>
            <w:r>
              <w:t>.00</w:t>
            </w:r>
          </w:p>
        </w:tc>
        <w:tc>
          <w:tcPr>
            <w:tcW w:type="dxa" w:w="1872"/>
          </w:tcPr>
          <w:p>
            <w:r>
              <w:t>.709</w:t>
            </w:r>
          </w:p>
        </w:tc>
      </w:tr>
    </w:tbl>
    <w:p>
      <w:r>
        <w:rPr>
          <w:b w:val="0"/>
          <w:i w:val="0"/>
        </w:rPr>
        <w:t>CQL(H) with a deterministic actor experienced action collapse (action standard</w:t>
        <w:br/>
        <w:t>deviation &lt; .01) in 30–60% of seeds; the TD3+BC actor regularizer eliminated</w:t>
        <w:br/>
        <w:t>observed collapse and materially improved performance. This demonstrates</w:t>
        <w:br/>
        <w:t>substantial sensitivity of CQL to actor regularization under our implementation</w:t>
        <w:br/>
        <w:t>and dataset; it is not a general claim that CQL is unstable.</w:t>
      </w:r>
    </w:p>
    <w:p>
      <w:pPr>
        <w:pStyle w:val="Heading1"/>
      </w:pPr>
      <w:r>
        <w:t>Appendix B — development vs validation</w:t>
      </w:r>
    </w:p>
    <w:p>
      <w:r>
        <w:rPr>
          <w:b w:val="0"/>
          <w:i w:val="0"/>
        </w:rPr>
        <w:t>To make the development/validation separation explicit (and guard against the</w:t>
        <w:br/>
        <w:t>appearance of tuning on the final test), the following decisions were fixed</w:t>
        <w:br/>
        <w:t>before the 10-seed validation run: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component</w:t>
            </w:r>
          </w:p>
        </w:tc>
        <w:tc>
          <w:tcPr>
            <w:tcW w:type="dxa" w:w="3120"/>
          </w:tcPr>
          <w:p>
            <w:r>
              <w:t>development (exploratory)</w:t>
            </w:r>
          </w:p>
        </w:tc>
        <w:tc>
          <w:tcPr>
            <w:tcW w:type="dxa" w:w="3120"/>
          </w:tcPr>
          <w:p>
            <w:r>
              <w:t>validation (primary, reported)</w:t>
            </w:r>
          </w:p>
        </w:tc>
      </w:tr>
      <w:tr>
        <w:tc>
          <w:tcPr>
            <w:tcW w:type="dxa" w:w="3120"/>
          </w:tcPr>
          <w:p>
            <w:r>
              <w:t>representation</w:t>
            </w:r>
          </w:p>
        </w:tc>
        <w:tc>
          <w:tcPr>
            <w:tcW w:type="dxa" w:w="3120"/>
          </w:tcPr>
          <w:p>
            <w:r>
              <w:t>predictive / contrastive, 3 seeds</w:t>
            </w:r>
          </w:p>
        </w:tc>
        <w:tc>
          <w:tcPr>
            <w:tcW w:type="dxa" w:w="3120"/>
          </w:tcPr>
          <w:p>
            <w:r>
              <w:t>frozen, 1 seed encoder</w:t>
            </w:r>
          </w:p>
        </w:tc>
      </w:tr>
      <w:tr>
        <w:tc>
          <w:tcPr>
            <w:tcW w:type="dxa" w:w="3120"/>
          </w:tcPr>
          <w:p>
            <w:r>
              <w:t>feature &amp; latent sweeps</w:t>
            </w:r>
          </w:p>
        </w:tc>
        <w:tc>
          <w:tcPr>
            <w:tcW w:type="dxa" w:w="3120"/>
          </w:tcPr>
          <w:p>
            <w:r>
              <w:t>10 seeds (separate axis)</w:t>
            </w:r>
          </w:p>
        </w:tc>
        <w:tc>
          <w:tcPr>
            <w:tcW w:type="dxa" w:w="3120"/>
          </w:tcPr>
          <w:p>
            <w:r>
              <w:t>not revisited</w:t>
            </w:r>
          </w:p>
        </w:tc>
      </w:tr>
      <w:tr>
        <w:tc>
          <w:tcPr>
            <w:tcW w:type="dxa" w:w="3120"/>
          </w:tcPr>
          <w:p>
            <w:r>
              <w:t>hybrid functional form</w:t>
            </w:r>
          </w:p>
        </w:tc>
        <w:tc>
          <w:tcPr>
            <w:tcW w:type="dxa" w:w="3120"/>
          </w:tcPr>
          <w:p>
            <w:r>
              <w:t>a = e + α(1 − e) selected</w:t>
            </w:r>
          </w:p>
        </w:tc>
        <w:tc>
          <w:tcPr>
            <w:tcW w:type="dxa" w:w="3120"/>
          </w:tcPr>
          <w:p>
            <w:r>
              <w:t>frozen</w:t>
            </w:r>
          </w:p>
        </w:tc>
      </w:tr>
      <w:tr>
        <w:tc>
          <w:tcPr>
            <w:tcW w:type="dxa" w:w="3120"/>
          </w:tcPr>
          <w:p>
            <w:r>
              <w:t>α inputs</w:t>
            </w:r>
          </w:p>
        </w:tc>
        <w:tc>
          <w:tcPr>
            <w:tcW w:type="dxa" w:w="3120"/>
          </w:tcPr>
          <w:p>
            <w:r>
              <w:t>{risk, OOD, volatility} selected</w:t>
            </w:r>
          </w:p>
        </w:tc>
        <w:tc>
          <w:tcPr>
            <w:tcW w:type="dxa" w:w="3120"/>
          </w:tcPr>
          <w:p>
            <w:r>
              <w:t>frozen (ablation is diagnostic only)</w:t>
            </w:r>
          </w:p>
        </w:tc>
      </w:tr>
      <w:tr>
        <w:tc>
          <w:tcPr>
            <w:tcW w:type="dxa" w:w="3120"/>
          </w:tcPr>
          <w:p>
            <w:r>
              <w:t>α architecture</w:t>
            </w:r>
          </w:p>
        </w:tc>
        <w:tc>
          <w:tcPr>
            <w:tcW w:type="dxa" w:w="3120"/>
          </w:tcPr>
          <w:p>
            <w:r>
              <w:t>3-parameter linear+sigmoid</w:t>
            </w:r>
          </w:p>
        </w:tc>
        <w:tc>
          <w:tcPr>
            <w:tcW w:type="dxa" w:w="3120"/>
          </w:tcPr>
          <w:p>
            <w:r>
              <w:t>frozen</w:t>
            </w:r>
          </w:p>
        </w:tc>
      </w:tr>
      <w:tr>
        <w:tc>
          <w:tcPr>
            <w:tcW w:type="dxa" w:w="3120"/>
          </w:tcPr>
          <w:p>
            <w:r>
              <w:t>seeds for hybrid</w:t>
            </w:r>
          </w:p>
        </w:tc>
        <w:tc>
          <w:tcPr>
            <w:tcW w:type="dxa" w:w="3120"/>
          </w:tcPr>
          <w:p>
            <w:r>
              <w:t>3 (development), 5 (frontier)</w:t>
            </w:r>
          </w:p>
        </w:tc>
        <w:tc>
          <w:tcPr>
            <w:tcW w:type="dxa" w:w="3120"/>
          </w:tcPr>
          <w:p>
            <w:r>
              <w:t>10 new/seeded runs</w:t>
            </w:r>
          </w:p>
        </w:tc>
      </w:tr>
      <w:tr>
        <w:tc>
          <w:tcPr>
            <w:tcW w:type="dxa" w:w="3120"/>
          </w:tcPr>
          <w:p>
            <w:r>
              <w:t>test period</w:t>
            </w:r>
          </w:p>
        </w:tc>
        <w:tc>
          <w:tcPr>
            <w:tcW w:type="dxa" w:w="3120"/>
          </w:tcPr>
          <w:p>
            <w:r>
              <w:t>2021–2024</w:t>
            </w:r>
          </w:p>
        </w:tc>
        <w:tc>
          <w:tcPr>
            <w:tcW w:type="dxa" w:w="3120"/>
          </w:tcPr>
          <w:p>
            <w:r>
              <w:t>2021–2024 (unchanged)</w:t>
            </w:r>
          </w:p>
        </w:tc>
      </w:tr>
      <w:tr>
        <w:tc>
          <w:tcPr>
            <w:tcW w:type="dxa" w:w="3120"/>
          </w:tcPr>
          <w:p>
            <w:r>
              <w:t>cost assumption</w:t>
            </w:r>
          </w:p>
        </w:tc>
        <w:tc>
          <w:tcPr>
            <w:tcW w:type="dxa" w:w="3120"/>
          </w:tcPr>
          <w:p>
            <w:r>
              <w:t>0 bp for the map</w:t>
            </w:r>
          </w:p>
        </w:tc>
        <w:tc>
          <w:tcPr>
            <w:tcW w:type="dxa" w:w="3120"/>
          </w:tcPr>
          <w:p>
            <w:r>
              <w:t>0/1/5/10 bp robustness</w:t>
            </w:r>
          </w:p>
        </w:tc>
      </w:tr>
      <w:tr>
        <w:tc>
          <w:tcPr>
            <w:tcW w:type="dxa" w:w="3120"/>
          </w:tcPr>
          <w:p>
            <w:r>
              <w:t>endpoint (oracle)</w:t>
            </w:r>
          </w:p>
        </w:tc>
        <w:tc>
          <w:tcPr>
            <w:tcW w:type="dxa" w:w="3120"/>
          </w:tcPr>
          <w:p>
            <w:r>
              <w:t>look-ahead, upper bound only</w:t>
            </w:r>
          </w:p>
        </w:tc>
        <w:tc>
          <w:tcPr>
            <w:tcW w:type="dxa" w:w="3120"/>
          </w:tcPr>
          <w:p>
            <w:r>
              <w:t>reported as a bound</w:t>
            </w:r>
          </w:p>
        </w:tc>
      </w:tr>
    </w:tbl>
    <w:p>
      <w:r>
        <w:rPr>
          <w:b w:val="0"/>
          <w:i w:val="0"/>
        </w:rPr>
        <w:t>The headline hybrid numbers quoted in the abstract and conclusion are the</w:t>
        <w:br/>
        <w:t>10-seed validation values, not the exploratory 3–5-seed values.</w:t>
      </w:r>
    </w:p>
    <w:p>
      <w:pPr>
        <w:pStyle w:val="Heading1"/>
      </w:pPr>
      <w:r>
        <w:t>Appendix C — artifact index</w:t>
      </w:r>
    </w:p>
    <w:p>
      <w:r>
        <w:rPr>
          <w:b w:val="0"/>
          <w:i w:val="0"/>
        </w:rPr>
        <w:t xml:space="preserve">All tables are generated by scripts under </w:t>
      </w:r>
      <w:r>
        <w:rPr>
          <w:rFonts w:ascii="Consolas" w:hAnsi="Consolas"/>
          <w:b w:val="0"/>
          <w:i w:val="0"/>
          <w:sz w:val="19"/>
        </w:rPr>
        <w:t>scripts/</w:t>
      </w:r>
      <w:r>
        <w:rPr>
          <w:b w:val="0"/>
          <w:i w:val="0"/>
        </w:rPr>
        <w:t xml:space="preserve"> and written to</w:t>
        <w:br/>
      </w:r>
      <w:r>
        <w:rPr>
          <w:rFonts w:ascii="Consolas" w:hAnsi="Consolas"/>
          <w:b w:val="0"/>
          <w:i w:val="0"/>
          <w:sz w:val="19"/>
        </w:rPr>
        <w:t>data/interpret/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rep_scaling.csv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rep_scaling_summary.csv</w:t>
      </w:r>
      <w:r>
        <w:rPr>
          <w:b w:val="0"/>
          <w:i w:val="0"/>
        </w:rPr>
        <w:t xml:space="preserve"> — feature/latent sweeps.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rep_offline_rl.csv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rep_offline_rl_summary.csv</w:t>
      </w:r>
      <w:r>
        <w:rPr>
          <w:b w:val="0"/>
          <w:i w:val="0"/>
        </w:rPr>
        <w:t xml:space="preserve"> — representation ×</w:t>
        <w:br/>
        <w:t xml:space="preserve">  algorithm matrix and baselines.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rep_rl_dim_sweep.csv</w:t>
      </w:r>
      <w:r>
        <w:rPr>
          <w:b w:val="0"/>
          <w:i w:val="0"/>
        </w:rPr>
        <w:t xml:space="preserve"> — algorithm × latent-dimension.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rep_rl_diagnostics.csv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rep_divergence_regime.csv</w:t>
      </w:r>
      <w:r>
        <w:rPr>
          <w:b w:val="0"/>
          <w:i w:val="0"/>
        </w:rPr>
        <w:t xml:space="preserve"> — divergence, action</w:t>
        <w:br/>
        <w:t xml:space="preserve">  distribution, regime and per-year utility.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rep_nonlinear_probe.csv</w:t>
      </w:r>
      <w:r>
        <w:rPr>
          <w:b w:val="0"/>
          <w:i w:val="0"/>
        </w:rPr>
        <w:t xml:space="preserve"> — linear/GBDT/MLP probes.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rep_cross_market.csv</w:t>
      </w:r>
      <w:r>
        <w:rPr>
          <w:b w:val="0"/>
          <w:i w:val="0"/>
        </w:rPr>
        <w:t xml:space="preserve"> — SPY → CSI300 transfer.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rep_bootstrap_ci.csv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rep_contrasts.csv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rep_anova.csv</w:t>
      </w:r>
      <w:r>
        <w:rPr>
          <w:b w:val="0"/>
          <w:i w:val="0"/>
        </w:rPr>
        <w:t xml:space="preserve"> — statistics.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rep_cql_ablation.csv</w:t>
      </w:r>
      <w:r>
        <w:rPr>
          <w:b w:val="0"/>
          <w:i w:val="0"/>
        </w:rPr>
        <w:t xml:space="preserve"> — CQL regularization ablation.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rep_hybrid_validate.csv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rep_hybrid_seedstats.csv</w:t>
      </w:r>
      <w:r>
        <w:rPr>
          <w:b w:val="0"/>
          <w:i w:val="0"/>
        </w:rPr>
        <w:t xml:space="preserve"> — hybrid 10-seed</w:t>
        <w:br/>
        <w:t xml:space="preserve">  validation and seed-level paired inference.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rep_ood_diagnostic.csv</w:t>
      </w:r>
      <w:r>
        <w:rPr>
          <w:b w:val="0"/>
          <w:i w:val="0"/>
        </w:rPr>
        <w:t xml:space="preserve"> — OOD-vs-volatility/return/drawdown associations.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paper/rep_mechanism_schematic.png</w:t>
      </w:r>
      <w:r>
        <w:rPr>
          <w:b w:val="0"/>
          <w:i w:val="0"/>
        </w:rPr>
        <w:t xml:space="preserve"> — Figure 1.</w:t>
      </w:r>
    </w:p>
    <w:p>
      <w:pPr>
        <w:pStyle w:val="Heading1"/>
      </w:pPr>
      <w:r>
        <w:t>References</w:t>
      </w:r>
    </w:p>
    <w:p>
      <w:r>
        <w:rPr>
          <w:b w:val="0"/>
          <w:i w:val="0"/>
        </w:rPr>
        <w:t>Reinforcement learning and representation learning:</w:t>
      </w:r>
    </w:p>
    <w:p>
      <w:pPr>
        <w:pStyle w:val="ListBullet"/>
      </w:pPr>
      <w:r>
        <w:rPr>
          <w:b w:val="0"/>
          <w:i w:val="0"/>
        </w:rPr>
        <w:t>Agarwal, R., Schwarzer, M., Castro, P. S., &amp; Courville, A. (2021). Deep</w:t>
        <w:br/>
        <w:t xml:space="preserve">  reinforcement learning at the edge of the statistical precipice. Advances in</w:t>
        <w:br/>
        <w:t xml:space="preserve">  Neural Information Processing Systems, 34.</w:t>
      </w:r>
    </w:p>
    <w:p>
      <w:pPr>
        <w:pStyle w:val="ListBullet"/>
      </w:pPr>
      <w:r>
        <w:rPr>
          <w:b w:val="0"/>
          <w:i w:val="0"/>
        </w:rPr>
        <w:t>Alain, G., &amp; Bengio, Y. (2017). Understanding intermediate layers using</w:t>
        <w:br/>
        <w:t xml:space="preserve">  linear classifier probes. ICLR Workshop.</w:t>
      </w:r>
    </w:p>
    <w:p>
      <w:pPr>
        <w:pStyle w:val="ListBullet"/>
      </w:pPr>
      <w:r>
        <w:rPr>
          <w:b w:val="0"/>
          <w:i w:val="0"/>
        </w:rPr>
        <w:t>Bain, M., &amp; Sammut, C. (1995). A framework for behavioural cloning. Machine</w:t>
        <w:br/>
        <w:t xml:space="preserve">  Intelligence, 15, 103–129.</w:t>
      </w:r>
    </w:p>
    <w:p>
      <w:pPr>
        <w:pStyle w:val="ListBullet"/>
      </w:pPr>
      <w:r>
        <w:rPr>
          <w:b w:val="0"/>
          <w:i w:val="0"/>
        </w:rPr>
        <w:t>Chen, L., Lu, K., Rajeswaran, A., Lee, K., Grover, A., Laskin, M., Abbeel,</w:t>
        <w:br/>
        <w:t xml:space="preserve">  P., Srinivas, A., &amp; Mordatch, I. (2021). Decision Transformer. Advances in</w:t>
        <w:br/>
        <w:t xml:space="preserve">  Neural Information Processing Systems, 34.</w:t>
      </w:r>
    </w:p>
    <w:p>
      <w:pPr>
        <w:pStyle w:val="ListBullet"/>
      </w:pPr>
      <w:r>
        <w:rPr>
          <w:b w:val="0"/>
          <w:i w:val="0"/>
        </w:rPr>
        <w:t>Chen, T., Kornblith, S., Norouzi, M., &amp; Hinton, G. (2020). A simple framework</w:t>
        <w:br/>
        <w:t xml:space="preserve">  for contrastive learning of visual representations. ICML, PMLR 119,</w:t>
        <w:br/>
        <w:t xml:space="preserve">  1597–1607.</w:t>
      </w:r>
    </w:p>
    <w:p>
      <w:pPr>
        <w:pStyle w:val="ListBullet"/>
      </w:pPr>
      <w:r>
        <w:rPr>
          <w:b w:val="0"/>
          <w:i w:val="0"/>
        </w:rPr>
        <w:t>Deng, Y., Bao, F., Kong, Y., Ren, Z., &amp; Dai, Q. (2017). Deep direct</w:t>
        <w:br/>
        <w:t xml:space="preserve">  reinforcement learning for financial signal representation and trading. IEEE</w:t>
        <w:br/>
        <w:t xml:space="preserve">  Transactions on Neural Networks and Learning Systems, 28(3), 653–664.</w:t>
      </w:r>
    </w:p>
    <w:p>
      <w:pPr>
        <w:pStyle w:val="ListBullet"/>
      </w:pPr>
      <w:r>
        <w:rPr>
          <w:b w:val="0"/>
          <w:i w:val="0"/>
        </w:rPr>
        <w:t>Fujimoto, S., &amp; Gu, S. S. (2021). A minimalist approach to offline</w:t>
        <w:br/>
        <w:t xml:space="preserve">  reinforcement learning. Advances in Neural Information Processing Systems, 34.</w:t>
      </w:r>
    </w:p>
    <w:p>
      <w:pPr>
        <w:pStyle w:val="ListBullet"/>
      </w:pPr>
      <w:r>
        <w:rPr>
          <w:b w:val="0"/>
          <w:i w:val="0"/>
        </w:rPr>
        <w:t>Fujimoto, S., Meger, D., &amp; Precup, D. (2019). Off-policy deep reinforcement</w:t>
        <w:br/>
        <w:t xml:space="preserve">  learning without exploration. ICML, PMLR 97, 2052–2062.</w:t>
      </w:r>
    </w:p>
    <w:p>
      <w:pPr>
        <w:pStyle w:val="ListBullet"/>
      </w:pPr>
      <w:r>
        <w:rPr>
          <w:b w:val="0"/>
          <w:i w:val="0"/>
        </w:rPr>
        <w:t>Henderson, P., Islam, R., Bachman, P., Pineau, J., Precup, D., &amp; Meger, D.</w:t>
        <w:br/>
        <w:t xml:space="preserve">  (2018). Deep reinforcement learning that matters. AAAI.</w:t>
      </w:r>
    </w:p>
    <w:p>
      <w:pPr>
        <w:pStyle w:val="ListBullet"/>
      </w:pPr>
      <w:r>
        <w:rPr>
          <w:b w:val="0"/>
          <w:i w:val="0"/>
        </w:rPr>
        <w:t>Janner, M., Li, Q., &amp; Levine, S. (2021). Offline reinforcement learning as</w:t>
        <w:br/>
        <w:t xml:space="preserve">  one big sequence modeling problem. Advances in Neural Information Processing</w:t>
        <w:br/>
        <w:t xml:space="preserve">  Systems, 34.</w:t>
      </w:r>
    </w:p>
    <w:p>
      <w:pPr>
        <w:pStyle w:val="ListBullet"/>
      </w:pPr>
      <w:r>
        <w:rPr>
          <w:b w:val="0"/>
          <w:i w:val="0"/>
        </w:rPr>
        <w:t>Jiang, Z., Xu, D., &amp; Liang, J. (2017). A deep reinforcement learning</w:t>
        <w:br/>
        <w:t xml:space="preserve">  framework for the financial portfolio management problem. arXiv:1706.10059.</w:t>
      </w:r>
    </w:p>
    <w:p>
      <w:pPr>
        <w:pStyle w:val="ListBullet"/>
      </w:pPr>
      <w:r>
        <w:rPr>
          <w:b w:val="0"/>
          <w:i w:val="0"/>
        </w:rPr>
        <w:t>Kornblith, S., Norouzi, M., Lee, H., &amp; Hinton, G. (2019). Similarity of</w:t>
        <w:br/>
        <w:t xml:space="preserve">  neural network representations revisited. ICML, PMLR 97, 3519–3529.</w:t>
      </w:r>
    </w:p>
    <w:p>
      <w:pPr>
        <w:pStyle w:val="ListBullet"/>
      </w:pPr>
      <w:r>
        <w:rPr>
          <w:b w:val="0"/>
          <w:i w:val="0"/>
        </w:rPr>
        <w:t>Kostrikov, I., Nair, A., &amp; Levine, S. (2022). Offline reinforcement learning</w:t>
        <w:br/>
        <w:t xml:space="preserve">  with implicit Q-learning. ICLR.</w:t>
      </w:r>
    </w:p>
    <w:p>
      <w:pPr>
        <w:pStyle w:val="ListBullet"/>
      </w:pPr>
      <w:r>
        <w:rPr>
          <w:b w:val="0"/>
          <w:i w:val="0"/>
        </w:rPr>
        <w:t>Kumar, A., Zhou, A., Tucker, G., &amp; Levine, S. (2020). Conservative Q-learning</w:t>
        <w:br/>
        <w:t xml:space="preserve">  for offline reinforcement learning. Advances in Neural Information Processing</w:t>
        <w:br/>
        <w:t xml:space="preserve">  Systems, 33.</w:t>
      </w:r>
    </w:p>
    <w:p>
      <w:pPr>
        <w:pStyle w:val="ListBullet"/>
      </w:pPr>
      <w:r>
        <w:rPr>
          <w:b w:val="0"/>
          <w:i w:val="0"/>
        </w:rPr>
        <w:t>Levine, S., Kumar, A., Tucker, G., &amp; Fu, J. (2020). Offline reinforcement</w:t>
        <w:br/>
        <w:t xml:space="preserve">  learning: tutorial, review, and perspectives on open problems.</w:t>
        <w:br/>
        <w:t xml:space="preserve">  arXiv:2005.01643.</w:t>
      </w:r>
    </w:p>
    <w:p>
      <w:pPr>
        <w:pStyle w:val="ListBullet"/>
      </w:pPr>
      <w:r>
        <w:rPr>
          <w:b w:val="0"/>
          <w:i w:val="0"/>
        </w:rPr>
        <w:t>Mnih, V., Badia, A. P., Mirza, M., Graves, A., Lillicrap, T., Harley, T.,</w:t>
        <w:br/>
        <w:t xml:space="preserve">  Silver, D., &amp; Kavukcuoglu, K. (2016). Asynchronous methods for deep</w:t>
        <w:br/>
        <w:t xml:space="preserve">  reinforcement learning. ICML.</w:t>
      </w:r>
    </w:p>
    <w:p>
      <w:pPr>
        <w:pStyle w:val="ListBullet"/>
      </w:pPr>
      <w:r>
        <w:rPr>
          <w:b w:val="0"/>
          <w:i w:val="0"/>
        </w:rPr>
        <w:t>Moody, J., &amp; Saffell, M. (2001). Learning to trade via direct reinforcement.</w:t>
        <w:br/>
        <w:t xml:space="preserve">  IEEE Transactions on Neural Networks, 12(4), 875–889.</w:t>
      </w:r>
    </w:p>
    <w:p>
      <w:pPr>
        <w:pStyle w:val="ListBullet"/>
      </w:pPr>
      <w:r>
        <w:rPr>
          <w:b w:val="0"/>
          <w:i w:val="0"/>
        </w:rPr>
        <w:t>Pomerleau, D. A. (1991). Efficient training of artificial neural networks for</w:t>
        <w:br/>
        <w:t xml:space="preserve">  autonomous navigation. Neural Computation, 3(1), 88–97.</w:t>
      </w:r>
    </w:p>
    <w:p>
      <w:pPr>
        <w:pStyle w:val="ListBullet"/>
      </w:pPr>
      <w:r>
        <w:rPr>
          <w:b w:val="0"/>
          <w:i w:val="0"/>
        </w:rPr>
        <w:t>Roy, O., &amp; Vetterli, M. (2007). The effective rank: a measure of effective</w:t>
        <w:br/>
        <w:t xml:space="preserve">  dimensionality. EUSIPCO.</w:t>
      </w:r>
    </w:p>
    <w:p>
      <w:pPr>
        <w:pStyle w:val="ListBullet"/>
      </w:pPr>
      <w:r>
        <w:rPr>
          <w:b w:val="0"/>
          <w:i w:val="0"/>
        </w:rPr>
        <w:t>van den Oord, A., Li, Y., &amp; Vinyals, O. (2018). Representation learning with</w:t>
        <w:br/>
        <w:t xml:space="preserve">  contrastive predictive coding. arXiv:1807.03748.</w:t>
      </w:r>
    </w:p>
    <w:p>
      <w:r>
        <w:rPr>
          <w:b w:val="0"/>
          <w:i w:val="0"/>
        </w:rPr>
        <w:t>Quantitative finance, statistics, and regime references:</w:t>
      </w:r>
    </w:p>
    <w:p>
      <w:pPr>
        <w:pStyle w:val="ListBullet"/>
      </w:pPr>
      <w:r>
        <w:rPr>
          <w:b w:val="0"/>
          <w:i w:val="0"/>
        </w:rPr>
        <w:t>Ang, A., &amp; Bekaert, G. (2002). International asset allocation with regime</w:t>
        <w:br/>
        <w:t xml:space="preserve">  shifts. The Review of Financial Studies, 15(4), 1137–1187.</w:t>
      </w:r>
    </w:p>
    <w:p>
      <w:pPr>
        <w:pStyle w:val="ListBullet"/>
      </w:pPr>
      <w:r>
        <w:rPr>
          <w:b w:val="0"/>
          <w:i w:val="0"/>
        </w:rPr>
        <w:t>Bailey, D. H., &amp; López de Prado, M. (2014). The deflated Sharpe ratio:</w:t>
        <w:br/>
        <w:t xml:space="preserve">  correcting for selection bias, backtest overfitting, and non-normality. The</w:t>
        <w:br/>
        <w:t xml:space="preserve">  Journal of Portfolio Management, 40(5), 94–107.</w:t>
      </w:r>
    </w:p>
    <w:p>
      <w:pPr>
        <w:pStyle w:val="ListBullet"/>
      </w:pPr>
      <w:r>
        <w:rPr>
          <w:b w:val="0"/>
          <w:i w:val="0"/>
        </w:rPr>
        <w:t>Bollen, N. P. B., &amp; Whaley, R. E. (2004). Does net buying pressure affect the</w:t>
        <w:br/>
        <w:t xml:space="preserve">  shape of implied volatility functions? The Journal of Finance, 59(2), 711–753.</w:t>
      </w:r>
    </w:p>
    <w:p>
      <w:pPr>
        <w:pStyle w:val="ListBullet"/>
      </w:pPr>
      <w:r>
        <w:rPr>
          <w:b w:val="0"/>
          <w:i w:val="0"/>
        </w:rPr>
        <w:t>Fama, E. F., &amp; French, K. R. (1993). Common risk factors in the returns on</w:t>
        <w:br/>
        <w:t xml:space="preserve">  stocks and bonds. Journal of Financial Economics, 33(1), 3–56.</w:t>
      </w:r>
    </w:p>
    <w:p>
      <w:pPr>
        <w:pStyle w:val="ListBullet"/>
      </w:pPr>
      <w:r>
        <w:rPr>
          <w:b w:val="0"/>
          <w:i w:val="0"/>
        </w:rPr>
        <w:t>Hamilton, J. D. (1989). A new approach to the economic analysis of</w:t>
        <w:br/>
        <w:t xml:space="preserve">  nonstationary time series and the business cycle. Econometrica, 57(2),</w:t>
        <w:br/>
        <w:t xml:space="preserve">  357–384.</w:t>
      </w:r>
    </w:p>
    <w:p>
      <w:pPr>
        <w:pStyle w:val="ListBullet"/>
      </w:pPr>
      <w:r>
        <w:rPr>
          <w:b w:val="0"/>
          <w:i w:val="0"/>
        </w:rPr>
        <w:t>Liu, W., Wang, X., Owens, J., &amp; Li, Y. (2020). Energy-based</w:t>
        <w:br/>
        <w:t xml:space="preserve">  out-of-distribution detection. Advances in Neural Information Processing</w:t>
        <w:br/>
        <w:t xml:space="preserve">  Systems, 33, 21464–21475.</w:t>
      </w:r>
    </w:p>
    <w:p>
      <w:pPr>
        <w:pStyle w:val="ListBullet"/>
      </w:pPr>
      <w:r>
        <w:rPr>
          <w:b w:val="0"/>
          <w:i w:val="0"/>
        </w:rPr>
        <w:t>Lo, A. W. (2002). The statistics of Sharpe ratios. Financial Analysts</w:t>
        <w:br/>
        <w:t xml:space="preserve">  Journal, 58(4), 36–52.</w:t>
      </w:r>
    </w:p>
    <w:p>
      <w:pPr>
        <w:pStyle w:val="ListBullet"/>
      </w:pPr>
      <w:r>
        <w:rPr>
          <w:b w:val="0"/>
          <w:i w:val="0"/>
        </w:rPr>
        <w:t>Markowitz, H. (1952). Portfolio selection. The Journal of Finance, 7(1),</w:t>
        <w:br/>
        <w:t xml:space="preserve">  77–91.</w:t>
      </w:r>
    </w:p>
    <w:p>
      <w:pPr>
        <w:pStyle w:val="ListBullet"/>
      </w:pPr>
      <w:r>
        <w:rPr>
          <w:b w:val="0"/>
          <w:i w:val="0"/>
        </w:rPr>
        <w:t>Zhang, Z., Zohren, S., &amp; Roberts, S. (2020). Deep reinforcement learning for</w:t>
        <w:br/>
        <w:t xml:space="preserve">  trading. The Journal of Financial Data Science, 2(2), 25–40. (overview;</w:t>
        <w:br/>
        <w:t xml:space="preserve">  positioning)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