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5394"/>
          <w:sz w:val="34"/>
          <w:szCs w:val="34"/>
        </w:rPr>
        <w:t xml:space="preserve">Agentic Demand Forecasting &amp; Forecast Exception Management</w:t>
      </w:r>
    </w:p>
    <w:p>
      <w:pPr>
        <w:spacing w:after="40"/>
      </w:pPr>
      <w:r>
        <w:rPr>
          <w:rFonts w:ascii="Calibri" w:cs="Calibri" w:eastAsia="Calibri" w:hAnsi="Calibri"/>
          <w:color w:val="5A6B7B"/>
          <w:sz w:val="20"/>
          <w:szCs w:val="20"/>
        </w:rPr>
        <w:t xml:space="preserve">Design note  ·  AI for Managers (MBAEx, Term IV)  ·  IIM Calcutta  ·  8 October 2026</w:t>
      </w:r>
    </w:p>
    <w:p>
      <w:pPr>
        <w:spacing w:after="80" w:line="264"/>
      </w:pPr>
      <w:r>
        <w:rPr>
          <w:rFonts w:ascii="Calibri" w:cs="Calibri" w:eastAsia="Calibri" w:hAnsi="Calibri"/>
          <w:sz w:val="20"/>
          <w:szCs w:val="20"/>
        </w:rPr>
        <w:t xml:space="preserve">Group </w:t>
      </w:r>
      <w:r>
        <w:rPr>
          <w:rFonts w:ascii="Calibri" w:cs="Calibri" w:eastAsia="Calibri" w:hAnsi="Calibri"/>
          <w:b/>
          <w:bCs/>
          <w:sz w:val="20"/>
          <w:szCs w:val="20"/>
          <w:highlight w:val="yellow"/>
          <w:highlightCs w:val="yellow"/>
        </w:rPr>
        <w:t xml:space="preserve">[FILL: group no.]</w:t>
      </w:r>
      <w:r>
        <w:rPr>
          <w:rFonts w:ascii="Calibri" w:cs="Calibri" w:eastAsia="Calibri" w:hAnsi="Calibri"/>
          <w:sz w:val="20"/>
          <w:szCs w:val="20"/>
        </w:rPr>
        <w:t xml:space="preserve">  ·  Members: </w:t>
      </w:r>
      <w:r>
        <w:rPr>
          <w:rFonts w:ascii="Calibri" w:cs="Calibri" w:eastAsia="Calibri" w:hAnsi="Calibri"/>
          <w:b/>
          <w:bCs/>
          <w:sz w:val="20"/>
          <w:szCs w:val="20"/>
          <w:highlight w:val="yellow"/>
          <w:highlightCs w:val="yellow"/>
        </w:rPr>
        <w:t xml:space="preserve">[FILL: names and roll numbers]</w:t>
      </w:r>
    </w:p>
    <w:p>
      <w:pPr>
        <w:pBdr>
          <w:bottom w:val="single" w:color="0B5394" w:sz="6" w:space="4"/>
        </w:pBdr>
        <w:spacing w:after="120"/>
      </w:pPr>
      <w:r>
        <w:rPr>
          <w:rFonts w:ascii="Calibri" w:cs="Calibri" w:eastAsia="Calibri" w:hAnsi="Calibri"/>
          <w:sz w:val="20"/>
          <w:szCs w:val="20"/>
        </w:rPr>
        <w:t xml:space="preserve">System: agentic workflow track (Session 7) — four CrewAI agents, seven tools, one human approval step.  Repository: </w:t>
      </w:r>
      <w:r>
        <w:rPr>
          <w:rFonts w:ascii="Calibri" w:cs="Calibri" w:eastAsia="Calibri" w:hAnsi="Calibri"/>
          <w:b/>
          <w:bCs/>
          <w:sz w:val="20"/>
          <w:szCs w:val="20"/>
          <w:highlight w:val="yellow"/>
          <w:highlightCs w:val="yellow"/>
        </w:rPr>
        <w:t xml:space="preserve">[FILL: GitHub URL]</w:t>
      </w:r>
      <w:r>
        <w:rPr>
          <w:rFonts w:ascii="Calibri" w:cs="Calibri" w:eastAsia="Calibri" w:hAnsi="Calibri"/>
          <w:sz w:val="20"/>
          <w:szCs w:val="20"/>
        </w:rPr>
        <w:t xml:space="preserve">  ·  App: </w:t>
      </w:r>
      <w:r>
        <w:rPr>
          <w:rFonts w:ascii="Calibri" w:cs="Calibri" w:eastAsia="Calibri" w:hAnsi="Calibri"/>
          <w:b/>
          <w:bCs/>
          <w:sz w:val="20"/>
          <w:szCs w:val="20"/>
          <w:highlight w:val="yellow"/>
          <w:highlightCs w:val="yellow"/>
        </w:rPr>
        <w:t xml:space="preserve">[FILL: Streamlit URL]</w:t>
      </w:r>
      <w:r>
        <w:rPr>
          <w:rFonts w:ascii="Calibri" w:cs="Calibri" w:eastAsia="Calibri" w:hAnsi="Calibri"/>
          <w:sz w:val="20"/>
          <w:szCs w:val="20"/>
        </w:rPr>
        <w:t xml:space="preserve">  ·  Notebook: notebooks/run_in_colab.ipynb</w:t>
      </w:r>
    </w:p>
    <w:p>
      <w:pPr>
        <w:pStyle w:val="Heading1"/>
        <w:spacing w:after="80" w:before="200"/>
      </w:pPr>
      <w:r>
        <w:rPr>
          <w:rFonts w:ascii="Calibri" w:cs="Calibri" w:eastAsia="Calibri" w:hAnsi="Calibri"/>
          <w:b/>
          <w:bCs/>
          <w:color w:val="0B5394"/>
          <w:sz w:val="26"/>
          <w:szCs w:val="26"/>
        </w:rPr>
        <w:t xml:space="preserve">1. The problem, and whose problem it is</w:t>
      </w:r>
    </w:p>
    <w:p>
      <w:pPr>
        <w:spacing w:after="80" w:line="264"/>
      </w:pPr>
      <w:r>
        <w:rPr>
          <w:rFonts w:ascii="Calibri" w:cs="Calibri" w:eastAsia="Calibri" w:hAnsi="Calibri"/>
          <w:sz w:val="20"/>
          <w:szCs w:val="20"/>
        </w:rPr>
        <w:t xml:space="preserve">Every week a demand planner at an FMCG company reviews forecast exceptions across thousands of Item-Week-Locations (IWLs). Exception reports usually fire on one error threshold, so the review queue is dominated by noise: intermittent items that will always miss, one-off promotions, pack-size mix shifts that net to zero at SKU level. The real problems — a listing gain, a competitor launch, a confirmed future promotion — sit in the same queue, and each one has to be explained by reading trade notes and emails before the forecast is changed.</w:t>
      </w:r>
    </w:p>
    <w:p>
      <w:pPr>
        <w:spacing w:after="80" w:line="264"/>
      </w:pPr>
      <w:r>
        <w:rPr>
          <w:rFonts w:ascii="Calibri" w:cs="Calibri" w:eastAsia="Calibri" w:hAnsi="Calibri"/>
          <w:b/>
          <w:bCs/>
          <w:sz w:val="20"/>
          <w:szCs w:val="20"/>
        </w:rPr>
        <w:t xml:space="preserve">Whose problem.</w:t>
      </w:r>
      <w:r>
        <w:rPr>
          <w:rFonts w:ascii="Calibri" w:cs="Calibri" w:eastAsia="Calibri" w:hAnsi="Calibri"/>
          <w:sz w:val="20"/>
          <w:szCs w:val="20"/>
        </w:rPr>
        <w:t xml:space="preserve"> The demand planner (the user, who reviews and approves) and the demand planning lead (accountable for forecast accuracy and bias). The cost of a wrong call is asymmetric: over-forecasting short-shelf-life snacks creates waste; under-forecasting an A-class item loses service level.</w:t>
      </w:r>
    </w:p>
    <w:p>
      <w:pPr>
        <w:spacing w:after="80" w:line="264"/>
      </w:pPr>
      <w:r>
        <w:rPr>
          <w:rFonts w:ascii="Calibri" w:cs="Calibri" w:eastAsia="Calibri" w:hAnsi="Calibri"/>
          <w:b/>
          <w:bCs/>
          <w:sz w:val="20"/>
          <w:szCs w:val="20"/>
        </w:rPr>
        <w:t xml:space="preserve">What the system does.</w:t>
      </w:r>
      <w:r>
        <w:rPr>
          <w:rFonts w:ascii="Calibri" w:cs="Calibri" w:eastAsia="Calibri" w:hAnsi="Calibri"/>
          <w:sz w:val="20"/>
          <w:szCs w:val="20"/>
        </w:rPr>
        <w:t xml:space="preserve"> Demand Data → Forecast → Detect Exception → Investigate → Reforecast → Recommend → Human Approval. A Demand Analyst agent profiles the data; a Forecasting agent produces the statistical baseline; a Forecast Diagnosis agent triages all 40 IWLs through four lenses (Forecastability, Business Criticality, Current Risk, Persistence) into four treatment buckets and investigates the non-Low-Touch ones against commercial event notes; a Planning Recommendation agent proposes one reforecast per IWL. Nothing changes until a planner approves, edits or rejects each proposal.</w:t>
      </w:r>
    </w:p>
    <w:p>
      <w:pPr>
        <w:spacing w:after="80" w:line="264"/>
      </w:pPr>
      <w:r>
        <w:rPr>
          <w:rFonts w:ascii="Calibri" w:cs="Calibri" w:eastAsia="Calibri" w:hAnsi="Calibri"/>
          <w:b/>
          <w:bCs/>
          <w:sz w:val="20"/>
          <w:szCs w:val="20"/>
        </w:rPr>
        <w:t xml:space="preserve">Why an agent at all, and why a sequential one.</w:t>
      </w:r>
      <w:r>
        <w:rPr>
          <w:rFonts w:ascii="Calibri" w:cs="Calibri" w:eastAsia="Calibri" w:hAnsi="Calibri"/>
          <w:sz w:val="20"/>
          <w:szCs w:val="20"/>
        </w:rPr>
        <w:t xml:space="preserve"> Steps 1–2 are the same every week and could be a script. The investigation is not: which notes to search, whether a note applies to this location and these weeks, and whether a later note cancelled it depend on the input. That judgement is what we delegate. We still fixed the plan in code (Process.sequential, not hierarchical) because forecast errors cost money and need an audit trail — the build-or-workflow test from Session 7.</w:t>
      </w:r>
    </w:p>
    <w:p>
      <w:pPr>
        <w:spacing w:after="80" w:line="264"/>
      </w:pPr>
      <w:r>
        <w:rPr>
          <w:rFonts w:ascii="Calibri" w:cs="Calibri" w:eastAsia="Calibri" w:hAnsi="Calibri"/>
          <w:b/>
          <w:bCs/>
          <w:sz w:val="20"/>
          <w:szCs w:val="20"/>
        </w:rPr>
        <w:t xml:space="preserve">Scope.</w:t>
      </w:r>
      <w:r>
        <w:rPr>
          <w:rFonts w:ascii="Calibri" w:cs="Calibri" w:eastAsia="Calibri" w:hAnsi="Calibri"/>
          <w:sz w:val="20"/>
          <w:szCs w:val="20"/>
        </w:rPr>
        <w:t xml:space="preserve"> One planning cycle, 40 IWLs (10 items × 4 distribution centres), weekly buckets, 12-week horizon. Out of scope: replacing the statistical forecasting engine, publishing forecasts automatically, and any real company data.</w:t>
      </w:r>
    </w:p>
    <w:p>
      <w:pPr>
        <w:pStyle w:val="Heading1"/>
        <w:spacing w:after="80" w:before="200"/>
      </w:pPr>
      <w:r>
        <w:rPr>
          <w:rFonts w:ascii="Calibri" w:cs="Calibri" w:eastAsia="Calibri" w:hAnsi="Calibri"/>
          <w:b/>
          <w:bCs/>
          <w:color w:val="0B5394"/>
          <w:sz w:val="26"/>
          <w:szCs w:val="26"/>
        </w:rPr>
        <w:t xml:space="preserve">2. Architecture</w:t>
      </w:r>
    </w:p>
    <w:p>
      <w:pPr>
        <w:spacing w:after="40"/>
        <w:jc w:val="center"/>
      </w:pPr>
      <w:r>
        <w:drawing>
          <wp:inline distT="0" distB="0" distL="0" distR="0">
            <wp:extent cx="6096000" cy="1905000"/>
            <wp:effectExtent t="0" r="0" b="0" l="0"/>
            <wp:docPr id="1" name="arch" descr="Four-agent sequential crew with deterministic engine and human approval"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905000"/>
                    </a:xfrm>
                    <a:prstGeom prst="rect">
                      <a:avLst/>
                    </a:prstGeom>
                  </pic:spPr>
                </pic:pic>
              </a:graphicData>
            </a:graphic>
          </wp:inline>
        </w:drawing>
      </w:r>
    </w:p>
    <w:p>
      <w:pPr>
        <w:spacing w:after="80" w:line="264"/>
        <w:jc w:val="center"/>
      </w:pPr>
      <w:r>
        <w:rPr>
          <w:rFonts w:ascii="Calibri" w:cs="Calibri" w:eastAsia="Calibri" w:hAnsi="Calibri"/>
          <w:i/>
          <w:iCs/>
          <w:color w:val="5A6B7B"/>
          <w:sz w:val="18"/>
          <w:szCs w:val="18"/>
        </w:rPr>
        <w:t xml:space="preserve">Figure 1. Four agents in a fixed sequence; every number comes from the deterministic engine through a logged tool call; the model's output is a proposal that only a human can apply.</w:t>
      </w:r>
    </w:p>
    <w:p>
      <w:pPr>
        <w:pStyle w:val="ListParagraph"/>
        <w:numPr>
          <w:ilvl w:val="0"/>
          <w:numId w:val="2"/>
        </w:numPr>
        <w:spacing w:after="40" w:line="252"/>
      </w:pPr>
      <w:r>
        <w:rPr>
          <w:rFonts w:ascii="Calibri" w:cs="Calibri" w:eastAsia="Calibri" w:hAnsi="Calibri"/>
          <w:b/>
          <w:bCs/>
          <w:sz w:val="20"/>
          <w:szCs w:val="20"/>
        </w:rPr>
        <w:t xml:space="preserve">Numbers come from tools, judgement from the model.</w:t>
      </w:r>
      <w:r>
        <w:rPr>
          <w:rFonts w:ascii="Calibri" w:cs="Calibri" w:eastAsia="Calibri" w:hAnsi="Calibri"/>
          <w:sz w:val="20"/>
          <w:szCs w:val="20"/>
        </w:rPr>
        <w:t xml:space="preserve"> KPIs, lens scores, buckets, forecasts and reforecasts are deterministic Python. The LLM chooses which tool to call, reads the evidence, names the cause and the action.</w:t>
      </w:r>
    </w:p>
    <w:p>
      <w:pPr>
        <w:pStyle w:val="ListParagraph"/>
        <w:numPr>
          <w:ilvl w:val="0"/>
          <w:numId w:val="2"/>
        </w:numPr>
        <w:spacing w:after="40" w:line="252"/>
      </w:pPr>
      <w:r>
        <w:rPr>
          <w:rFonts w:ascii="Calibri" w:cs="Calibri" w:eastAsia="Calibri" w:hAnsi="Calibri"/>
          <w:b/>
          <w:bCs/>
          <w:sz w:val="20"/>
          <w:szCs w:val="20"/>
        </w:rPr>
        <w:t xml:space="preserve">Narrow tools.</w:t>
      </w:r>
      <w:r>
        <w:rPr>
          <w:rFonts w:ascii="Calibri" w:cs="Calibri" w:eastAsia="Calibri" w:hAnsi="Calibri"/>
          <w:sz w:val="20"/>
          <w:szCs w:val="20"/>
        </w:rPr>
        <w:t xml:space="preserve"> Seven tools; reforecasting accepts six named methods with bounded parameters (e.g. relevel over 3–26 weeks). The docstrings are written as prompts and warn that search ranks by similarity only.</w:t>
      </w:r>
    </w:p>
    <w:p>
      <w:pPr>
        <w:pStyle w:val="ListParagraph"/>
        <w:numPr>
          <w:ilvl w:val="0"/>
          <w:numId w:val="2"/>
        </w:numPr>
        <w:spacing w:after="40" w:line="252"/>
      </w:pPr>
      <w:r>
        <w:rPr>
          <w:rFonts w:ascii="Calibri" w:cs="Calibri" w:eastAsia="Calibri" w:hAnsi="Calibri"/>
          <w:b/>
          <w:bCs/>
          <w:sz w:val="20"/>
          <w:szCs w:val="20"/>
        </w:rPr>
        <w:t xml:space="preserve">Structured output, checked content.</w:t>
      </w:r>
      <w:r>
        <w:rPr>
          <w:rFonts w:ascii="Calibri" w:cs="Calibri" w:eastAsia="Calibri" w:hAnsi="Calibri"/>
          <w:sz w:val="20"/>
          <w:szCs w:val="20"/>
        </w:rPr>
        <w:t xml:space="preserve"> Agents 3 and 4 must return pydantic schemas with an evidence field. The schema cannot make a citation true, so evaluation checks every cited note against the tool log.</w:t>
      </w:r>
    </w:p>
    <w:p>
      <w:pPr>
        <w:pStyle w:val="ListParagraph"/>
        <w:numPr>
          <w:ilvl w:val="0"/>
          <w:numId w:val="2"/>
        </w:numPr>
        <w:spacing w:after="40" w:line="252"/>
      </w:pPr>
      <w:r>
        <w:rPr>
          <w:rFonts w:ascii="Calibri" w:cs="Calibri" w:eastAsia="Calibri" w:hAnsi="Calibri"/>
          <w:b/>
          <w:bCs/>
          <w:sz w:val="20"/>
          <w:szCs w:val="20"/>
        </w:rPr>
        <w:t xml:space="preserve">Two engines.</w:t>
      </w:r>
      <w:r>
        <w:rPr>
          <w:rFonts w:ascii="Calibri" w:cs="Calibri" w:eastAsia="Calibri" w:hAnsi="Calibri"/>
          <w:sz w:val="20"/>
          <w:szCs w:val="20"/>
        </w:rPr>
        <w:t xml:space="preserve"> The same tools run without an LLM as a rule-based baseline — the comparison point, and a fallback when the free-tier quota runs out.</w:t>
      </w:r>
    </w:p>
    <w:p>
      <w:pPr>
        <w:pStyle w:val="Heading1"/>
        <w:spacing w:after="80" w:before="200"/>
      </w:pPr>
      <w:r>
        <w:rPr>
          <w:rFonts w:ascii="Calibri" w:cs="Calibri" w:eastAsia="Calibri" w:hAnsi="Calibri"/>
          <w:b/>
          <w:bCs/>
          <w:color w:val="0B5394"/>
          <w:sz w:val="26"/>
          <w:szCs w:val="26"/>
        </w:rPr>
        <w:t xml:space="preserve">3. Data</w:t>
      </w:r>
    </w:p>
    <w:p>
      <w:pPr>
        <w:spacing w:after="80" w:line="264"/>
      </w:pPr>
      <w:r>
        <w:rPr>
          <w:rFonts w:ascii="Calibri" w:cs="Calibri" w:eastAsia="Calibri" w:hAnsi="Calibri"/>
          <w:sz w:val="20"/>
          <w:szCs w:val="20"/>
        </w:rPr>
        <w:t xml:space="preserve">All data is synthetic, for two reasons: real planning data is confidential (and personal-data rules under the DPDP Act 2023 apply to anything sent to a third-party model), and evaluation needs a ground truth that real data does not have. The company, Kaveri Foods Pvt Ltd, is fictional.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46"/>
        <w:gridCol w:w="3100"/>
      </w:tblGrid>
      <w:tr>
        <w:trPr>
          <w:tblHeader/>
        </w:trPr>
        <w:tc>
          <w:tcPr>
            <w:tcW w:type="dxa" w:w="2300"/>
            <w:tcBorders>
              <w:top w:val="single" w:color="B7C3CF" w:sz="4"/>
              <w:left w:val="single" w:color="B7C3CF" w:sz="4"/>
              <w:bottom w:val="single" w:color="B7C3CF" w:sz="4"/>
              <w:right w:val="single" w:color="B7C3CF" w:sz="4"/>
            </w:tcBorders>
            <w:shd w:fill="0B5394"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Dataset</w:t>
            </w:r>
          </w:p>
        </w:tc>
        <w:tc>
          <w:tcPr>
            <w:tcW w:type="dxa" w:w="4346"/>
            <w:tcBorders>
              <w:top w:val="single" w:color="B7C3CF" w:sz="4"/>
              <w:left w:val="single" w:color="B7C3CF" w:sz="4"/>
              <w:bottom w:val="single" w:color="B7C3CF" w:sz="4"/>
              <w:right w:val="single" w:color="B7C3CF" w:sz="4"/>
            </w:tcBorders>
            <w:shd w:fill="0B5394"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Contents</w:t>
            </w:r>
          </w:p>
        </w:tc>
        <w:tc>
          <w:tcPr>
            <w:tcW w:type="dxa" w:w="3100"/>
            <w:tcBorders>
              <w:top w:val="single" w:color="B7C3CF" w:sz="4"/>
              <w:left w:val="single" w:color="B7C3CF" w:sz="4"/>
              <w:bottom w:val="single" w:color="B7C3CF" w:sz="4"/>
              <w:right w:val="single" w:color="B7C3CF" w:sz="4"/>
            </w:tcBorders>
            <w:shd w:fill="0B5394"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Seen by</w:t>
            </w:r>
          </w:p>
        </w:tc>
      </w:tr>
      <w:tr>
        <w:trPr>
          <w:tblHeader w:val="false"/>
        </w:trPr>
        <w:tc>
          <w:tcPr>
            <w:tcW w:type="dxa" w:w="23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demand_history.csv</w:t>
            </w:r>
          </w:p>
        </w:tc>
        <w:tc>
          <w:tcPr>
            <w:tcW w:type="dxa" w:w="43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40 IWLs × 104 weeks (Oct 2024 – Sep 2026), weekly shipments, category seasonality incl. festive peak</w:t>
            </w:r>
          </w:p>
        </w:tc>
        <w:tc>
          <w:tcPr>
            <w:tcW w:type="dxa" w:w="31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Agents, via tools</w:t>
            </w:r>
          </w:p>
        </w:tc>
      </w:tr>
      <w:tr>
        <w:trPr>
          <w:tblHeader w:val="false"/>
        </w:trPr>
        <w:tc>
          <w:tcPr>
            <w:tcW w:type="dxa" w:w="23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item_master.csv</w:t>
            </w:r>
          </w:p>
        </w:tc>
        <w:tc>
          <w:tcPr>
            <w:tcW w:type="dxa" w:w="4346"/>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10 items (5 SKUs × 2 packs): category, service class A/B/C, shelf life, price</w:t>
            </w:r>
          </w:p>
        </w:tc>
        <w:tc>
          <w:tcPr>
            <w:tcW w:type="dxa" w:w="31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Agents, via tools</w:t>
            </w:r>
          </w:p>
        </w:tc>
      </w:tr>
      <w:tr>
        <w:trPr>
          <w:tblHeader w:val="false"/>
        </w:trPr>
        <w:tc>
          <w:tcPr>
            <w:tcW w:type="dxa" w:w="23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event_notes.csv</w:t>
            </w:r>
          </w:p>
        </w:tc>
        <w:tc>
          <w:tcPr>
            <w:tcW w:type="dxa" w:w="43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20 commercial notes: promotions, listings, competitor moves, price, customer order patterns, supply — incl. distractors</w:t>
            </w:r>
          </w:p>
        </w:tc>
        <w:tc>
          <w:tcPr>
            <w:tcW w:type="dxa" w:w="31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Agent 3, via search</w:t>
            </w:r>
          </w:p>
        </w:tc>
      </w:tr>
      <w:tr>
        <w:trPr>
          <w:tblHeader w:val="false"/>
        </w:trPr>
        <w:tc>
          <w:tcPr>
            <w:tcW w:type="dxa" w:w="23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future_actuals.csv</w:t>
            </w:r>
          </w:p>
        </w:tc>
        <w:tc>
          <w:tcPr>
            <w:tcW w:type="dxa" w:w="4346"/>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Weeks 105–116</w:t>
            </w:r>
          </w:p>
        </w:tc>
        <w:tc>
          <w:tcPr>
            <w:tcW w:type="dxa" w:w="31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Evaluation only — never a tool</w:t>
            </w:r>
          </w:p>
        </w:tc>
      </w:tr>
      <w:tr>
        <w:trPr>
          <w:tblHeader w:val="false"/>
        </w:trPr>
        <w:tc>
          <w:tcPr>
            <w:tcW w:type="dxa" w:w="23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ground_truth.csv</w:t>
            </w:r>
          </w:p>
        </w:tc>
        <w:tc>
          <w:tcPr>
            <w:tcW w:type="dxa" w:w="43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Planted cause, expected bucket, explaining note and correct action per IWL</w:t>
            </w:r>
          </w:p>
        </w:tc>
        <w:tc>
          <w:tcPr>
            <w:tcW w:type="dxa" w:w="31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Evaluation only</w:t>
            </w:r>
          </w:p>
        </w:tc>
      </w:tr>
    </w:tbl>
    <w:p>
      <w:pPr>
        <w:spacing w:after="60"/>
      </w:pPr>
    </w:p>
    <w:p>
      <w:pPr>
        <w:spacing w:after="80" w:line="264"/>
      </w:pPr>
      <w:r>
        <w:rPr>
          <w:rFonts w:ascii="Calibri" w:cs="Calibri" w:eastAsia="Calibri" w:hAnsi="Calibri"/>
          <w:sz w:val="20"/>
          <w:szCs w:val="20"/>
        </w:rPr>
        <w:t xml:space="preserve">Fourteen IWLs carry a planted condition: level shifts up and down (one with no explaining note), a past promotion spike that leaked into the baseline, a confirmed future promotion, a promotion that was planned and then cancelled in a separate note that does not update the original, a pack-mix shift between 500g and 1kg after a price rise, a change in weekly order phasing, three intermittent items and a slow drift. The corpus deliberately reproduces the Session 6 failure modes: a superseded note that ranks above its cancellation, a note for the right item in the wrong city, a gap where no note exists, and a national article that looks relevant to everything.</w:t>
      </w:r>
    </w:p>
    <w:p>
      <w:pPr>
        <w:pStyle w:val="Heading1"/>
        <w:spacing w:after="80" w:before="200"/>
      </w:pPr>
      <w:r>
        <w:rPr>
          <w:rFonts w:ascii="Calibri" w:cs="Calibri" w:eastAsia="Calibri" w:hAnsi="Calibri"/>
          <w:b/>
          <w:bCs/>
          <w:color w:val="0B5394"/>
          <w:sz w:val="26"/>
          <w:szCs w:val="26"/>
        </w:rPr>
        <w:t xml:space="preserve">4. Evaluation approach</w:t>
      </w:r>
    </w:p>
    <w:p>
      <w:pPr>
        <w:spacing w:after="80" w:line="264"/>
      </w:pPr>
      <w:r>
        <w:rPr>
          <w:rFonts w:ascii="Calibri" w:cs="Calibri" w:eastAsia="Calibri" w:hAnsi="Calibri"/>
          <w:sz w:val="20"/>
          <w:szCs w:val="20"/>
        </w:rPr>
        <w:t xml:space="preserve">We measure four layers separately, because retrieval quality and answer quality are different things: a run can retrieve the right note and still cite the wrong one, or answer confidently where nothing was retrieved.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446"/>
        <w:gridCol w:w="3400"/>
      </w:tblGrid>
      <w:tr>
        <w:trPr>
          <w:tblHeader/>
        </w:trPr>
        <w:tc>
          <w:tcPr>
            <w:tcW w:type="dxa" w:w="1900"/>
            <w:tcBorders>
              <w:top w:val="single" w:color="B7C3CF" w:sz="4"/>
              <w:left w:val="single" w:color="B7C3CF" w:sz="4"/>
              <w:bottom w:val="single" w:color="B7C3CF" w:sz="4"/>
              <w:right w:val="single" w:color="B7C3CF" w:sz="4"/>
            </w:tcBorders>
            <w:shd w:fill="0B5394"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Layer</w:t>
            </w:r>
          </w:p>
        </w:tc>
        <w:tc>
          <w:tcPr>
            <w:tcW w:type="dxa" w:w="4446"/>
            <w:tcBorders>
              <w:top w:val="single" w:color="B7C3CF" w:sz="4"/>
              <w:left w:val="single" w:color="B7C3CF" w:sz="4"/>
              <w:bottom w:val="single" w:color="B7C3CF" w:sz="4"/>
              <w:right w:val="single" w:color="B7C3CF" w:sz="4"/>
            </w:tcBorders>
            <w:shd w:fill="0B5394"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How it is measured</w:t>
            </w:r>
          </w:p>
        </w:tc>
        <w:tc>
          <w:tcPr>
            <w:tcW w:type="dxa" w:w="3400"/>
            <w:tcBorders>
              <w:top w:val="single" w:color="B7C3CF" w:sz="4"/>
              <w:left w:val="single" w:color="B7C3CF" w:sz="4"/>
              <w:bottom w:val="single" w:color="B7C3CF" w:sz="4"/>
              <w:right w:val="single" w:color="B7C3CF" w:sz="4"/>
            </w:tcBorders>
            <w:shd w:fill="0B5394"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Result</w:t>
            </w:r>
          </w:p>
        </w:tc>
      </w:tr>
      <w:tr>
        <w:trPr>
          <w:tblHeader w:val="false"/>
        </w:trPr>
        <w:tc>
          <w:tcPr>
            <w:tcW w:type="dxa" w:w="19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1 Detection (no LLM)</w:t>
            </w:r>
          </w:p>
        </w:tc>
        <w:tc>
          <w:tcPr>
            <w:tcW w:type="dxa" w:w="44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Triage bucket vs planted exceptions on all 40 IWLs: recall, precision, bucket accuracy</w:t>
            </w:r>
          </w:p>
        </w:tc>
        <w:tc>
          <w:tcPr>
            <w:tcW w:type="dxa" w:w="34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Recall 100%, precision 86% (2 false positives), bucket accuracy 95%; review queue 14 of 40</w:t>
            </w:r>
          </w:p>
        </w:tc>
      </w:tr>
      <w:tr>
        <w:trPr>
          <w:tblHeader w:val="false"/>
        </w:trPr>
        <w:tc>
          <w:tcPr>
            <w:tcW w:type="dxa" w:w="19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2 Retrieval (no LLM)</w:t>
            </w:r>
          </w:p>
        </w:tc>
        <w:tc>
          <w:tcPr>
            <w:tcW w:type="dxa" w:w="4446"/>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One standard query per planted IWL (item, pack, city), k = 3: is the explaining note in the top 3? Is the top-1 hit misleading?</w:t>
            </w:r>
          </w:p>
        </w:tc>
        <w:tc>
          <w:tcPr>
            <w:tcW w:type="dxa" w:w="34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Hit@3 100% on the 10 IWLs that have a note — but the top hit is misleading for 7 of 14</w:t>
            </w:r>
          </w:p>
        </w:tc>
      </w:tr>
      <w:tr>
        <w:trPr>
          <w:tblHeader w:val="false"/>
        </w:trPr>
        <w:tc>
          <w:tcPr>
            <w:tcW w:type="dxa" w:w="19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3 Diagnosis (answer quality)</w:t>
            </w:r>
          </w:p>
        </w:tc>
        <w:tc>
          <w:tcPr>
            <w:tcW w:type="dxa" w:w="44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Cause accuracy; final-bucket accuracy; citation precision (cited note applies to that item, location, dates); citations never returned by a search in this run (tool log); invented note ids</w:t>
            </w:r>
          </w:p>
        </w:tc>
        <w:tc>
          <w:tcPr>
            <w:tcW w:type="dxa" w:w="34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Rules: cause 71%, citation precision 50%, 0 invented. Agents: </w:t>
            </w:r>
            <w:r>
              <w:rPr>
                <w:rFonts w:ascii="Calibri" w:cs="Calibri" w:eastAsia="Calibri" w:hAnsi="Calibri"/>
                <w:b/>
                <w:bCs/>
                <w:sz w:val="17"/>
                <w:szCs w:val="17"/>
                <w:highlight w:val="yellow"/>
                <w:highlightCs w:val="yellow"/>
              </w:rPr>
              <w:t xml:space="preserve">[FILL from app tab 6]</w:t>
            </w:r>
          </w:p>
        </w:tc>
      </w:tr>
      <w:tr>
        <w:trPr>
          <w:tblHeader w:val="false"/>
        </w:trPr>
        <w:tc>
          <w:tcPr>
            <w:tcW w:type="dxa" w:w="19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4 Outcome</w:t>
            </w:r>
          </w:p>
        </w:tc>
        <w:tc>
          <w:tcPr>
            <w:tcW w:type="dxa" w:w="4446"/>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WAPE on hidden W105–116, baseline vs reforecast: (a) all proposals auto-applied, (b) only human-approved; 4-week-bucket WAPE for noisy items</w:t>
            </w:r>
          </w:p>
        </w:tc>
        <w:tc>
          <w:tcPr>
            <w:tcW w:type="dxa" w:w="34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Rules: portfolio 10.1% → 8.8% auto-applied. Agents: </w:t>
            </w:r>
            <w:r>
              <w:rPr>
                <w:rFonts w:ascii="Calibri" w:cs="Calibri" w:eastAsia="Calibri" w:hAnsi="Calibri"/>
                <w:b/>
                <w:bCs/>
                <w:sz w:val="17"/>
                <w:szCs w:val="17"/>
                <w:highlight w:val="yellow"/>
                <w:highlightCs w:val="yellow"/>
              </w:rPr>
              <w:t xml:space="preserve">[FILL]</w:t>
            </w:r>
          </w:p>
        </w:tc>
      </w:tr>
    </w:tbl>
    <w:p>
      <w:pPr>
        <w:spacing w:after="60"/>
      </w:pPr>
    </w:p>
    <w:p>
      <w:pPr>
        <w:pStyle w:val="Heading2"/>
        <w:spacing w:after="60" w:before="120"/>
      </w:pPr>
      <w:r>
        <w:rPr>
          <w:rFonts w:ascii="Calibri" w:cs="Calibri" w:eastAsia="Calibri" w:hAnsi="Calibri"/>
          <w:b/>
          <w:bCs/>
          <w:color w:val="1F3A5F"/>
          <w:sz w:val="21"/>
          <w:szCs w:val="21"/>
        </w:rPr>
        <w:t xml:space="preserve">Agents vs rules (same tools, same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46"/>
        <w:gridCol w:w="2000"/>
        <w:gridCol w:w="2200"/>
        <w:gridCol w:w="2200"/>
      </w:tblGrid>
      <w:tr>
        <w:trPr>
          <w:tblHeader/>
        </w:trPr>
        <w:tc>
          <w:tcPr>
            <w:tcW w:type="dxa" w:w="3346"/>
            <w:tcBorders>
              <w:top w:val="single" w:color="B7C3CF" w:sz="4"/>
              <w:left w:val="single" w:color="B7C3CF" w:sz="4"/>
              <w:bottom w:val="single" w:color="B7C3CF" w:sz="4"/>
              <w:right w:val="single" w:color="B7C3CF" w:sz="4"/>
            </w:tcBorders>
            <w:shd w:fill="0B5394"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Measure</w:t>
            </w:r>
          </w:p>
        </w:tc>
        <w:tc>
          <w:tcPr>
            <w:tcW w:type="dxa" w:w="2000"/>
            <w:tcBorders>
              <w:top w:val="single" w:color="B7C3CF" w:sz="4"/>
              <w:left w:val="single" w:color="B7C3CF" w:sz="4"/>
              <w:bottom w:val="single" w:color="B7C3CF" w:sz="4"/>
              <w:right w:val="single" w:color="B7C3CF" w:sz="4"/>
            </w:tcBorders>
            <w:shd w:fill="0B5394"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Rule baseline</w:t>
            </w:r>
          </w:p>
        </w:tc>
        <w:tc>
          <w:tcPr>
            <w:tcW w:type="dxa" w:w="2200"/>
            <w:tcBorders>
              <w:top w:val="single" w:color="B7C3CF" w:sz="4"/>
              <w:left w:val="single" w:color="B7C3CF" w:sz="4"/>
              <w:bottom w:val="single" w:color="B7C3CF" w:sz="4"/>
              <w:right w:val="single" w:color="B7C3CF" w:sz="4"/>
            </w:tcBorders>
            <w:shd w:fill="0B5394"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Agents — run 1</w:t>
            </w:r>
          </w:p>
        </w:tc>
        <w:tc>
          <w:tcPr>
            <w:tcW w:type="dxa" w:w="2200"/>
            <w:tcBorders>
              <w:top w:val="single" w:color="B7C3CF" w:sz="4"/>
              <w:left w:val="single" w:color="B7C3CF" w:sz="4"/>
              <w:bottom w:val="single" w:color="B7C3CF" w:sz="4"/>
              <w:right w:val="single" w:color="B7C3CF" w:sz="4"/>
            </w:tcBorders>
            <w:shd w:fill="0B5394"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Agents — run 2</w:t>
            </w:r>
          </w:p>
        </w:tc>
      </w:tr>
      <w:tr>
        <w:trPr>
          <w:tblHeader w:val="false"/>
        </w:trPr>
        <w:tc>
          <w:tcPr>
            <w:tcW w:type="dxa" w:w="33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Cause accuracy (14 flagged IWLs)</w:t>
            </w:r>
          </w:p>
        </w:tc>
        <w:tc>
          <w:tcPr>
            <w:tcW w:type="dxa" w:w="20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71%</w:t>
            </w:r>
          </w:p>
        </w:tc>
        <w:tc>
          <w:tcPr>
            <w:tcW w:type="dxa" w:w="22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c>
          <w:tcPr>
            <w:tcW w:type="dxa" w:w="22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r>
      <w:tr>
        <w:trPr>
          <w:tblHeader w:val="false"/>
        </w:trPr>
        <w:tc>
          <w:tcPr>
            <w:tcW w:type="dxa" w:w="3346"/>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Final bucket accuracy (all 40)</w:t>
            </w:r>
          </w:p>
        </w:tc>
        <w:tc>
          <w:tcPr>
            <w:tcW w:type="dxa" w:w="20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95%</w:t>
            </w:r>
          </w:p>
        </w:tc>
        <w:tc>
          <w:tcPr>
            <w:tcW w:type="dxa" w:w="22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c>
          <w:tcPr>
            <w:tcW w:type="dxa" w:w="22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r>
      <w:tr>
        <w:trPr>
          <w:tblHeader w:val="false"/>
        </w:trPr>
        <w:tc>
          <w:tcPr>
            <w:tcW w:type="dxa" w:w="33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Citation precision</w:t>
            </w:r>
          </w:p>
        </w:tc>
        <w:tc>
          <w:tcPr>
            <w:tcW w:type="dxa" w:w="20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50%</w:t>
            </w:r>
          </w:p>
        </w:tc>
        <w:tc>
          <w:tcPr>
            <w:tcW w:type="dxa" w:w="22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c>
          <w:tcPr>
            <w:tcW w:type="dxa" w:w="22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r>
      <w:tr>
        <w:trPr>
          <w:tblHeader w:val="false"/>
        </w:trPr>
        <w:tc>
          <w:tcPr>
            <w:tcW w:type="dxa" w:w="3346"/>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Cited but never retrieved / invented ids</w:t>
            </w:r>
          </w:p>
        </w:tc>
        <w:tc>
          <w:tcPr>
            <w:tcW w:type="dxa" w:w="20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0 / 0</w:t>
            </w:r>
          </w:p>
        </w:tc>
        <w:tc>
          <w:tcPr>
            <w:tcW w:type="dxa" w:w="22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c>
          <w:tcPr>
            <w:tcW w:type="dxa" w:w="22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r>
      <w:tr>
        <w:trPr>
          <w:tblHeader w:val="false"/>
        </w:trPr>
        <w:tc>
          <w:tcPr>
            <w:tcW w:type="dxa" w:w="33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Cancelled Delhi promo (POP150-DEL) handled?</w:t>
            </w:r>
          </w:p>
        </w:tc>
        <w:tc>
          <w:tcPr>
            <w:tcW w:type="dxa" w:w="20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No — uplift applied, WAPE 5% → 20%</w:t>
            </w:r>
          </w:p>
        </w:tc>
        <w:tc>
          <w:tcPr>
            <w:tcW w:type="dxa" w:w="22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c>
          <w:tcPr>
            <w:tcW w:type="dxa" w:w="22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r>
      <w:tr>
        <w:trPr>
          <w:tblHeader w:val="false"/>
        </w:trPr>
        <w:tc>
          <w:tcPr>
            <w:tcW w:type="dxa" w:w="3346"/>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Gap (GRA12-MUM) reported as no evidence?</w:t>
            </w:r>
          </w:p>
        </w:tc>
        <w:tc>
          <w:tcPr>
            <w:tcW w:type="dxa" w:w="20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No — cited an old Delhi note</w:t>
            </w:r>
          </w:p>
        </w:tc>
        <w:tc>
          <w:tcPr>
            <w:tcW w:type="dxa" w:w="22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c>
          <w:tcPr>
            <w:tcW w:type="dxa" w:w="22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r>
      <w:tr>
        <w:trPr>
          <w:tblHeader w:val="false"/>
        </w:trPr>
        <w:tc>
          <w:tcPr>
            <w:tcW w:type="dxa" w:w="33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Portfolio WAPE, all proposals applied</w:t>
            </w:r>
          </w:p>
        </w:tc>
        <w:tc>
          <w:tcPr>
            <w:tcW w:type="dxa" w:w="20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10.1% → 8.8%</w:t>
            </w:r>
          </w:p>
        </w:tc>
        <w:tc>
          <w:tcPr>
            <w:tcW w:type="dxa" w:w="22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c>
          <w:tcPr>
            <w:tcW w:type="dxa" w:w="22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r>
      <w:tr>
        <w:trPr>
          <w:tblHeader w:val="false"/>
        </w:trPr>
        <w:tc>
          <w:tcPr>
            <w:tcW w:type="dxa" w:w="3346"/>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Portfolio WAPE, human-approved only</w:t>
            </w:r>
          </w:p>
        </w:tc>
        <w:tc>
          <w:tcPr>
            <w:tcW w:type="dxa" w:w="20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w:t>
            </w:r>
          </w:p>
        </w:tc>
        <w:tc>
          <w:tcPr>
            <w:tcW w:type="dxa" w:w="22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c>
          <w:tcPr>
            <w:tcW w:type="dxa" w:w="22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r>
      <w:tr>
        <w:trPr>
          <w:tblHeader w:val="false"/>
        </w:trPr>
        <w:tc>
          <w:tcPr>
            <w:tcW w:type="dxa" w:w="33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Runtime / model calls / tokens</w:t>
            </w:r>
          </w:p>
        </w:tc>
        <w:tc>
          <w:tcPr>
            <w:tcW w:type="dxa" w:w="20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0.2 s / 0 / 0</w:t>
            </w:r>
          </w:p>
        </w:tc>
        <w:tc>
          <w:tcPr>
            <w:tcW w:type="dxa" w:w="22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c>
          <w:tcPr>
            <w:tcW w:type="dxa" w:w="22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b/>
                <w:bCs/>
                <w:sz w:val="17"/>
                <w:szCs w:val="17"/>
                <w:highlight w:val="yellow"/>
                <w:highlightCs w:val="yellow"/>
              </w:rPr>
              <w:t xml:space="preserve">[FILL]</w:t>
            </w:r>
          </w:p>
        </w:tc>
      </w:tr>
    </w:tbl>
    <w:p>
      <w:pPr>
        <w:spacing w:after="60"/>
      </w:pPr>
    </w:p>
    <w:p>
      <w:pPr>
        <w:spacing w:after="80" w:line="264"/>
      </w:pPr>
      <w:r>
        <w:rPr>
          <w:rFonts w:ascii="Calibri" w:cs="Calibri" w:eastAsia="Calibri" w:hAnsi="Calibri"/>
          <w:sz w:val="20"/>
          <w:szCs w:val="20"/>
        </w:rPr>
        <w:t xml:space="preserve">Two runs because the agents are non-deterministic; differences between runs are themselves a finding. The rule baseline's numbers are reproducible (seed 42).</w:t>
      </w:r>
    </w:p>
    <w:p>
      <w:pPr>
        <w:pStyle w:val="Heading2"/>
        <w:spacing w:after="60" w:before="120"/>
      </w:pPr>
      <w:r>
        <w:rPr>
          <w:rFonts w:ascii="Calibri" w:cs="Calibri" w:eastAsia="Calibri" w:hAnsi="Calibri"/>
          <w:b/>
          <w:bCs/>
          <w:color w:val="1F3A5F"/>
          <w:sz w:val="21"/>
          <w:szCs w:val="21"/>
        </w:rPr>
        <w:t xml:space="preserve">The result that surprised us</w:t>
      </w:r>
    </w:p>
    <w:p>
      <w:pPr>
        <w:spacing w:after="80" w:line="264"/>
      </w:pPr>
      <w:r>
        <w:rPr>
          <w:rFonts w:ascii="Calibri" w:cs="Calibri" w:eastAsia="Calibri" w:hAnsi="Calibri"/>
          <w:b/>
          <w:bCs/>
          <w:sz w:val="20"/>
          <w:szCs w:val="20"/>
          <w:highlight w:val="yellow"/>
          <w:highlightCs w:val="yellow"/>
        </w:rPr>
        <w:t xml:space="preserve">[FILL: choose the one your own run shows most clearly, and show it live in the demo.]</w:t>
      </w:r>
      <w:r>
        <w:rPr>
          <w:rFonts w:ascii="Calibri" w:cs="Calibri" w:eastAsia="Calibri" w:hAnsi="Calibri"/>
          <w:sz w:val="20"/>
          <w:szCs w:val="20"/>
        </w:rPr>
        <w:t xml:space="preserve"> Candidates already visible in the deterministic layers:</w:t>
      </w:r>
    </w:p>
    <w:p>
      <w:pPr>
        <w:pStyle w:val="ListParagraph"/>
        <w:numPr>
          <w:ilvl w:val="0"/>
          <w:numId w:val="2"/>
        </w:numPr>
        <w:spacing w:after="40" w:line="252"/>
      </w:pPr>
      <w:r>
        <w:rPr>
          <w:rFonts w:ascii="Calibri" w:cs="Calibri" w:eastAsia="Calibri" w:hAnsi="Calibri"/>
          <w:b/>
          <w:bCs/>
          <w:sz w:val="20"/>
          <w:szCs w:val="20"/>
        </w:rPr>
        <w:t xml:space="preserve">Retrieval looked perfect and was wrong half the time.</w:t>
      </w:r>
      <w:r>
        <w:rPr>
          <w:rFonts w:ascii="Calibri" w:cs="Calibri" w:eastAsia="Calibri" w:hAnsi="Calibri"/>
          <w:sz w:val="20"/>
          <w:szCs w:val="20"/>
        </w:rPr>
        <w:t xml:space="preserve"> Hit@3 was 100%, the metric most teams would sign off on, yet the top-ranked note was misleading for 7 of 14 IWLs — the Mumbai listing outranks the Kolkata price rise for Kolkata 1kg oats.</w:t>
      </w:r>
    </w:p>
    <w:p>
      <w:pPr>
        <w:pStyle w:val="ListParagraph"/>
        <w:numPr>
          <w:ilvl w:val="0"/>
          <w:numId w:val="2"/>
        </w:numPr>
        <w:spacing w:after="40" w:line="252"/>
      </w:pPr>
      <w:r>
        <w:rPr>
          <w:rFonts w:ascii="Calibri" w:cs="Calibri" w:eastAsia="Calibri" w:hAnsi="Calibri"/>
          <w:b/>
          <w:bCs/>
          <w:sz w:val="20"/>
          <w:szCs w:val="20"/>
        </w:rPr>
        <w:t xml:space="preserve">The cancelled promotion.</w:t>
      </w:r>
      <w:r>
        <w:rPr>
          <w:rFonts w:ascii="Calibri" w:cs="Calibri" w:eastAsia="Calibri" w:hAnsi="Calibri"/>
          <w:sz w:val="20"/>
          <w:szCs w:val="20"/>
        </w:rPr>
        <w:t xml:space="preserve"> The planned Delhi promotion note still says 'active' and ranks above the cancellation. The triage put the IWL in Action-Required; the rule baseline added +60% and made the forecast nearly four times less accurate (WAPE 5% → 20%). </w:t>
      </w:r>
      <w:r>
        <w:rPr>
          <w:rFonts w:ascii="Calibri" w:cs="Calibri" w:eastAsia="Calibri" w:hAnsi="Calibri"/>
          <w:b/>
          <w:bCs/>
          <w:sz w:val="20"/>
          <w:szCs w:val="20"/>
          <w:highlight w:val="yellow"/>
          <w:highlightCs w:val="yellow"/>
        </w:rPr>
        <w:t xml:space="preserve">[FILL: did the agent read EV06?]</w:t>
      </w:r>
    </w:p>
    <w:p>
      <w:pPr>
        <w:pStyle w:val="ListParagraph"/>
        <w:numPr>
          <w:ilvl w:val="0"/>
          <w:numId w:val="2"/>
        </w:numPr>
        <w:spacing w:after="40" w:line="252"/>
      </w:pPr>
      <w:r>
        <w:rPr>
          <w:rFonts w:ascii="Calibri" w:cs="Calibri" w:eastAsia="Calibri" w:hAnsi="Calibri"/>
          <w:b/>
          <w:bCs/>
          <w:sz w:val="20"/>
          <w:szCs w:val="20"/>
        </w:rPr>
        <w:t xml:space="preserve">Noise cannot be reforecast away.</w:t>
      </w:r>
      <w:r>
        <w:rPr>
          <w:rFonts w:ascii="Calibri" w:cs="Calibri" w:eastAsia="Calibri" w:hAnsi="Calibri"/>
          <w:sz w:val="20"/>
          <w:szCs w:val="20"/>
        </w:rPr>
        <w:t xml:space="preserve"> No method moved weekly WAPE on the intermittent cake-mix IWLs off 80–90%. Their value is in leaving the weekly queue, not in a better number.</w:t>
      </w:r>
    </w:p>
    <w:p>
      <w:pPr>
        <w:pStyle w:val="ListParagraph"/>
        <w:numPr>
          <w:ilvl w:val="0"/>
          <w:numId w:val="2"/>
        </w:numPr>
        <w:spacing w:after="40" w:line="252"/>
      </w:pPr>
      <w:r>
        <w:rPr>
          <w:rFonts w:ascii="Calibri" w:cs="Calibri" w:eastAsia="Calibri" w:hAnsi="Calibri"/>
          <w:b/>
          <w:bCs/>
          <w:sz w:val="20"/>
          <w:szCs w:val="20"/>
        </w:rPr>
        <w:t xml:space="preserve">A KPI can propagate a neighbour's problem.</w:t>
      </w:r>
      <w:r>
        <w:rPr>
          <w:rFonts w:ascii="Calibri" w:cs="Calibri" w:eastAsia="Calibri" w:hAnsi="Calibri"/>
          <w:sz w:val="20"/>
          <w:szCs w:val="20"/>
        </w:rPr>
        <w:t xml:space="preserve"> Muesli 750g in Delhi was flagged only because Muesli 400g lost share: the pack-split KPI moved for both packs.</w:t>
      </w:r>
    </w:p>
    <w:p>
      <w:pPr>
        <w:pStyle w:val="ListParagraph"/>
        <w:numPr>
          <w:ilvl w:val="0"/>
          <w:numId w:val="2"/>
        </w:numPr>
        <w:spacing w:after="40" w:line="252"/>
      </w:pPr>
      <w:r>
        <w:rPr>
          <w:rFonts w:ascii="Calibri" w:cs="Calibri" w:eastAsia="Calibri" w:hAnsi="Calibri"/>
          <w:b/>
          <w:bCs/>
          <w:sz w:val="20"/>
          <w:szCs w:val="20"/>
        </w:rPr>
        <w:t xml:space="preserve">Monitor is not free.</w:t>
      </w:r>
      <w:r>
        <w:rPr>
          <w:rFonts w:ascii="Calibri" w:cs="Calibri" w:eastAsia="Calibri" w:hAnsi="Calibri"/>
          <w:sz w:val="20"/>
          <w:szCs w:val="20"/>
        </w:rPr>
        <w:t xml:space="preserve"> The slow-drift item left in Monitor carried 32% WAPE over the next 12 weeks.</w:t>
      </w:r>
    </w:p>
    <w:p>
      <w:pPr>
        <w:pStyle w:val="Heading1"/>
        <w:spacing w:after="80" w:before="200"/>
      </w:pPr>
      <w:r>
        <w:rPr>
          <w:rFonts w:ascii="Calibri" w:cs="Calibri" w:eastAsia="Calibri" w:hAnsi="Calibri"/>
          <w:b/>
          <w:bCs/>
          <w:color w:val="0B5394"/>
          <w:sz w:val="26"/>
          <w:szCs w:val="26"/>
        </w:rPr>
        <w:t xml:space="preserve">5. Requirements for deployment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7C3CF" w:sz="4"/>
              <w:left w:val="single" w:color="B7C3CF" w:sz="4"/>
              <w:bottom w:val="single" w:color="B7C3CF" w:sz="4"/>
              <w:right w:val="single" w:color="B7C3CF" w:sz="4"/>
            </w:tcBorders>
            <w:shd w:fill="1F3A5F"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Area</w:t>
            </w:r>
          </w:p>
        </w:tc>
        <w:tc>
          <w:tcPr>
            <w:tcW w:type="dxa" w:w="7446"/>
            <w:tcBorders>
              <w:top w:val="single" w:color="B7C3CF" w:sz="4"/>
              <w:left w:val="single" w:color="B7C3CF" w:sz="4"/>
              <w:bottom w:val="single" w:color="B7C3CF" w:sz="4"/>
              <w:right w:val="single" w:color="B7C3CF" w:sz="4"/>
            </w:tcBorders>
            <w:shd w:fill="1F3A5F"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Requirement</w:t>
            </w:r>
          </w:p>
        </w:tc>
      </w:tr>
      <w:tr>
        <w:trPr>
          <w:tblHeader w:val="false"/>
        </w:trPr>
        <w:tc>
          <w:tcPr>
            <w:tcW w:type="dxa" w:w="23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Access</w:t>
            </w:r>
          </w:p>
        </w:tc>
        <w:tc>
          <w:tcPr>
            <w:tcW w:type="dxa" w:w="74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Public Streamlit Community Cloud link; anyone can run the rule baseline, browse saved runs, approve and score. Live agent runs need a Gemini key in the sidebar (or one set by the owner as a secret, which spends the owner's quota).</w:t>
            </w:r>
          </w:p>
        </w:tc>
      </w:tr>
      <w:tr>
        <w:trPr>
          <w:tblHeader w:val="false"/>
        </w:trPr>
        <w:tc>
          <w:tcPr>
            <w:tcW w:type="dxa" w:w="23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Runtime</w:t>
            </w:r>
          </w:p>
        </w:tc>
        <w:tc>
          <w:tcPr>
            <w:tcW w:type="dxa" w:w="7446"/>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Python 3.12, CrewAI 1.15 with the native Gemini provider, Streamlit. Colab notebook and CLI as alternatives.</w:t>
            </w:r>
          </w:p>
        </w:tc>
      </w:tr>
      <w:tr>
        <w:trPr>
          <w:tblHeader w:val="false"/>
        </w:trPr>
        <w:tc>
          <w:tcPr>
            <w:tcW w:type="dxa" w:w="23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Model and limits</w:t>
            </w:r>
          </w:p>
        </w:tc>
        <w:tc>
          <w:tcPr>
            <w:tcW w:type="dxa" w:w="74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Gemini 2.5 Flash, free tier. About 10–20 model calls and 2–5 minutes per run; the crew throttles to a set requests-per-minute. Fallbacks: Flash-Lite, then rule mode.</w:t>
            </w:r>
          </w:p>
        </w:tc>
      </w:tr>
      <w:tr>
        <w:trPr>
          <w:tblHeader w:val="false"/>
        </w:trPr>
        <w:tc>
          <w:tcPr>
            <w:tcW w:type="dxa" w:w="23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Data in production</w:t>
            </w:r>
          </w:p>
        </w:tc>
        <w:tc>
          <w:tcPr>
            <w:tcW w:type="dxa" w:w="7446"/>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Weekly extract of shipments and forecast versions from the planning system; item master; an event-note repository with structured fields for location, item scope, effective weeks, status and a 'supersedes' link.</w:t>
            </w:r>
          </w:p>
        </w:tc>
      </w:tr>
      <w:tr>
        <w:trPr>
          <w:tblHeader w:val="false"/>
        </w:trPr>
        <w:tc>
          <w:tcPr>
            <w:tcW w:type="dxa" w:w="23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Data residency</w:t>
            </w:r>
          </w:p>
        </w:tc>
        <w:tc>
          <w:tcPr>
            <w:tcW w:type="dxa" w:w="74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Prompts, retrieved notes and answers leave the estate on a managed API. For real data: an Indian-region enterprise endpoint or a local model (LM Studio), and a DPDP assessment of what notes may contain.</w:t>
            </w:r>
          </w:p>
        </w:tc>
      </w:tr>
      <w:tr>
        <w:trPr>
          <w:tblHeader w:val="false"/>
        </w:trPr>
        <w:tc>
          <w:tcPr>
            <w:tcW w:type="dxa" w:w="23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Cost</w:t>
            </w:r>
          </w:p>
        </w:tc>
        <w:tc>
          <w:tcPr>
            <w:tcW w:type="dxa" w:w="7446"/>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₹0 for the prototype. Production estimate: </w:t>
            </w:r>
            <w:r>
              <w:rPr>
                <w:rFonts w:ascii="Calibri" w:cs="Calibri" w:eastAsia="Calibri" w:hAnsi="Calibri"/>
                <w:b/>
                <w:bCs/>
                <w:sz w:val="17"/>
                <w:szCs w:val="17"/>
                <w:highlight w:val="yellow"/>
                <w:highlightCs w:val="yellow"/>
              </w:rPr>
              <w:t xml:space="preserve">[FILL: calls per cycle × tokens per call × price × number of planning units]</w:t>
            </w:r>
            <w:r>
              <w:rPr>
                <w:rFonts w:ascii="Calibri" w:cs="Calibri" w:eastAsia="Calibri" w:hAnsi="Calibri"/>
                <w:sz w:val="17"/>
                <w:szCs w:val="17"/>
              </w:rPr>
              <w:t xml:space="preserve">.</w:t>
            </w:r>
          </w:p>
        </w:tc>
      </w:tr>
    </w:tbl>
    <w:p>
      <w:pPr>
        <w:pStyle w:val="Heading1"/>
        <w:spacing w:after="80" w:before="200"/>
      </w:pPr>
      <w:r>
        <w:rPr>
          <w:rFonts w:ascii="Calibri" w:cs="Calibri" w:eastAsia="Calibri" w:hAnsi="Calibri"/>
          <w:b/>
          <w:bCs/>
          <w:color w:val="0B5394"/>
          <w:sz w:val="26"/>
          <w:szCs w:val="26"/>
        </w:rPr>
        <w:t xml:space="preserve">6.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446"/>
      </w:tblGrid>
      <w:tr>
        <w:trPr>
          <w:tblHeader/>
        </w:trPr>
        <w:tc>
          <w:tcPr>
            <w:tcW w:type="dxa" w:w="2700"/>
            <w:tcBorders>
              <w:top w:val="single" w:color="B7C3CF" w:sz="4"/>
              <w:left w:val="single" w:color="B7C3CF" w:sz="4"/>
              <w:bottom w:val="single" w:color="B7C3CF" w:sz="4"/>
              <w:right w:val="single" w:color="B7C3CF" w:sz="4"/>
            </w:tcBorders>
            <w:shd w:fill="1F3A5F"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Role</w:t>
            </w:r>
          </w:p>
        </w:tc>
        <w:tc>
          <w:tcPr>
            <w:tcW w:type="dxa" w:w="2600"/>
            <w:tcBorders>
              <w:top w:val="single" w:color="B7C3CF" w:sz="4"/>
              <w:left w:val="single" w:color="B7C3CF" w:sz="4"/>
              <w:bottom w:val="single" w:color="B7C3CF" w:sz="4"/>
              <w:right w:val="single" w:color="B7C3CF" w:sz="4"/>
            </w:tcBorders>
            <w:shd w:fill="1F3A5F"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Who</w:t>
            </w:r>
          </w:p>
        </w:tc>
        <w:tc>
          <w:tcPr>
            <w:tcW w:type="dxa" w:w="4446"/>
            <w:tcBorders>
              <w:top w:val="single" w:color="B7C3CF" w:sz="4"/>
              <w:left w:val="single" w:color="B7C3CF" w:sz="4"/>
              <w:bottom w:val="single" w:color="B7C3CF" w:sz="4"/>
              <w:right w:val="single" w:color="B7C3CF" w:sz="4"/>
            </w:tcBorders>
            <w:shd w:fill="1F3A5F"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Responsibility</w:t>
            </w:r>
          </w:p>
        </w:tc>
      </w:tr>
      <w:tr>
        <w:trPr>
          <w:tblHeader w:val="false"/>
        </w:trPr>
        <w:tc>
          <w:tcPr>
            <w:tcW w:type="dxa" w:w="27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System owner</w:t>
            </w:r>
          </w:p>
        </w:tc>
        <w:tc>
          <w:tcPr>
            <w:tcW w:type="dxa" w:w="26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Demand planning centre of excellence</w:t>
            </w:r>
          </w:p>
        </w:tc>
        <w:tc>
          <w:tcPr>
            <w:tcW w:type="dxa" w:w="44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Thresholds, prompts, tool definitions, model choice; re-runs the planted-exception test suite on every change</w:t>
            </w:r>
          </w:p>
        </w:tc>
      </w:tr>
      <w:tr>
        <w:trPr>
          <w:tblHeader w:val="false"/>
        </w:trPr>
        <w:tc>
          <w:tcPr>
            <w:tcW w:type="dxa" w:w="27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Accountable for each forecast change</w:t>
            </w:r>
          </w:p>
        </w:tc>
        <w:tc>
          <w:tcPr>
            <w:tcW w:type="dxa" w:w="26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The approving planner (named in the audit log)</w:t>
            </w:r>
          </w:p>
        </w:tc>
        <w:tc>
          <w:tcPr>
            <w:tcW w:type="dxa" w:w="4446"/>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Agents propose; only an approval changes the forecast. Edits and rejections are recorded with the reason</w:t>
            </w:r>
          </w:p>
        </w:tc>
      </w:tr>
      <w:tr>
        <w:trPr>
          <w:tblHeader w:val="false"/>
        </w:trPr>
        <w:tc>
          <w:tcPr>
            <w:tcW w:type="dxa" w:w="27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Owner of the note corpus</w:t>
            </w:r>
          </w:p>
        </w:tc>
        <w:tc>
          <w:tcPr>
            <w:tcW w:type="dxa" w:w="2600"/>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Commercial and key-account teams</w:t>
            </w:r>
          </w:p>
        </w:tc>
        <w:tc>
          <w:tcPr>
            <w:tcW w:type="dxa" w:w="4446"/>
            <w:tcBorders>
              <w:top w:val="single" w:color="B7C3CF" w:sz="4"/>
              <w:left w:val="single" w:color="B7C3CF" w:sz="4"/>
              <w:bottom w:val="single" w:color="B7C3CF" w:sz="4"/>
              <w:right w:val="single" w:color="B7C3CF" w:sz="4"/>
            </w:tcBorders>
            <w:tcMar>
              <w:top w:type="dxa" w:w="40"/>
              <w:left w:type="dxa" w:w="80"/>
              <w:bottom w:type="dxa" w:w="40"/>
              <w:right w:type="dxa" w:w="80"/>
            </w:tcMar>
          </w:tcPr>
          <w:p>
            <w:pPr>
              <w:spacing w:after="0" w:line="240"/>
            </w:pPr>
            <w:r>
              <w:rPr>
                <w:rFonts w:ascii="Calibri" w:cs="Calibri" w:eastAsia="Calibri" w:hAnsi="Calibri"/>
                <w:sz w:val="17"/>
                <w:szCs w:val="17"/>
              </w:rPr>
              <w:t xml:space="preserve">Publish notes with item, location and dates; mark cancellations and supersession at source</w:t>
            </w:r>
          </w:p>
        </w:tc>
      </w:tr>
      <w:tr>
        <w:trPr>
          <w:tblHeader w:val="false"/>
        </w:trPr>
        <w:tc>
          <w:tcPr>
            <w:tcW w:type="dxa" w:w="27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Model and data risk</w:t>
            </w:r>
          </w:p>
        </w:tc>
        <w:tc>
          <w:tcPr>
            <w:tcW w:type="dxa" w:w="2600"/>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IT / data governance</w:t>
            </w:r>
          </w:p>
        </w:tc>
        <w:tc>
          <w:tcPr>
            <w:tcW w:type="dxa" w:w="4446"/>
            <w:tcBorders>
              <w:top w:val="single" w:color="B7C3CF" w:sz="4"/>
              <w:left w:val="single" w:color="B7C3CF" w:sz="4"/>
              <w:bottom w:val="single" w:color="B7C3CF" w:sz="4"/>
              <w:right w:val="single" w:color="B7C3CF" w:sz="4"/>
            </w:tcBorders>
            <w:shd w:fill="F3F6F9"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API keys, vendor terms, data residency, retention of run logs</w:t>
            </w:r>
          </w:p>
        </w:tc>
      </w:tr>
    </w:tbl>
    <w:p>
      <w:pPr>
        <w:spacing w:after="60"/>
      </w:pPr>
    </w:p>
    <w:p>
      <w:pPr>
        <w:keepNext/>
        <w:spacing w:after="80" w:line="264"/>
      </w:pPr>
      <w:r>
        <w:rPr>
          <w:rFonts w:ascii="Calibri" w:cs="Calibri" w:eastAsia="Calibri" w:hAnsi="Calibri"/>
          <w:b/>
          <w:bCs/>
          <w:sz w:val="20"/>
          <w:szCs w:val="20"/>
        </w:rPr>
        <w:t xml:space="preserve">How errors would be detected.</w:t>
      </w:r>
    </w:p>
    <w:p>
      <w:pPr>
        <w:pStyle w:val="ListParagraph"/>
        <w:numPr>
          <w:ilvl w:val="0"/>
          <w:numId w:val="2"/>
        </w:numPr>
        <w:spacing w:after="40" w:line="252"/>
      </w:pPr>
      <w:r>
        <w:rPr>
          <w:rFonts w:ascii="Calibri" w:cs="Calibri" w:eastAsia="Calibri" w:hAnsi="Calibri"/>
          <w:b/>
          <w:bCs/>
          <w:sz w:val="20"/>
          <w:szCs w:val="20"/>
        </w:rPr>
        <w:t xml:space="preserve">Before approval:</w:t>
      </w:r>
      <w:r>
        <w:rPr>
          <w:rFonts w:ascii="Calibri" w:cs="Calibri" w:eastAsia="Calibri" w:hAnsi="Calibri"/>
          <w:sz w:val="20"/>
          <w:szCs w:val="20"/>
        </w:rPr>
        <w:t xml:space="preserve"> every recommendation shows its KPI values and cited note ids; the app displays the note text and flags any id not in the corpus. A planner can check a recommendation in under a minute.</w:t>
      </w:r>
    </w:p>
    <w:p>
      <w:pPr>
        <w:pStyle w:val="ListParagraph"/>
        <w:numPr>
          <w:ilvl w:val="0"/>
          <w:numId w:val="2"/>
        </w:numPr>
        <w:spacing w:after="40" w:line="252"/>
      </w:pPr>
      <w:r>
        <w:rPr>
          <w:rFonts w:ascii="Calibri" w:cs="Calibri" w:eastAsia="Calibri" w:hAnsi="Calibri"/>
          <w:b/>
          <w:bCs/>
          <w:sz w:val="20"/>
          <w:szCs w:val="20"/>
        </w:rPr>
        <w:t xml:space="preserve">At run time:</w:t>
      </w:r>
      <w:r>
        <w:rPr>
          <w:rFonts w:ascii="Calibri" w:cs="Calibri" w:eastAsia="Calibri" w:hAnsi="Calibri"/>
          <w:sz w:val="20"/>
          <w:szCs w:val="20"/>
        </w:rPr>
        <w:t xml:space="preserve"> each run stores every tool call; evaluation flags citations that no search returned, notes for the wrong location or dates, and IWLs the agent skipped.</w:t>
      </w:r>
    </w:p>
    <w:p>
      <w:pPr>
        <w:pStyle w:val="ListParagraph"/>
        <w:numPr>
          <w:ilvl w:val="0"/>
          <w:numId w:val="2"/>
        </w:numPr>
        <w:spacing w:after="40" w:line="252"/>
      </w:pPr>
      <w:r>
        <w:rPr>
          <w:rFonts w:ascii="Calibri" w:cs="Calibri" w:eastAsia="Calibri" w:hAnsi="Calibri"/>
          <w:b/>
          <w:bCs/>
          <w:sz w:val="20"/>
          <w:szCs w:val="20"/>
        </w:rPr>
        <w:t xml:space="preserve">After approval:</w:t>
      </w:r>
      <w:r>
        <w:rPr>
          <w:rFonts w:ascii="Calibri" w:cs="Calibri" w:eastAsia="Calibri" w:hAnsi="Calibri"/>
          <w:sz w:val="20"/>
          <w:szCs w:val="20"/>
        </w:rPr>
        <w:t xml:space="preserve"> forecast value added — WAPE and bias of approved changes against the untouched baseline, tracked weekly; a change that loses accuracy two cycles running is reverted and reviewed.</w:t>
      </w:r>
    </w:p>
    <w:p>
      <w:pPr>
        <w:pStyle w:val="ListParagraph"/>
        <w:numPr>
          <w:ilvl w:val="0"/>
          <w:numId w:val="2"/>
        </w:numPr>
        <w:spacing w:after="40" w:line="252"/>
      </w:pPr>
      <w:r>
        <w:rPr>
          <w:rFonts w:ascii="Calibri" w:cs="Calibri" w:eastAsia="Calibri" w:hAnsi="Calibri"/>
          <w:b/>
          <w:bCs/>
          <w:sz w:val="20"/>
          <w:szCs w:val="20"/>
        </w:rPr>
        <w:t xml:space="preserve">On every change to prompts, thresholds or model:</w:t>
      </w:r>
      <w:r>
        <w:rPr>
          <w:rFonts w:ascii="Calibri" w:cs="Calibri" w:eastAsia="Calibri" w:hAnsi="Calibri"/>
          <w:sz w:val="20"/>
          <w:szCs w:val="20"/>
        </w:rPr>
        <w:t xml:space="preserve"> re-run the planted test set and compare against the last accepted run before release.</w:t>
      </w:r>
    </w:p>
    <w:p>
      <w:pPr>
        <w:pStyle w:val="Heading1"/>
        <w:spacing w:after="80" w:before="200"/>
      </w:pPr>
      <w:r>
        <w:rPr>
          <w:rFonts w:ascii="Calibri" w:cs="Calibri" w:eastAsia="Calibri" w:hAnsi="Calibri"/>
          <w:b/>
          <w:bCs/>
          <w:color w:val="0B5394"/>
          <w:sz w:val="26"/>
          <w:szCs w:val="26"/>
        </w:rPr>
        <w:t xml:space="preserve">7. Limitations, stated precisely</w:t>
      </w:r>
    </w:p>
    <w:p>
      <w:pPr>
        <w:pStyle w:val="ListParagraph"/>
        <w:numPr>
          <w:ilvl w:val="0"/>
          <w:numId w:val="2"/>
        </w:numPr>
        <w:spacing w:after="40" w:line="252"/>
      </w:pPr>
      <w:r>
        <w:rPr>
          <w:rFonts w:ascii="Calibri" w:cs="Calibri" w:eastAsia="Calibri" w:hAnsi="Calibri"/>
          <w:sz w:val="20"/>
          <w:szCs w:val="20"/>
        </w:rPr>
        <w:t xml:space="preserve">Synthetic data; triage thresholds were calibrated on the same data they are evaluated on, so out-of-sample performance is unknown.</w:t>
      </w:r>
    </w:p>
    <w:p>
      <w:pPr>
        <w:pStyle w:val="ListParagraph"/>
        <w:numPr>
          <w:ilvl w:val="0"/>
          <w:numId w:val="2"/>
        </w:numPr>
        <w:spacing w:after="40" w:line="252"/>
      </w:pPr>
      <w:r>
        <w:rPr>
          <w:rFonts w:ascii="Calibri" w:cs="Calibri" w:eastAsia="Calibri" w:hAnsi="Calibri"/>
          <w:sz w:val="20"/>
          <w:szCs w:val="20"/>
        </w:rPr>
        <w:t xml:space="preserve">The baseline (seasonal index × smoothed level) was chosen for transparency, not accuracy.</w:t>
      </w:r>
    </w:p>
    <w:p>
      <w:pPr>
        <w:pStyle w:val="ListParagraph"/>
        <w:numPr>
          <w:ilvl w:val="0"/>
          <w:numId w:val="2"/>
        </w:numPr>
        <w:spacing w:after="40" w:line="252"/>
      </w:pPr>
      <w:r>
        <w:rPr>
          <w:rFonts w:ascii="Calibri" w:cs="Calibri" w:eastAsia="Calibri" w:hAnsi="Calibri"/>
          <w:sz w:val="20"/>
          <w:szCs w:val="20"/>
        </w:rPr>
        <w:t xml:space="preserve">Similarity retrieval ignores location, dates and cancellation; the system depends on the Diagnosis agent checking, and on the note owners recording supersession.</w:t>
      </w:r>
    </w:p>
    <w:p>
      <w:pPr>
        <w:pStyle w:val="ListParagraph"/>
        <w:numPr>
          <w:ilvl w:val="0"/>
          <w:numId w:val="2"/>
        </w:numPr>
        <w:spacing w:after="40" w:line="252"/>
      </w:pPr>
      <w:r>
        <w:rPr>
          <w:rFonts w:ascii="Calibri" w:cs="Calibri" w:eastAsia="Calibri" w:hAnsi="Calibri"/>
          <w:sz w:val="20"/>
          <w:szCs w:val="20"/>
        </w:rPr>
        <w:t xml:space="preserve">LLM outputs vary between runs; the free tier limits how many runs we could evaluate (</w:t>
      </w:r>
      <w:r>
        <w:rPr>
          <w:rFonts w:ascii="Calibri" w:cs="Calibri" w:eastAsia="Calibri" w:hAnsi="Calibri"/>
          <w:b/>
          <w:bCs/>
          <w:sz w:val="20"/>
          <w:szCs w:val="20"/>
          <w:highlight w:val="yellow"/>
          <w:highlightCs w:val="yellow"/>
        </w:rPr>
        <w:t xml:space="preserve">[FILL: number of runs]</w:t>
      </w:r>
      <w:r>
        <w:rPr>
          <w:rFonts w:ascii="Calibri" w:cs="Calibri" w:eastAsia="Calibri" w:hAnsi="Calibri"/>
          <w:sz w:val="20"/>
          <w:szCs w:val="20"/>
        </w:rPr>
        <w:t xml:space="preserve">).</w:t>
      </w:r>
    </w:p>
    <w:p>
      <w:pPr>
        <w:pStyle w:val="ListParagraph"/>
        <w:numPr>
          <w:ilvl w:val="0"/>
          <w:numId w:val="2"/>
        </w:numPr>
        <w:spacing w:after="40" w:line="252"/>
      </w:pPr>
      <w:r>
        <w:rPr>
          <w:rFonts w:ascii="Calibri" w:cs="Calibri" w:eastAsia="Calibri" w:hAnsi="Calibri"/>
          <w:sz w:val="20"/>
          <w:szCs w:val="20"/>
        </w:rPr>
        <w:t xml:space="preserve">40 IWLs and 20 notes are far smaller than a real portfolio; we did not test scale, latency or cost at production volume.</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97A3"/>
        <w:sz w:val="16"/>
        <w:szCs w:val="16"/>
      </w:rPr>
      <w:t xml:space="preserve">Design note · page </w:t>
    </w:r>
    <w:r>
      <w:rPr>
        <w:rFonts w:ascii="Calibri" w:cs="Calibri" w:eastAsia="Calibri" w:hAnsi="Calibri"/>
        <w:color w:val="8A97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279f5db96c05a901f692cf57445db464b6131f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2026-10-07T21:21:09.476Z</dcterms:created>
  <dcterms:modified xsi:type="dcterms:W3CDTF">2026-10-07T21:21:09.476Z</dcterms:modified>
</cp:coreProperties>
</file>

<file path=docProps/custom.xml><?xml version="1.0" encoding="utf-8"?>
<Properties xmlns="http://schemas.openxmlformats.org/officeDocument/2006/custom-properties" xmlns:vt="http://schemas.openxmlformats.org/officeDocument/2006/docPropsVTypes"/>
</file>