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864"/>
          <w:sz w:val="46"/>
          <w:szCs w:val="46"/>
        </w:rPr>
        <w:t xml:space="preserve">COMPANY BRAIN</w:t>
      </w:r>
    </w:p>
    <w:p>
      <w:pPr>
        <w:spacing w:after="60"/>
        <w:jc w:val="center"/>
      </w:pPr>
      <w:r>
        <w:rPr>
          <w:b/>
          <w:bCs/>
          <w:color w:val="2E5AAC"/>
          <w:sz w:val="28"/>
          <w:szCs w:val="28"/>
        </w:rPr>
        <w:t xml:space="preserve">Business Development Fund Proposal</w:t>
      </w:r>
    </w:p>
    <w:p>
      <w:pPr>
        <w:spacing w:after="40"/>
        <w:jc w:val="center"/>
      </w:pPr>
      <w:r>
        <w:rPr>
          <w:i/>
          <w:iCs/>
          <w:color w:val="555555"/>
          <w:sz w:val="22"/>
          <w:szCs w:val="22"/>
        </w:rPr>
        <w:t xml:space="preserve">Fund Request, Deployment Plan and Six-Month Milestone Schedule</w:t>
      </w:r>
    </w:p>
    <w:p>
      <w:pPr>
        <w:spacing w:after="240"/>
        <w:jc w:val="center"/>
      </w:pPr>
      <w:r>
        <w:rPr>
          <w:color w:val="555555"/>
          <w:sz w:val="20"/>
          <w:szCs w:val="20"/>
        </w:rPr>
        <w:t xml:space="preserve">Founder: Rohan Gaikwad  |  Department of Computer Science &amp; Engineering</w:t>
      </w:r>
    </w:p>
    <w:p>
      <w:pPr>
        <w:pBdr>
          <w:bottom w:val="single" w:color="CCCCCC" w:sz="6" w:space="1"/>
        </w:pBdr>
        <w:spacing w:after="80" w:before="80"/>
      </w:pPr>
    </w:p>
    <w:p>
      <w:pPr>
        <w:pStyle w:val="Heading1"/>
        <w:spacing w:after="140" w:before="320"/>
      </w:pPr>
      <w:r>
        <w:rPr>
          <w:b/>
          <w:bCs/>
          <w:color w:val="1F3864"/>
          <w:sz w:val="30"/>
          <w:szCs w:val="30"/>
        </w:rPr>
        <w:t xml:space="preserve">1. Purpose of This Request</w:t>
      </w:r>
    </w:p>
    <w:p>
      <w:pPr>
        <w:spacing w:after="120" w:line="276"/>
        <w:jc w:val="both"/>
      </w:pPr>
      <w:r>
        <w:rPr>
          <w:b w:val="false"/>
          <w:bCs w:val="false"/>
          <w:i w:val="false"/>
          <w:iCs w:val="false"/>
          <w:color w:val="222222"/>
          <w:sz w:val="22"/>
          <w:szCs w:val="22"/>
        </w:rPr>
        <w:t xml:space="preserve">Company Brain is an AI platform that makes an organization's own documents searchable through ordinary questions. A working prototype has been built and validated on real documents across multiple formats.</w:t>
      </w:r>
    </w:p>
    <w:p>
      <w:pPr>
        <w:spacing w:after="120" w:line="276"/>
        <w:jc w:val="both"/>
      </w:pPr>
      <w:r>
        <w:rPr>
          <w:b w:val="false"/>
          <w:bCs w:val="false"/>
          <w:i w:val="false"/>
          <w:iCs w:val="false"/>
          <w:color w:val="222222"/>
          <w:sz w:val="22"/>
          <w:szCs w:val="22"/>
        </w:rPr>
        <w:t xml:space="preserve">The purpose of this fund request is to move the platform from a validated prototype running on a single developer machine to a deployed system running live inside partner organizations, and to convert the first of those deployments into paying customers within six months.</w:t>
      </w:r>
    </w:p>
    <w:p>
      <w:pPr>
        <w:spacing w:after="120" w:line="276"/>
        <w:jc w:val="both"/>
      </w:pPr>
      <w:r>
        <w:rPr>
          <w:b/>
          <w:bCs/>
          <w:i w:val="false"/>
          <w:iCs w:val="false"/>
          <w:color w:val="222222"/>
          <w:sz w:val="22"/>
          <w:szCs w:val="22"/>
        </w:rPr>
        <w:t xml:space="preserve">The amount requested is ₹4,50,000 over a six-month period.</w:t>
      </w:r>
    </w:p>
    <w:p>
      <w:pPr>
        <w:pBdr>
          <w:bottom w:val="single" w:color="CCCCCC" w:sz="6" w:space="1"/>
        </w:pBdr>
        <w:spacing w:after="80" w:before="80"/>
      </w:pPr>
    </w:p>
    <w:p>
      <w:pPr>
        <w:pStyle w:val="Heading1"/>
        <w:spacing w:after="140" w:before="320"/>
      </w:pPr>
      <w:r>
        <w:rPr>
          <w:b/>
          <w:bCs/>
          <w:color w:val="1F3864"/>
          <w:sz w:val="30"/>
          <w:szCs w:val="30"/>
        </w:rPr>
        <w:t xml:space="preserve">2. What This Fund Enables</w:t>
      </w:r>
    </w:p>
    <w:p>
      <w:pPr>
        <w:spacing w:after="120" w:line="276"/>
        <w:jc w:val="both"/>
      </w:pPr>
      <w:r>
        <w:rPr>
          <w:b w:val="false"/>
          <w:bCs w:val="false"/>
          <w:i w:val="false"/>
          <w:iCs w:val="false"/>
          <w:color w:val="222222"/>
          <w:sz w:val="22"/>
          <w:szCs w:val="22"/>
        </w:rPr>
        <w:t xml:space="preserve">Three specific constraints currently limit progress, and this fund addresses each of them directly.</w:t>
      </w:r>
    </w:p>
    <w:p>
      <w:pPr>
        <w:pStyle w:val="ListParagraph"/>
        <w:numPr>
          <w:ilvl w:val="0"/>
          <w:numId w:val="2"/>
        </w:numPr>
        <w:spacing w:after="70" w:line="268"/>
      </w:pPr>
      <w:r>
        <w:rPr>
          <w:b/>
          <w:bCs/>
          <w:color w:val="1F3864"/>
          <w:sz w:val="22"/>
          <w:szCs w:val="22"/>
        </w:rPr>
        <w:t xml:space="preserve">Compute capacity: </w:t>
      </w:r>
      <w:r>
        <w:rPr>
          <w:color w:val="222222"/>
          <w:sz w:val="22"/>
          <w:szCs w:val="22"/>
        </w:rPr>
        <w:t xml:space="preserve">the platform currently runs on a laptop with 4GB of graphics memory. This caps model quality, response speed and the number of users who can query the system at once. Adequate compute is the single largest unlock.</w:t>
      </w:r>
    </w:p>
    <w:p>
      <w:pPr>
        <w:pStyle w:val="ListParagraph"/>
        <w:numPr>
          <w:ilvl w:val="0"/>
          <w:numId w:val="2"/>
        </w:numPr>
        <w:spacing w:after="70" w:line="268"/>
      </w:pPr>
      <w:r>
        <w:rPr>
          <w:b/>
          <w:bCs/>
          <w:color w:val="1F3864"/>
          <w:sz w:val="22"/>
          <w:szCs w:val="22"/>
        </w:rPr>
        <w:t xml:space="preserve">Pilot deployment cost: </w:t>
      </w:r>
      <w:r>
        <w:rPr>
          <w:color w:val="222222"/>
          <w:sz w:val="22"/>
          <w:szCs w:val="22"/>
        </w:rPr>
        <w:t xml:space="preserve">moving from a demonstration to a live deployment requires data onboarding, configuration and support time at the partner organization. This work cannot be done remotely or for free.</w:t>
      </w:r>
    </w:p>
    <w:p>
      <w:pPr>
        <w:pStyle w:val="ListParagraph"/>
        <w:numPr>
          <w:ilvl w:val="0"/>
          <w:numId w:val="2"/>
        </w:numPr>
        <w:spacing w:after="70" w:line="268"/>
      </w:pPr>
      <w:r>
        <w:rPr>
          <w:b/>
          <w:bCs/>
          <w:color w:val="1F3864"/>
          <w:sz w:val="22"/>
          <w:szCs w:val="22"/>
        </w:rPr>
        <w:t xml:space="preserve">Market access: </w:t>
      </w:r>
      <w:r>
        <w:rPr>
          <w:color w:val="222222"/>
          <w:sz w:val="22"/>
          <w:szCs w:val="22"/>
        </w:rPr>
        <w:t xml:space="preserve">reaching institutions and businesses, running demonstrations and closing the first paid agreements requires travel, formal registration and basic commercial infrastructure.</w:t>
      </w:r>
    </w:p>
    <w:p>
      <w:r>
        <w:br w:type="page"/>
      </w:r>
    </w:p>
    <w:p>
      <w:pPr>
        <w:pStyle w:val="Heading1"/>
        <w:spacing w:after="140" w:before="320"/>
      </w:pPr>
      <w:r>
        <w:rPr>
          <w:b/>
          <w:bCs/>
          <w:color w:val="1F3864"/>
          <w:sz w:val="30"/>
          <w:szCs w:val="30"/>
        </w:rPr>
        <w:t xml:space="preserve">3. Fund Allocation</w:t>
      </w:r>
    </w:p>
    <w:p>
      <w:pPr>
        <w:spacing w:after="120" w:line="276"/>
        <w:jc w:val="both"/>
      </w:pPr>
      <w:r>
        <w:rPr>
          <w:b w:val="false"/>
          <w:bCs w:val="false"/>
          <w:i w:val="false"/>
          <w:iCs w:val="false"/>
          <w:color w:val="222222"/>
          <w:sz w:val="22"/>
          <w:szCs w:val="22"/>
        </w:rPr>
        <w:t xml:space="preserve">The requested amount is allocated as follows. Every line is tied to a specific deliverable in the milestone schedule in Section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00"/>
      </w:tblGrid>
      <w:tr>
        <w:trPr>
          <w:cantSplit/>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Head</w:t>
            </w:r>
          </w:p>
        </w:tc>
        <w:tc>
          <w:tcPr>
            <w:tcW w:type="dxa" w:w="4900"/>
            <w:shd w:fill="1F3864" w:val="clear"/>
            <w:tcMar>
              <w:top w:type="dxa" w:w="60"/>
              <w:left w:type="dxa" w:w="100"/>
              <w:bottom w:type="dxa" w:w="60"/>
              <w:right w:type="dxa" w:w="100"/>
            </w:tcMar>
          </w:tcPr>
          <w:p>
            <w:pPr>
              <w:jc w:val="left"/>
            </w:pPr>
            <w:r>
              <w:rPr>
                <w:b/>
                <w:bCs/>
                <w:color w:val="FFFFFF"/>
                <w:sz w:val="20"/>
                <w:szCs w:val="20"/>
              </w:rPr>
              <w:t xml:space="preserve">Purpose</w:t>
            </w:r>
          </w:p>
        </w:tc>
        <w:tc>
          <w:tcPr>
            <w:tcW w:type="dxa" w:w="1500"/>
            <w:shd w:fill="1F3864" w:val="clear"/>
            <w:tcMar>
              <w:top w:type="dxa" w:w="60"/>
              <w:left w:type="dxa" w:w="100"/>
              <w:bottom w:type="dxa" w:w="60"/>
              <w:right w:type="dxa" w:w="100"/>
            </w:tcMar>
          </w:tcPr>
          <w:p>
            <w:pPr>
              <w:jc w:val="right"/>
            </w:pPr>
            <w:r>
              <w:rPr>
                <w:b/>
                <w:bCs/>
                <w:color w:val="FFFFFF"/>
                <w:sz w:val="20"/>
                <w:szCs w:val="20"/>
              </w:rPr>
              <w:t xml:space="preserve">Amount (₹)</w:t>
            </w:r>
          </w:p>
        </w:tc>
      </w:tr>
      <w:tr>
        <w:trPr>
          <w:cantSplit/>
        </w:trPr>
        <w:tc>
          <w:tcPr>
            <w:tcW w:type="dxa" w:w="2600"/>
            <w:shd w:fill="EAF0F8" w:val="clear"/>
            <w:tcMar>
              <w:top w:type="dxa" w:w="50"/>
              <w:left w:type="dxa" w:w="100"/>
              <w:bottom w:type="dxa" w:w="50"/>
              <w:right w:type="dxa" w:w="100"/>
            </w:tcMar>
          </w:tcPr>
          <w:p>
            <w:pPr>
              <w:jc w:val="left"/>
            </w:pPr>
            <w:r>
              <w:rPr>
                <w:b w:val="false"/>
                <w:bCs w:val="false"/>
                <w:color w:val="222222"/>
                <w:sz w:val="20"/>
                <w:szCs w:val="20"/>
              </w:rPr>
              <w:t xml:space="preserve">Compute infrastructure</w:t>
            </w:r>
          </w:p>
        </w:tc>
        <w:tc>
          <w:tcPr>
            <w:tcW w:type="dxa" w:w="4900"/>
            <w:shd w:fill="EAF0F8" w:val="clear"/>
            <w:tcMar>
              <w:top w:type="dxa" w:w="50"/>
              <w:left w:type="dxa" w:w="100"/>
              <w:bottom w:type="dxa" w:w="50"/>
              <w:right w:type="dxa" w:w="100"/>
            </w:tcMar>
          </w:tcPr>
          <w:p>
            <w:pPr>
              <w:jc w:val="left"/>
            </w:pPr>
            <w:r>
              <w:rPr>
                <w:b w:val="false"/>
                <w:bCs w:val="false"/>
                <w:color w:val="222222"/>
                <w:sz w:val="20"/>
                <w:szCs w:val="20"/>
              </w:rPr>
              <w:t xml:space="preserve">Server capacity beyond a single laptop</w:t>
            </w:r>
          </w:p>
        </w:tc>
        <w:tc>
          <w:tcPr>
            <w:tcW w:type="dxa" w:w="1500"/>
            <w:shd w:fill="EAF0F8" w:val="clear"/>
            <w:tcMar>
              <w:top w:type="dxa" w:w="50"/>
              <w:left w:type="dxa" w:w="100"/>
              <w:bottom w:type="dxa" w:w="50"/>
              <w:right w:type="dxa" w:w="100"/>
            </w:tcMar>
          </w:tcPr>
          <w:p>
            <w:pPr>
              <w:jc w:val="right"/>
            </w:pPr>
            <w:r>
              <w:rPr>
                <w:b w:val="false"/>
                <w:bCs w:val="false"/>
                <w:color w:val="222222"/>
                <w:sz w:val="20"/>
                <w:szCs w:val="20"/>
              </w:rPr>
              <w:t xml:space="preserve">1,50,000</w:t>
            </w:r>
          </w:p>
        </w:tc>
      </w:tr>
      <w:tr>
        <w:trPr>
          <w:cantSplit/>
        </w:trPr>
        <w:tc>
          <w:tcPr>
            <w:tcW w:type="dxa" w:w="2600"/>
            <w:shd w:fill="FFFFFF" w:val="clear"/>
            <w:tcMar>
              <w:top w:type="dxa" w:w="50"/>
              <w:left w:type="dxa" w:w="100"/>
              <w:bottom w:type="dxa" w:w="50"/>
              <w:right w:type="dxa" w:w="100"/>
            </w:tcMar>
          </w:tcPr>
          <w:p>
            <w:pPr>
              <w:jc w:val="left"/>
            </w:pPr>
            <w:r>
              <w:rPr>
                <w:b w:val="false"/>
                <w:bCs w:val="false"/>
                <w:color w:val="222222"/>
                <w:sz w:val="20"/>
                <w:szCs w:val="20"/>
              </w:rPr>
              <w:t xml:space="preserve">Cloud and API costs</w:t>
            </w:r>
          </w:p>
        </w:tc>
        <w:tc>
          <w:tcPr>
            <w:tcW w:type="dxa" w:w="4900"/>
            <w:shd w:fill="FFFFFF" w:val="clear"/>
            <w:tcMar>
              <w:top w:type="dxa" w:w="50"/>
              <w:left w:type="dxa" w:w="100"/>
              <w:bottom w:type="dxa" w:w="50"/>
              <w:right w:type="dxa" w:w="100"/>
            </w:tcMar>
          </w:tcPr>
          <w:p>
            <w:pPr>
              <w:jc w:val="left"/>
            </w:pPr>
            <w:r>
              <w:rPr>
                <w:b w:val="false"/>
                <w:bCs w:val="false"/>
                <w:color w:val="222222"/>
                <w:sz w:val="20"/>
                <w:szCs w:val="20"/>
              </w:rPr>
              <w:t xml:space="preserve">Inference, hosting and connectivity, six months</w:t>
            </w:r>
          </w:p>
        </w:tc>
        <w:tc>
          <w:tcPr>
            <w:tcW w:type="dxa" w:w="1500"/>
            <w:shd w:fill="FFFFFF" w:val="clear"/>
            <w:tcMar>
              <w:top w:type="dxa" w:w="50"/>
              <w:left w:type="dxa" w:w="100"/>
              <w:bottom w:type="dxa" w:w="50"/>
              <w:right w:type="dxa" w:w="100"/>
            </w:tcMar>
          </w:tcPr>
          <w:p>
            <w:pPr>
              <w:jc w:val="right"/>
            </w:pPr>
            <w:r>
              <w:rPr>
                <w:b w:val="false"/>
                <w:bCs w:val="false"/>
                <w:color w:val="222222"/>
                <w:sz w:val="20"/>
                <w:szCs w:val="20"/>
              </w:rPr>
              <w:t xml:space="preserve">45,000</w:t>
            </w:r>
          </w:p>
        </w:tc>
      </w:tr>
      <w:tr>
        <w:trPr>
          <w:cantSplit/>
        </w:trPr>
        <w:tc>
          <w:tcPr>
            <w:tcW w:type="dxa" w:w="2600"/>
            <w:shd w:fill="EAF0F8" w:val="clear"/>
            <w:tcMar>
              <w:top w:type="dxa" w:w="50"/>
              <w:left w:type="dxa" w:w="100"/>
              <w:bottom w:type="dxa" w:w="50"/>
              <w:right w:type="dxa" w:w="100"/>
            </w:tcMar>
          </w:tcPr>
          <w:p>
            <w:pPr>
              <w:jc w:val="left"/>
            </w:pPr>
            <w:r>
              <w:rPr>
                <w:b w:val="false"/>
                <w:bCs w:val="false"/>
                <w:color w:val="222222"/>
                <w:sz w:val="20"/>
                <w:szCs w:val="20"/>
              </w:rPr>
              <w:t xml:space="preserve">Pilot deployment</w:t>
            </w:r>
          </w:p>
        </w:tc>
        <w:tc>
          <w:tcPr>
            <w:tcW w:type="dxa" w:w="4900"/>
            <w:shd w:fill="EAF0F8" w:val="clear"/>
            <w:tcMar>
              <w:top w:type="dxa" w:w="50"/>
              <w:left w:type="dxa" w:w="100"/>
              <w:bottom w:type="dxa" w:w="50"/>
              <w:right w:type="dxa" w:w="100"/>
            </w:tcMar>
          </w:tcPr>
          <w:p>
            <w:pPr>
              <w:jc w:val="left"/>
            </w:pPr>
            <w:r>
              <w:rPr>
                <w:b w:val="false"/>
                <w:bCs w:val="false"/>
                <w:color w:val="222222"/>
                <w:sz w:val="20"/>
                <w:szCs w:val="20"/>
              </w:rPr>
              <w:t xml:space="preserve">Onboarding and support for three pilot sites</w:t>
            </w:r>
          </w:p>
        </w:tc>
        <w:tc>
          <w:tcPr>
            <w:tcW w:type="dxa" w:w="1500"/>
            <w:shd w:fill="EAF0F8" w:val="clear"/>
            <w:tcMar>
              <w:top w:type="dxa" w:w="50"/>
              <w:left w:type="dxa" w:w="100"/>
              <w:bottom w:type="dxa" w:w="50"/>
              <w:right w:type="dxa" w:w="100"/>
            </w:tcMar>
          </w:tcPr>
          <w:p>
            <w:pPr>
              <w:jc w:val="right"/>
            </w:pPr>
            <w:r>
              <w:rPr>
                <w:b w:val="false"/>
                <w:bCs w:val="false"/>
                <w:color w:val="222222"/>
                <w:sz w:val="20"/>
                <w:szCs w:val="20"/>
              </w:rPr>
              <w:t xml:space="preserve">60,000</w:t>
            </w:r>
          </w:p>
        </w:tc>
      </w:tr>
      <w:tr>
        <w:trPr>
          <w:cantSplit/>
        </w:trPr>
        <w:tc>
          <w:tcPr>
            <w:tcW w:type="dxa" w:w="2600"/>
            <w:shd w:fill="FFFFFF" w:val="clear"/>
            <w:tcMar>
              <w:top w:type="dxa" w:w="50"/>
              <w:left w:type="dxa" w:w="100"/>
              <w:bottom w:type="dxa" w:w="50"/>
              <w:right w:type="dxa" w:w="100"/>
            </w:tcMar>
          </w:tcPr>
          <w:p>
            <w:pPr>
              <w:jc w:val="left"/>
            </w:pPr>
            <w:r>
              <w:rPr>
                <w:b w:val="false"/>
                <w:bCs w:val="false"/>
                <w:color w:val="222222"/>
                <w:sz w:val="20"/>
                <w:szCs w:val="20"/>
              </w:rPr>
              <w:t xml:space="preserve">Business development</w:t>
            </w:r>
          </w:p>
        </w:tc>
        <w:tc>
          <w:tcPr>
            <w:tcW w:type="dxa" w:w="4900"/>
            <w:shd w:fill="FFFFFF" w:val="clear"/>
            <w:tcMar>
              <w:top w:type="dxa" w:w="50"/>
              <w:left w:type="dxa" w:w="100"/>
              <w:bottom w:type="dxa" w:w="50"/>
              <w:right w:type="dxa" w:w="100"/>
            </w:tcMar>
          </w:tcPr>
          <w:p>
            <w:pPr>
              <w:jc w:val="left"/>
            </w:pPr>
            <w:r>
              <w:rPr>
                <w:b w:val="false"/>
                <w:bCs w:val="false"/>
                <w:color w:val="222222"/>
                <w:sz w:val="20"/>
                <w:szCs w:val="20"/>
              </w:rPr>
              <w:t xml:space="preserve">Travel, demonstrations and client meetings</w:t>
            </w:r>
          </w:p>
        </w:tc>
        <w:tc>
          <w:tcPr>
            <w:tcW w:type="dxa" w:w="1500"/>
            <w:shd w:fill="FFFFFF" w:val="clear"/>
            <w:tcMar>
              <w:top w:type="dxa" w:w="50"/>
              <w:left w:type="dxa" w:w="100"/>
              <w:bottom w:type="dxa" w:w="50"/>
              <w:right w:type="dxa" w:w="100"/>
            </w:tcMar>
          </w:tcPr>
          <w:p>
            <w:pPr>
              <w:jc w:val="right"/>
            </w:pPr>
            <w:r>
              <w:rPr>
                <w:b w:val="false"/>
                <w:bCs w:val="false"/>
                <w:color w:val="222222"/>
                <w:sz w:val="20"/>
                <w:szCs w:val="20"/>
              </w:rPr>
              <w:t xml:space="preserve">50,000</w:t>
            </w:r>
          </w:p>
        </w:tc>
      </w:tr>
      <w:tr>
        <w:trPr>
          <w:cantSplit/>
        </w:trPr>
        <w:tc>
          <w:tcPr>
            <w:tcW w:type="dxa" w:w="2600"/>
            <w:shd w:fill="EAF0F8" w:val="clear"/>
            <w:tcMar>
              <w:top w:type="dxa" w:w="50"/>
              <w:left w:type="dxa" w:w="100"/>
              <w:bottom w:type="dxa" w:w="50"/>
              <w:right w:type="dxa" w:w="100"/>
            </w:tcMar>
          </w:tcPr>
          <w:p>
            <w:pPr>
              <w:jc w:val="left"/>
            </w:pPr>
            <w:r>
              <w:rPr>
                <w:b w:val="false"/>
                <w:bCs w:val="false"/>
                <w:color w:val="222222"/>
                <w:sz w:val="20"/>
                <w:szCs w:val="20"/>
              </w:rPr>
              <w:t xml:space="preserve">Registration and compliance</w:t>
            </w:r>
          </w:p>
        </w:tc>
        <w:tc>
          <w:tcPr>
            <w:tcW w:type="dxa" w:w="4900"/>
            <w:shd w:fill="EAF0F8" w:val="clear"/>
            <w:tcMar>
              <w:top w:type="dxa" w:w="50"/>
              <w:left w:type="dxa" w:w="100"/>
              <w:bottom w:type="dxa" w:w="50"/>
              <w:right w:type="dxa" w:w="100"/>
            </w:tcMar>
          </w:tcPr>
          <w:p>
            <w:pPr>
              <w:jc w:val="left"/>
            </w:pPr>
            <w:r>
              <w:rPr>
                <w:b w:val="false"/>
                <w:bCs w:val="false"/>
                <w:color w:val="222222"/>
                <w:sz w:val="20"/>
                <w:szCs w:val="20"/>
              </w:rPr>
              <w:t xml:space="preserve">Company registration and DPIIT filing</w:t>
            </w:r>
          </w:p>
        </w:tc>
        <w:tc>
          <w:tcPr>
            <w:tcW w:type="dxa" w:w="1500"/>
            <w:shd w:fill="EAF0F8" w:val="clear"/>
            <w:tcMar>
              <w:top w:type="dxa" w:w="50"/>
              <w:left w:type="dxa" w:w="100"/>
              <w:bottom w:type="dxa" w:w="50"/>
              <w:right w:type="dxa" w:w="100"/>
            </w:tcMar>
          </w:tcPr>
          <w:p>
            <w:pPr>
              <w:jc w:val="right"/>
            </w:pPr>
            <w:r>
              <w:rPr>
                <w:b w:val="false"/>
                <w:bCs w:val="false"/>
                <w:color w:val="222222"/>
                <w:sz w:val="20"/>
                <w:szCs w:val="20"/>
              </w:rPr>
              <w:t xml:space="preserve">40,000</w:t>
            </w:r>
          </w:p>
        </w:tc>
      </w:tr>
      <w:tr>
        <w:trPr>
          <w:cantSplit/>
        </w:trPr>
        <w:tc>
          <w:tcPr>
            <w:tcW w:type="dxa" w:w="2600"/>
            <w:shd w:fill="FFFFFF" w:val="clear"/>
            <w:tcMar>
              <w:top w:type="dxa" w:w="50"/>
              <w:left w:type="dxa" w:w="100"/>
              <w:bottom w:type="dxa" w:w="50"/>
              <w:right w:type="dxa" w:w="100"/>
            </w:tcMar>
          </w:tcPr>
          <w:p>
            <w:pPr>
              <w:jc w:val="left"/>
            </w:pPr>
            <w:r>
              <w:rPr>
                <w:b w:val="false"/>
                <w:bCs w:val="false"/>
                <w:color w:val="222222"/>
                <w:sz w:val="20"/>
                <w:szCs w:val="20"/>
              </w:rPr>
              <w:t xml:space="preserve">Software and tooling</w:t>
            </w:r>
          </w:p>
        </w:tc>
        <w:tc>
          <w:tcPr>
            <w:tcW w:type="dxa" w:w="4900"/>
            <w:shd w:fill="FFFFFF" w:val="clear"/>
            <w:tcMar>
              <w:top w:type="dxa" w:w="50"/>
              <w:left w:type="dxa" w:w="100"/>
              <w:bottom w:type="dxa" w:w="50"/>
              <w:right w:type="dxa" w:w="100"/>
            </w:tcMar>
          </w:tcPr>
          <w:p>
            <w:pPr>
              <w:jc w:val="left"/>
            </w:pPr>
            <w:r>
              <w:rPr>
                <w:b w:val="false"/>
                <w:bCs w:val="false"/>
                <w:color w:val="222222"/>
                <w:sz w:val="20"/>
                <w:szCs w:val="20"/>
              </w:rPr>
              <w:t xml:space="preserve">Development tooling, storage and services</w:t>
            </w:r>
          </w:p>
        </w:tc>
        <w:tc>
          <w:tcPr>
            <w:tcW w:type="dxa" w:w="1500"/>
            <w:shd w:fill="FFFFFF" w:val="clear"/>
            <w:tcMar>
              <w:top w:type="dxa" w:w="50"/>
              <w:left w:type="dxa" w:w="100"/>
              <w:bottom w:type="dxa" w:w="50"/>
              <w:right w:type="dxa" w:w="100"/>
            </w:tcMar>
          </w:tcPr>
          <w:p>
            <w:pPr>
              <w:jc w:val="right"/>
            </w:pPr>
            <w:r>
              <w:rPr>
                <w:b w:val="false"/>
                <w:bCs w:val="false"/>
                <w:color w:val="222222"/>
                <w:sz w:val="20"/>
                <w:szCs w:val="20"/>
              </w:rPr>
              <w:t xml:space="preserve">35,000</w:t>
            </w:r>
          </w:p>
        </w:tc>
      </w:tr>
      <w:tr>
        <w:trPr>
          <w:cantSplit/>
        </w:trPr>
        <w:tc>
          <w:tcPr>
            <w:tcW w:type="dxa" w:w="2600"/>
            <w:shd w:fill="EAF0F8" w:val="clear"/>
            <w:tcMar>
              <w:top w:type="dxa" w:w="50"/>
              <w:left w:type="dxa" w:w="100"/>
              <w:bottom w:type="dxa" w:w="50"/>
              <w:right w:type="dxa" w:w="100"/>
            </w:tcMar>
          </w:tcPr>
          <w:p>
            <w:pPr>
              <w:jc w:val="left"/>
            </w:pPr>
            <w:r>
              <w:rPr>
                <w:b w:val="false"/>
                <w:bCs w:val="false"/>
                <w:color w:val="222222"/>
                <w:sz w:val="20"/>
                <w:szCs w:val="20"/>
              </w:rPr>
              <w:t xml:space="preserve">Contingency</w:t>
            </w:r>
          </w:p>
        </w:tc>
        <w:tc>
          <w:tcPr>
            <w:tcW w:type="dxa" w:w="4900"/>
            <w:shd w:fill="EAF0F8" w:val="clear"/>
            <w:tcMar>
              <w:top w:type="dxa" w:w="50"/>
              <w:left w:type="dxa" w:w="100"/>
              <w:bottom w:type="dxa" w:w="50"/>
              <w:right w:type="dxa" w:w="100"/>
            </w:tcMar>
          </w:tcPr>
          <w:p>
            <w:pPr>
              <w:jc w:val="left"/>
            </w:pPr>
            <w:r>
              <w:rPr>
                <w:b w:val="false"/>
                <w:bCs w:val="false"/>
                <w:color w:val="222222"/>
                <w:sz w:val="20"/>
                <w:szCs w:val="20"/>
              </w:rPr>
              <w:t xml:space="preserve">Reserve against cost variation, 15 percent</w:t>
            </w:r>
          </w:p>
        </w:tc>
        <w:tc>
          <w:tcPr>
            <w:tcW w:type="dxa" w:w="1500"/>
            <w:shd w:fill="EAF0F8" w:val="clear"/>
            <w:tcMar>
              <w:top w:type="dxa" w:w="50"/>
              <w:left w:type="dxa" w:w="100"/>
              <w:bottom w:type="dxa" w:w="50"/>
              <w:right w:type="dxa" w:w="100"/>
            </w:tcMar>
          </w:tcPr>
          <w:p>
            <w:pPr>
              <w:jc w:val="right"/>
            </w:pPr>
            <w:r>
              <w:rPr>
                <w:b w:val="false"/>
                <w:bCs w:val="false"/>
                <w:color w:val="222222"/>
                <w:sz w:val="20"/>
                <w:szCs w:val="20"/>
              </w:rPr>
              <w:t xml:space="preserve">70,000</w:t>
            </w:r>
          </w:p>
        </w:tc>
      </w:tr>
      <w:tr>
        <w:trPr>
          <w:cantSplit/>
        </w:trPr>
        <w:tc>
          <w:tcPr>
            <w:tcW w:type="dxa" w:w="2600"/>
            <w:shd w:fill="D6E0F0" w:val="clear"/>
            <w:tcMar>
              <w:top w:type="dxa" w:w="50"/>
              <w:left w:type="dxa" w:w="100"/>
              <w:bottom w:type="dxa" w:w="50"/>
              <w:right w:type="dxa" w:w="100"/>
            </w:tcMar>
          </w:tcPr>
          <w:p>
            <w:pPr>
              <w:jc w:val="left"/>
            </w:pPr>
            <w:r>
              <w:rPr>
                <w:b/>
                <w:bCs/>
                <w:color w:val="222222"/>
                <w:sz w:val="20"/>
                <w:szCs w:val="20"/>
              </w:rPr>
              <w:t xml:space="preserve">Total</w:t>
            </w:r>
          </w:p>
        </w:tc>
        <w:tc>
          <w:tcPr>
            <w:tcW w:type="dxa" w:w="4900"/>
            <w:shd w:fill="D6E0F0" w:val="clear"/>
            <w:tcMar>
              <w:top w:type="dxa" w:w="50"/>
              <w:left w:type="dxa" w:w="100"/>
              <w:bottom w:type="dxa" w:w="50"/>
              <w:right w:type="dxa" w:w="100"/>
            </w:tcMar>
          </w:tcPr>
          <w:p>
            <w:pPr>
              <w:jc w:val="left"/>
            </w:pPr>
            <w:r>
              <w:rPr>
                <w:b/>
                <w:bCs/>
                <w:color w:val="222222"/>
                <w:sz w:val="20"/>
                <w:szCs w:val="20"/>
              </w:rPr>
              <w:t xml:space="preserve"/>
            </w:r>
          </w:p>
        </w:tc>
        <w:tc>
          <w:tcPr>
            <w:tcW w:type="dxa" w:w="1500"/>
            <w:shd w:fill="D6E0F0" w:val="clear"/>
            <w:tcMar>
              <w:top w:type="dxa" w:w="50"/>
              <w:left w:type="dxa" w:w="100"/>
              <w:bottom w:type="dxa" w:w="50"/>
              <w:right w:type="dxa" w:w="100"/>
            </w:tcMar>
          </w:tcPr>
          <w:p>
            <w:pPr>
              <w:jc w:val="right"/>
            </w:pPr>
            <w:r>
              <w:rPr>
                <w:b/>
                <w:bCs/>
                <w:color w:val="222222"/>
                <w:sz w:val="20"/>
                <w:szCs w:val="20"/>
              </w:rPr>
              <w:t xml:space="preserve">4,50,000</w:t>
            </w:r>
          </w:p>
        </w:tc>
      </w:tr>
    </w:tbl>
    <w:p>
      <w:pPr>
        <w:spacing w:after="60" w:line="276"/>
        <w:jc w:val="both"/>
      </w:pPr>
      <w:r>
        <w:rPr>
          <w:b w:val="false"/>
          <w:bCs w:val="false"/>
          <w:i w:val="false"/>
          <w:iCs w:val="false"/>
          <w:color w:val="222222"/>
          <w:sz w:val="22"/>
          <w:szCs w:val="22"/>
        </w:rPr>
        <w:t xml:space="preserve">The platform is built entirely on open-source infrastructure and efficient local AI models, which is why the compute and running costs above are modest relative to comparable AI systems.</w:t>
      </w:r>
    </w:p>
    <w:p>
      <w:pPr>
        <w:pBdr>
          <w:bottom w:val="single" w:color="CCCCCC" w:sz="6" w:space="1"/>
        </w:pBdr>
        <w:spacing w:after="80" w:before="80"/>
      </w:pPr>
    </w:p>
    <w:p>
      <w:pPr>
        <w:pStyle w:val="Heading1"/>
        <w:spacing w:after="140" w:before="320"/>
      </w:pPr>
      <w:r>
        <w:rPr>
          <w:b/>
          <w:bCs/>
          <w:color w:val="1F3864"/>
          <w:sz w:val="30"/>
          <w:szCs w:val="30"/>
        </w:rPr>
        <w:t xml:space="preserve">4. Deployment Plan</w:t>
      </w:r>
    </w:p>
    <w:p>
      <w:pPr>
        <w:spacing w:after="120" w:line="276"/>
        <w:jc w:val="both"/>
      </w:pPr>
      <w:r>
        <w:rPr>
          <w:b w:val="false"/>
          <w:bCs w:val="false"/>
          <w:i w:val="false"/>
          <w:iCs w:val="false"/>
          <w:color w:val="222222"/>
          <w:sz w:val="22"/>
          <w:szCs w:val="22"/>
        </w:rPr>
        <w:t xml:space="preserve">The six-month plan runs three workstreams in parallel.</w:t>
      </w:r>
    </w:p>
    <w:p>
      <w:pPr>
        <w:pStyle w:val="Heading2"/>
        <w:spacing w:after="100" w:before="200"/>
      </w:pPr>
      <w:r>
        <w:rPr>
          <w:b/>
          <w:bCs/>
          <w:color w:val="2E5AAC"/>
          <w:sz w:val="24"/>
          <w:szCs w:val="24"/>
        </w:rPr>
        <w:t xml:space="preserve">4.1 Product Development (Months 1 to 2.5)</w:t>
      </w:r>
    </w:p>
    <w:p>
      <w:pPr>
        <w:spacing w:after="120" w:line="276"/>
        <w:jc w:val="both"/>
      </w:pPr>
      <w:r>
        <w:rPr>
          <w:b w:val="false"/>
          <w:bCs w:val="false"/>
          <w:i w:val="false"/>
          <w:iCs w:val="false"/>
          <w:color w:val="222222"/>
          <w:sz w:val="22"/>
          <w:szCs w:val="22"/>
        </w:rPr>
        <w:t xml:space="preserve">Completion of the analytical query engine, which allows the system to answer complex logical questions over structured institutional records rather than only retrieving text. This is the capability that most separates the platform from general-purpose AI tools, and it is the immediate development priority. Infrastructure setup and system hardening run alongside it.</w:t>
      </w:r>
    </w:p>
    <w:p>
      <w:pPr>
        <w:pStyle w:val="Heading2"/>
        <w:spacing w:after="100" w:before="200"/>
      </w:pPr>
      <w:r>
        <w:rPr>
          <w:b/>
          <w:bCs/>
          <w:color w:val="2E5AAC"/>
          <w:sz w:val="24"/>
          <w:szCs w:val="24"/>
        </w:rPr>
        <w:t xml:space="preserve">4.2 Pilot Deployment (Months 2 to 5.5)</w:t>
      </w:r>
    </w:p>
    <w:p>
      <w:pPr>
        <w:spacing w:after="120" w:line="276"/>
        <w:jc w:val="both"/>
      </w:pPr>
      <w:r>
        <w:rPr>
          <w:b w:val="false"/>
          <w:bCs w:val="false"/>
          <w:i w:val="false"/>
          <w:iCs w:val="false"/>
          <w:color w:val="222222"/>
          <w:sz w:val="22"/>
          <w:szCs w:val="22"/>
        </w:rPr>
        <w:t xml:space="preserve">The first pilot organization is onboarded in Month 2, with a validation and iteration cycle following in Months 3 and 4. Two further pilots are onboarded from Month 4. Each pilot produces measured outcomes, specifically staff hours saved and query volume served, which become the evidence base for commercial conversations.</w:t>
      </w:r>
    </w:p>
    <w:p>
      <w:pPr>
        <w:pStyle w:val="Heading2"/>
        <w:spacing w:after="100" w:before="200"/>
      </w:pPr>
      <w:r>
        <w:rPr>
          <w:b/>
          <w:bCs/>
          <w:color w:val="2E5AAC"/>
          <w:sz w:val="24"/>
          <w:szCs w:val="24"/>
        </w:rPr>
        <w:t xml:space="preserve">4.3 Business Development (Months 1 to 6)</w:t>
      </w:r>
    </w:p>
    <w:p>
      <w:pPr>
        <w:spacing w:after="120" w:line="276"/>
        <w:jc w:val="both"/>
      </w:pPr>
      <w:r>
        <w:rPr>
          <w:b w:val="false"/>
          <w:bCs w:val="false"/>
          <w:i w:val="false"/>
          <w:iCs w:val="false"/>
          <w:color w:val="222222"/>
          <w:sz w:val="22"/>
          <w:szCs w:val="22"/>
        </w:rPr>
        <w:t xml:space="preserve">Outreach runs continuously from Month 1, drawing on an existing professional network of over 7,200 industry connections. DPIIT recognition is filed in Month 3. Conversion of pilot users to paid subscriptions begins in Month 4.5, with a documented case study and revenue report completed by Month 6.</w:t>
      </w:r>
    </w:p>
    <w:p>
      <w:r>
        <w:br w:type="page"/>
      </w:r>
    </w:p>
    <w:p>
      <w:pPr>
        <w:pStyle w:val="Heading1"/>
        <w:spacing w:after="140" w:before="320"/>
      </w:pPr>
      <w:r>
        <w:rPr>
          <w:b/>
          <w:bCs/>
          <w:color w:val="1F3864"/>
          <w:sz w:val="30"/>
          <w:szCs w:val="30"/>
        </w:rPr>
        <w:t xml:space="preserve">5. Milestone Schedule</w:t>
      </w:r>
    </w:p>
    <w:p>
      <w:pPr>
        <w:spacing w:after="120" w:line="276"/>
        <w:jc w:val="both"/>
      </w:pPr>
      <w:r>
        <w:rPr>
          <w:b w:val="false"/>
          <w:bCs w:val="false"/>
          <w:i w:val="false"/>
          <w:iCs w:val="false"/>
          <w:color w:val="222222"/>
          <w:sz w:val="22"/>
          <w:szCs w:val="22"/>
        </w:rPr>
        <w:t xml:space="preserve">The chart below sets out the six-month schedule across all three workstreams.</w:t>
      </w:r>
    </w:p>
    <w:p>
      <w:pPr>
        <w:spacing w:after="160" w:before="14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62250"/>
                    </a:xfrm>
                    <a:prstGeom prst="rect">
                      <a:avLst/>
                    </a:prstGeom>
                  </pic:spPr>
                </pic:pic>
              </a:graphicData>
            </a:graphic>
          </wp:inline>
        </w:drawing>
      </w:r>
    </w:p>
    <w:p>
      <w:pPr>
        <w:pStyle w:val="Heading2"/>
        <w:spacing w:after="100" w:before="200"/>
      </w:pPr>
      <w:r>
        <w:rPr>
          <w:b/>
          <w:bCs/>
          <w:color w:val="2E5AAC"/>
          <w:sz w:val="24"/>
          <w:szCs w:val="24"/>
        </w:rPr>
        <w:t xml:space="preserve">5.1 Milestone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cantSplit/>
          <w:tblHeader/>
        </w:trPr>
        <w:tc>
          <w:tcPr>
            <w:tcW w:type="dxa" w:w="1400"/>
            <w:shd w:fill="1F3864" w:val="clear"/>
            <w:tcMar>
              <w:top w:type="dxa" w:w="60"/>
              <w:left w:type="dxa" w:w="100"/>
              <w:bottom w:type="dxa" w:w="60"/>
              <w:right w:type="dxa" w:w="100"/>
            </w:tcMar>
          </w:tcPr>
          <w:p>
            <w:pPr>
              <w:jc w:val="left"/>
            </w:pPr>
            <w:r>
              <w:rPr>
                <w:b/>
                <w:bCs/>
                <w:color w:val="FFFFFF"/>
                <w:sz w:val="20"/>
                <w:szCs w:val="20"/>
              </w:rPr>
              <w:t xml:space="preserve">Month</w:t>
            </w:r>
          </w:p>
        </w:tc>
        <w:tc>
          <w:tcPr>
            <w:tcW w:type="dxa" w:w="3600"/>
            <w:shd w:fill="1F3864" w:val="clear"/>
            <w:tcMar>
              <w:top w:type="dxa" w:w="60"/>
              <w:left w:type="dxa" w:w="100"/>
              <w:bottom w:type="dxa" w:w="60"/>
              <w:right w:type="dxa" w:w="100"/>
            </w:tcMar>
          </w:tcPr>
          <w:p>
            <w:pPr>
              <w:jc w:val="left"/>
            </w:pPr>
            <w:r>
              <w:rPr>
                <w:b/>
                <w:bCs/>
                <w:color w:val="FFFFFF"/>
                <w:sz w:val="20"/>
                <w:szCs w:val="20"/>
              </w:rPr>
              <w:t xml:space="preserve">Milestone</w:t>
            </w:r>
          </w:p>
        </w:tc>
        <w:tc>
          <w:tcPr>
            <w:tcW w:type="dxa" w:w="4000"/>
            <w:shd w:fill="1F3864" w:val="clear"/>
            <w:tcMar>
              <w:top w:type="dxa" w:w="60"/>
              <w:left w:type="dxa" w:w="100"/>
              <w:bottom w:type="dxa" w:w="60"/>
              <w:right w:type="dxa" w:w="100"/>
            </w:tcMar>
          </w:tcPr>
          <w:p>
            <w:pPr>
              <w:jc w:val="left"/>
            </w:pPr>
            <w:r>
              <w:rPr>
                <w:b/>
                <w:bCs/>
                <w:color w:val="FFFFFF"/>
                <w:sz w:val="20"/>
                <w:szCs w:val="20"/>
              </w:rPr>
              <w:t xml:space="preserve">Verifiable Deliverable</w:t>
            </w:r>
          </w:p>
        </w:tc>
      </w:tr>
      <w:tr>
        <w:trPr>
          <w:cantSplit/>
        </w:trPr>
        <w:tc>
          <w:tcPr>
            <w:tcW w:type="dxa" w:w="1400"/>
            <w:shd w:fill="EAF0F8" w:val="clear"/>
            <w:tcMar>
              <w:top w:type="dxa" w:w="50"/>
              <w:left w:type="dxa" w:w="100"/>
              <w:bottom w:type="dxa" w:w="50"/>
              <w:right w:type="dxa" w:w="100"/>
            </w:tcMar>
          </w:tcPr>
          <w:p>
            <w:pPr>
              <w:jc w:val="left"/>
            </w:pPr>
            <w:r>
              <w:rPr>
                <w:color w:val="222222"/>
                <w:sz w:val="20"/>
                <w:szCs w:val="20"/>
              </w:rPr>
              <w:t xml:space="preserve">Month 1</w:t>
            </w:r>
          </w:p>
        </w:tc>
        <w:tc>
          <w:tcPr>
            <w:tcW w:type="dxa" w:w="3600"/>
            <w:shd w:fill="EAF0F8" w:val="clear"/>
            <w:tcMar>
              <w:top w:type="dxa" w:w="50"/>
              <w:left w:type="dxa" w:w="100"/>
              <w:bottom w:type="dxa" w:w="50"/>
              <w:right w:type="dxa" w:w="100"/>
            </w:tcMar>
          </w:tcPr>
          <w:p>
            <w:pPr>
              <w:jc w:val="left"/>
            </w:pPr>
            <w:r>
              <w:rPr>
                <w:color w:val="222222"/>
                <w:sz w:val="20"/>
                <w:szCs w:val="20"/>
              </w:rPr>
              <w:t xml:space="preserve">Infrastructure operational</w:t>
            </w:r>
          </w:p>
        </w:tc>
        <w:tc>
          <w:tcPr>
            <w:tcW w:type="dxa" w:w="4000"/>
            <w:shd w:fill="EAF0F8" w:val="clear"/>
            <w:tcMar>
              <w:top w:type="dxa" w:w="50"/>
              <w:left w:type="dxa" w:w="100"/>
              <w:bottom w:type="dxa" w:w="50"/>
              <w:right w:type="dxa" w:w="100"/>
            </w:tcMar>
          </w:tcPr>
          <w:p>
            <w:pPr>
              <w:jc w:val="left"/>
            </w:pPr>
            <w:r>
              <w:rPr>
                <w:color w:val="222222"/>
                <w:sz w:val="20"/>
                <w:szCs w:val="20"/>
              </w:rPr>
              <w:t xml:space="preserve">Platform running on funded compute</w:t>
            </w:r>
          </w:p>
        </w:tc>
      </w:tr>
      <w:tr>
        <w:trPr>
          <w:cantSplit/>
        </w:trPr>
        <w:tc>
          <w:tcPr>
            <w:tcW w:type="dxa" w:w="1400"/>
            <w:shd w:fill="FFFFFF" w:val="clear"/>
            <w:tcMar>
              <w:top w:type="dxa" w:w="50"/>
              <w:left w:type="dxa" w:w="100"/>
              <w:bottom w:type="dxa" w:w="50"/>
              <w:right w:type="dxa" w:w="100"/>
            </w:tcMar>
          </w:tcPr>
          <w:p>
            <w:pPr>
              <w:jc w:val="left"/>
            </w:pPr>
            <w:r>
              <w:rPr>
                <w:color w:val="222222"/>
                <w:sz w:val="20"/>
                <w:szCs w:val="20"/>
              </w:rPr>
              <w:t xml:space="preserve">Month 2</w:t>
            </w:r>
          </w:p>
        </w:tc>
        <w:tc>
          <w:tcPr>
            <w:tcW w:type="dxa" w:w="3600"/>
            <w:shd w:fill="FFFFFF" w:val="clear"/>
            <w:tcMar>
              <w:top w:type="dxa" w:w="50"/>
              <w:left w:type="dxa" w:w="100"/>
              <w:bottom w:type="dxa" w:w="50"/>
              <w:right w:type="dxa" w:w="100"/>
            </w:tcMar>
          </w:tcPr>
          <w:p>
            <w:pPr>
              <w:jc w:val="left"/>
            </w:pPr>
            <w:r>
              <w:rPr>
                <w:color w:val="222222"/>
                <w:sz w:val="20"/>
                <w:szCs w:val="20"/>
              </w:rPr>
              <w:t xml:space="preserve">Analytical query engine complete</w:t>
            </w:r>
          </w:p>
        </w:tc>
        <w:tc>
          <w:tcPr>
            <w:tcW w:type="dxa" w:w="4000"/>
            <w:shd w:fill="FFFFFF" w:val="clear"/>
            <w:tcMar>
              <w:top w:type="dxa" w:w="50"/>
              <w:left w:type="dxa" w:w="100"/>
              <w:bottom w:type="dxa" w:w="50"/>
              <w:right w:type="dxa" w:w="100"/>
            </w:tcMar>
          </w:tcPr>
          <w:p>
            <w:pPr>
              <w:jc w:val="left"/>
            </w:pPr>
            <w:r>
              <w:rPr>
                <w:color w:val="222222"/>
                <w:sz w:val="20"/>
                <w:szCs w:val="20"/>
              </w:rPr>
              <w:t xml:space="preserve">Complex queries answered on real records</w:t>
            </w:r>
          </w:p>
        </w:tc>
      </w:tr>
      <w:tr>
        <w:trPr>
          <w:cantSplit/>
        </w:trPr>
        <w:tc>
          <w:tcPr>
            <w:tcW w:type="dxa" w:w="1400"/>
            <w:shd w:fill="EAF0F8" w:val="clear"/>
            <w:tcMar>
              <w:top w:type="dxa" w:w="50"/>
              <w:left w:type="dxa" w:w="100"/>
              <w:bottom w:type="dxa" w:w="50"/>
              <w:right w:type="dxa" w:w="100"/>
            </w:tcMar>
          </w:tcPr>
          <w:p>
            <w:pPr>
              <w:jc w:val="left"/>
            </w:pPr>
            <w:r>
              <w:rPr>
                <w:color w:val="222222"/>
                <w:sz w:val="20"/>
                <w:szCs w:val="20"/>
              </w:rPr>
              <w:t xml:space="preserve">Month 3</w:t>
            </w:r>
          </w:p>
        </w:tc>
        <w:tc>
          <w:tcPr>
            <w:tcW w:type="dxa" w:w="3600"/>
            <w:shd w:fill="EAF0F8" w:val="clear"/>
            <w:tcMar>
              <w:top w:type="dxa" w:w="50"/>
              <w:left w:type="dxa" w:w="100"/>
              <w:bottom w:type="dxa" w:w="50"/>
              <w:right w:type="dxa" w:w="100"/>
            </w:tcMar>
          </w:tcPr>
          <w:p>
            <w:pPr>
              <w:jc w:val="left"/>
            </w:pPr>
            <w:r>
              <w:rPr>
                <w:color w:val="222222"/>
                <w:sz w:val="20"/>
                <w:szCs w:val="20"/>
              </w:rPr>
              <w:t xml:space="preserve">First pilot live</w:t>
            </w:r>
          </w:p>
        </w:tc>
        <w:tc>
          <w:tcPr>
            <w:tcW w:type="dxa" w:w="4000"/>
            <w:shd w:fill="EAF0F8" w:val="clear"/>
            <w:tcMar>
              <w:top w:type="dxa" w:w="50"/>
              <w:left w:type="dxa" w:w="100"/>
              <w:bottom w:type="dxa" w:w="50"/>
              <w:right w:type="dxa" w:w="100"/>
            </w:tcMar>
          </w:tcPr>
          <w:p>
            <w:pPr>
              <w:jc w:val="left"/>
            </w:pPr>
            <w:r>
              <w:rPr>
                <w:color w:val="222222"/>
                <w:sz w:val="20"/>
                <w:szCs w:val="20"/>
              </w:rPr>
              <w:t xml:space="preserve">Deployment in daily use, usage logs available</w:t>
            </w:r>
          </w:p>
        </w:tc>
      </w:tr>
      <w:tr>
        <w:trPr>
          <w:cantSplit/>
        </w:trPr>
        <w:tc>
          <w:tcPr>
            <w:tcW w:type="dxa" w:w="1400"/>
            <w:shd w:fill="FFFFFF" w:val="clear"/>
            <w:tcMar>
              <w:top w:type="dxa" w:w="50"/>
              <w:left w:type="dxa" w:w="100"/>
              <w:bottom w:type="dxa" w:w="50"/>
              <w:right w:type="dxa" w:w="100"/>
            </w:tcMar>
          </w:tcPr>
          <w:p>
            <w:pPr>
              <w:jc w:val="left"/>
            </w:pPr>
            <w:r>
              <w:rPr>
                <w:color w:val="222222"/>
                <w:sz w:val="20"/>
                <w:szCs w:val="20"/>
              </w:rPr>
              <w:t xml:space="preserve">Month 3</w:t>
            </w:r>
          </w:p>
        </w:tc>
        <w:tc>
          <w:tcPr>
            <w:tcW w:type="dxa" w:w="3600"/>
            <w:shd w:fill="FFFFFF" w:val="clear"/>
            <w:tcMar>
              <w:top w:type="dxa" w:w="50"/>
              <w:left w:type="dxa" w:w="100"/>
              <w:bottom w:type="dxa" w:w="50"/>
              <w:right w:type="dxa" w:w="100"/>
            </w:tcMar>
          </w:tcPr>
          <w:p>
            <w:pPr>
              <w:jc w:val="left"/>
            </w:pPr>
            <w:r>
              <w:rPr>
                <w:color w:val="222222"/>
                <w:sz w:val="20"/>
                <w:szCs w:val="20"/>
              </w:rPr>
              <w:t xml:space="preserve">DPIIT recognition filed</w:t>
            </w:r>
          </w:p>
        </w:tc>
        <w:tc>
          <w:tcPr>
            <w:tcW w:type="dxa" w:w="4000"/>
            <w:shd w:fill="FFFFFF" w:val="clear"/>
            <w:tcMar>
              <w:top w:type="dxa" w:w="50"/>
              <w:left w:type="dxa" w:w="100"/>
              <w:bottom w:type="dxa" w:w="50"/>
              <w:right w:type="dxa" w:w="100"/>
            </w:tcMar>
          </w:tcPr>
          <w:p>
            <w:pPr>
              <w:jc w:val="left"/>
            </w:pPr>
            <w:r>
              <w:rPr>
                <w:color w:val="222222"/>
                <w:sz w:val="20"/>
                <w:szCs w:val="20"/>
              </w:rPr>
              <w:t xml:space="preserve">Application acknowledgement reference</w:t>
            </w:r>
          </w:p>
        </w:tc>
      </w:tr>
      <w:tr>
        <w:trPr>
          <w:cantSplit/>
        </w:trPr>
        <w:tc>
          <w:tcPr>
            <w:tcW w:type="dxa" w:w="1400"/>
            <w:shd w:fill="EAF0F8" w:val="clear"/>
            <w:tcMar>
              <w:top w:type="dxa" w:w="50"/>
              <w:left w:type="dxa" w:w="100"/>
              <w:bottom w:type="dxa" w:w="50"/>
              <w:right w:type="dxa" w:w="100"/>
            </w:tcMar>
          </w:tcPr>
          <w:p>
            <w:pPr>
              <w:jc w:val="left"/>
            </w:pPr>
            <w:r>
              <w:rPr>
                <w:color w:val="222222"/>
                <w:sz w:val="20"/>
                <w:szCs w:val="20"/>
              </w:rPr>
              <w:t xml:space="preserve">Month 4</w:t>
            </w:r>
          </w:p>
        </w:tc>
        <w:tc>
          <w:tcPr>
            <w:tcW w:type="dxa" w:w="3600"/>
            <w:shd w:fill="EAF0F8" w:val="clear"/>
            <w:tcMar>
              <w:top w:type="dxa" w:w="50"/>
              <w:left w:type="dxa" w:w="100"/>
              <w:bottom w:type="dxa" w:w="50"/>
              <w:right w:type="dxa" w:w="100"/>
            </w:tcMar>
          </w:tcPr>
          <w:p>
            <w:pPr>
              <w:jc w:val="left"/>
            </w:pPr>
            <w:r>
              <w:rPr>
                <w:color w:val="222222"/>
                <w:sz w:val="20"/>
                <w:szCs w:val="20"/>
              </w:rPr>
              <w:t xml:space="preserve">Pilot outcomes measured</w:t>
            </w:r>
          </w:p>
        </w:tc>
        <w:tc>
          <w:tcPr>
            <w:tcW w:type="dxa" w:w="4000"/>
            <w:shd w:fill="EAF0F8" w:val="clear"/>
            <w:tcMar>
              <w:top w:type="dxa" w:w="50"/>
              <w:left w:type="dxa" w:w="100"/>
              <w:bottom w:type="dxa" w:w="50"/>
              <w:right w:type="dxa" w:w="100"/>
            </w:tcMar>
          </w:tcPr>
          <w:p>
            <w:pPr>
              <w:jc w:val="left"/>
            </w:pPr>
            <w:r>
              <w:rPr>
                <w:color w:val="222222"/>
                <w:sz w:val="20"/>
                <w:szCs w:val="20"/>
              </w:rPr>
              <w:t xml:space="preserve">Record of hours saved and queries served</w:t>
            </w:r>
          </w:p>
        </w:tc>
      </w:tr>
      <w:tr>
        <w:trPr>
          <w:cantSplit/>
        </w:trPr>
        <w:tc>
          <w:tcPr>
            <w:tcW w:type="dxa" w:w="1400"/>
            <w:shd w:fill="FFFFFF" w:val="clear"/>
            <w:tcMar>
              <w:top w:type="dxa" w:w="50"/>
              <w:left w:type="dxa" w:w="100"/>
              <w:bottom w:type="dxa" w:w="50"/>
              <w:right w:type="dxa" w:w="100"/>
            </w:tcMar>
          </w:tcPr>
          <w:p>
            <w:pPr>
              <w:jc w:val="left"/>
            </w:pPr>
            <w:r>
              <w:rPr>
                <w:color w:val="222222"/>
                <w:sz w:val="20"/>
                <w:szCs w:val="20"/>
              </w:rPr>
              <w:t xml:space="preserve">Month 5</w:t>
            </w:r>
          </w:p>
        </w:tc>
        <w:tc>
          <w:tcPr>
            <w:tcW w:type="dxa" w:w="3600"/>
            <w:shd w:fill="FFFFFF" w:val="clear"/>
            <w:tcMar>
              <w:top w:type="dxa" w:w="50"/>
              <w:left w:type="dxa" w:w="100"/>
              <w:bottom w:type="dxa" w:w="50"/>
              <w:right w:type="dxa" w:w="100"/>
            </w:tcMar>
          </w:tcPr>
          <w:p>
            <w:pPr>
              <w:jc w:val="left"/>
            </w:pPr>
            <w:r>
              <w:rPr>
                <w:color w:val="222222"/>
                <w:sz w:val="20"/>
                <w:szCs w:val="20"/>
              </w:rPr>
              <w:t xml:space="preserve">Three pilots operational</w:t>
            </w:r>
          </w:p>
        </w:tc>
        <w:tc>
          <w:tcPr>
            <w:tcW w:type="dxa" w:w="4000"/>
            <w:shd w:fill="FFFFFF" w:val="clear"/>
            <w:tcMar>
              <w:top w:type="dxa" w:w="50"/>
              <w:left w:type="dxa" w:w="100"/>
              <w:bottom w:type="dxa" w:w="50"/>
              <w:right w:type="dxa" w:w="100"/>
            </w:tcMar>
          </w:tcPr>
          <w:p>
            <w:pPr>
              <w:jc w:val="left"/>
            </w:pPr>
            <w:r>
              <w:rPr>
                <w:color w:val="222222"/>
                <w:sz w:val="20"/>
                <w:szCs w:val="20"/>
              </w:rPr>
              <w:t xml:space="preserve">Two further organizations onboarded</w:t>
            </w:r>
          </w:p>
        </w:tc>
      </w:tr>
      <w:tr>
        <w:trPr>
          <w:cantSplit/>
        </w:trPr>
        <w:tc>
          <w:tcPr>
            <w:tcW w:type="dxa" w:w="1400"/>
            <w:shd w:fill="EAF0F8" w:val="clear"/>
            <w:tcMar>
              <w:top w:type="dxa" w:w="50"/>
              <w:left w:type="dxa" w:w="100"/>
              <w:bottom w:type="dxa" w:w="50"/>
              <w:right w:type="dxa" w:w="100"/>
            </w:tcMar>
          </w:tcPr>
          <w:p>
            <w:pPr>
              <w:jc w:val="left"/>
            </w:pPr>
            <w:r>
              <w:rPr>
                <w:color w:val="222222"/>
                <w:sz w:val="20"/>
                <w:szCs w:val="20"/>
              </w:rPr>
              <w:t xml:space="preserve">Month 6</w:t>
            </w:r>
          </w:p>
        </w:tc>
        <w:tc>
          <w:tcPr>
            <w:tcW w:type="dxa" w:w="3600"/>
            <w:shd w:fill="EAF0F8" w:val="clear"/>
            <w:tcMar>
              <w:top w:type="dxa" w:w="50"/>
              <w:left w:type="dxa" w:w="100"/>
              <w:bottom w:type="dxa" w:w="50"/>
              <w:right w:type="dxa" w:w="100"/>
            </w:tcMar>
          </w:tcPr>
          <w:p>
            <w:pPr>
              <w:jc w:val="left"/>
            </w:pPr>
            <w:r>
              <w:rPr>
                <w:color w:val="222222"/>
                <w:sz w:val="20"/>
                <w:szCs w:val="20"/>
              </w:rPr>
              <w:t xml:space="preserve">First revenue and case study</w:t>
            </w:r>
          </w:p>
        </w:tc>
        <w:tc>
          <w:tcPr>
            <w:tcW w:type="dxa" w:w="4000"/>
            <w:shd w:fill="EAF0F8" w:val="clear"/>
            <w:tcMar>
              <w:top w:type="dxa" w:w="50"/>
              <w:left w:type="dxa" w:w="100"/>
              <w:bottom w:type="dxa" w:w="50"/>
              <w:right w:type="dxa" w:w="100"/>
            </w:tcMar>
          </w:tcPr>
          <w:p>
            <w:pPr>
              <w:jc w:val="left"/>
            </w:pPr>
            <w:r>
              <w:rPr>
                <w:color w:val="222222"/>
                <w:sz w:val="20"/>
                <w:szCs w:val="20"/>
              </w:rPr>
              <w:t xml:space="preserve">Signed subscription and written case study</w:t>
            </w:r>
          </w:p>
        </w:tc>
      </w:tr>
    </w:tbl>
    <w:p>
      <w:r>
        <w:br w:type="page"/>
      </w:r>
    </w:p>
    <w:p>
      <w:pPr>
        <w:pStyle w:val="Heading1"/>
        <w:spacing w:after="140" w:before="320"/>
      </w:pPr>
      <w:r>
        <w:rPr>
          <w:b/>
          <w:bCs/>
          <w:color w:val="1F3864"/>
          <w:sz w:val="30"/>
          <w:szCs w:val="30"/>
        </w:rPr>
        <w:t xml:space="preserve">6. Expected Outcomes at Month 6</w:t>
      </w:r>
    </w:p>
    <w:p>
      <w:pPr>
        <w:spacing w:after="120" w:line="276"/>
        <w:jc w:val="both"/>
      </w:pPr>
      <w:r>
        <w:rPr>
          <w:b w:val="false"/>
          <w:bCs w:val="false"/>
          <w:i w:val="false"/>
          <w:iCs w:val="false"/>
          <w:color w:val="222222"/>
          <w:sz w:val="22"/>
          <w:szCs w:val="22"/>
        </w:rPr>
        <w:t xml:space="preserve">The fund is judged against outcomes that can be independently verified, not activity.</w:t>
      </w:r>
    </w:p>
    <w:p>
      <w:pPr>
        <w:pStyle w:val="ListParagraph"/>
        <w:numPr>
          <w:ilvl w:val="0"/>
          <w:numId w:val="2"/>
        </w:numPr>
        <w:spacing w:after="70" w:line="268"/>
      </w:pPr>
      <w:r>
        <w:rPr>
          <w:b/>
          <w:bCs/>
          <w:color w:val="1F3864"/>
          <w:sz w:val="22"/>
          <w:szCs w:val="22"/>
        </w:rPr>
        <w:t xml:space="preserve">Three live deployments: </w:t>
      </w:r>
      <w:r>
        <w:rPr>
          <w:color w:val="222222"/>
          <w:sz w:val="22"/>
          <w:szCs w:val="22"/>
        </w:rPr>
        <w:t xml:space="preserve">three organizations with the platform deployed and in regular use.</w:t>
      </w:r>
    </w:p>
    <w:p>
      <w:pPr>
        <w:pStyle w:val="ListParagraph"/>
        <w:numPr>
          <w:ilvl w:val="0"/>
          <w:numId w:val="2"/>
        </w:numPr>
        <w:spacing w:after="70" w:line="268"/>
      </w:pPr>
      <w:r>
        <w:rPr>
          <w:b/>
          <w:bCs/>
          <w:color w:val="1F3864"/>
          <w:sz w:val="22"/>
          <w:szCs w:val="22"/>
        </w:rPr>
        <w:t xml:space="preserve">First paying customer: </w:t>
      </w:r>
      <w:r>
        <w:rPr>
          <w:color w:val="222222"/>
          <w:sz w:val="22"/>
          <w:szCs w:val="22"/>
        </w:rPr>
        <w:t xml:space="preserve">at least one signed paid subscription, establishing that organizations will pay for the product.</w:t>
      </w:r>
    </w:p>
    <w:p>
      <w:pPr>
        <w:pStyle w:val="ListParagraph"/>
        <w:numPr>
          <w:ilvl w:val="0"/>
          <w:numId w:val="2"/>
        </w:numPr>
        <w:spacing w:after="70" w:line="268"/>
      </w:pPr>
      <w:r>
        <w:rPr>
          <w:b/>
          <w:bCs/>
          <w:color w:val="1F3864"/>
          <w:sz w:val="22"/>
          <w:szCs w:val="22"/>
        </w:rPr>
        <w:t xml:space="preserve">Documented evidence: </w:t>
      </w:r>
      <w:r>
        <w:rPr>
          <w:color w:val="222222"/>
          <w:sz w:val="22"/>
          <w:szCs w:val="22"/>
        </w:rPr>
        <w:t xml:space="preserve">a written case study containing measured time savings and usage data from a real deployment.</w:t>
      </w:r>
    </w:p>
    <w:p>
      <w:pPr>
        <w:pStyle w:val="ListParagraph"/>
        <w:numPr>
          <w:ilvl w:val="0"/>
          <w:numId w:val="2"/>
        </w:numPr>
        <w:spacing w:after="70" w:line="268"/>
      </w:pPr>
      <w:r>
        <w:rPr>
          <w:b/>
          <w:bCs/>
          <w:color w:val="1F3864"/>
          <w:sz w:val="22"/>
          <w:szCs w:val="22"/>
        </w:rPr>
        <w:t xml:space="preserve">Formal recognition: </w:t>
      </w:r>
      <w:r>
        <w:rPr>
          <w:color w:val="222222"/>
          <w:sz w:val="22"/>
          <w:szCs w:val="22"/>
        </w:rPr>
        <w:t xml:space="preserve">DPIIT recognition secured, opening access to national startup schemes and benefits.</w:t>
      </w:r>
    </w:p>
    <w:p>
      <w:pPr>
        <w:pStyle w:val="ListParagraph"/>
        <w:numPr>
          <w:ilvl w:val="0"/>
          <w:numId w:val="2"/>
        </w:numPr>
        <w:spacing w:after="70" w:line="268"/>
      </w:pPr>
      <w:r>
        <w:rPr>
          <w:b/>
          <w:bCs/>
          <w:color w:val="1F3864"/>
          <w:sz w:val="22"/>
          <w:szCs w:val="22"/>
        </w:rPr>
        <w:t xml:space="preserve">Production-ready platform: </w:t>
      </w:r>
      <w:r>
        <w:rPr>
          <w:color w:val="222222"/>
          <w:sz w:val="22"/>
          <w:szCs w:val="22"/>
        </w:rPr>
        <w:t xml:space="preserve">a stable, deployed system capable of supporting further organizations without additional development.</w:t>
      </w:r>
    </w:p>
    <w:p>
      <w:pPr>
        <w:pBdr>
          <w:bottom w:val="single" w:color="CCCCCC" w:sz="6" w:space="1"/>
        </w:pBdr>
        <w:spacing w:after="80" w:before="80"/>
      </w:pPr>
    </w:p>
    <w:p>
      <w:pPr>
        <w:pStyle w:val="Heading1"/>
        <w:spacing w:after="140" w:before="320"/>
      </w:pPr>
      <w:r>
        <w:rPr>
          <w:b/>
          <w:bCs/>
          <w:color w:val="1F3864"/>
          <w:sz w:val="30"/>
          <w:szCs w:val="30"/>
        </w:rPr>
        <w:t xml:space="preserve">7. Direction Beyond Month 6</w:t>
      </w:r>
    </w:p>
    <w:p>
      <w:pPr>
        <w:spacing w:after="120" w:line="276"/>
        <w:jc w:val="both"/>
      </w:pPr>
      <w:r>
        <w:rPr>
          <w:b w:val="false"/>
          <w:bCs w:val="false"/>
          <w:i w:val="false"/>
          <w:iCs w:val="false"/>
          <w:color w:val="222222"/>
          <w:sz w:val="22"/>
          <w:szCs w:val="22"/>
        </w:rPr>
        <w:t xml:space="preserve">Once the platform is proven and retained in its first deployments, the natural next step is to extend it from answering questions to surfacing issues without being asked.</w:t>
      </w:r>
    </w:p>
    <w:p>
      <w:pPr>
        <w:spacing w:after="120" w:line="276"/>
        <w:jc w:val="both"/>
      </w:pPr>
      <w:r>
        <w:rPr>
          <w:b w:val="false"/>
          <w:bCs w:val="false"/>
          <w:i w:val="false"/>
          <w:iCs w:val="false"/>
          <w:color w:val="222222"/>
          <w:sz w:val="22"/>
          <w:szCs w:val="22"/>
        </w:rPr>
        <w:t xml:space="preserve">For commercial customers, the highest-value application of that capability is operational and financial oversight: unbilled work, overdue receivables, duplicate payments and contract terms that lapse unnoticed. These losses are rarely detected because no single person reviews every document, and they accumulate quietly. A system that already holds and understands an organization's records is well placed to flag them.</w:t>
      </w:r>
    </w:p>
    <w:p>
      <w:pPr>
        <w:spacing w:after="120" w:line="276"/>
        <w:jc w:val="both"/>
      </w:pPr>
      <w:r>
        <w:rPr>
          <w:b w:val="false"/>
          <w:bCs w:val="false"/>
          <w:i/>
          <w:iCs/>
          <w:color w:val="222222"/>
          <w:sz w:val="22"/>
          <w:szCs w:val="22"/>
        </w:rPr>
        <w:t xml:space="preserve">This is stated here as the intended commercial direction for Phase 2, not as a current capability. It will be built only after the core platform demonstrates retention and paid usage in its first deployments.</w:t>
      </w:r>
    </w:p>
    <w:p>
      <w:pPr>
        <w:pBdr>
          <w:bottom w:val="single" w:color="CCCCCC" w:sz="6" w:space="1"/>
        </w:pBdr>
        <w:spacing w:after="80" w:before="80"/>
      </w:pPr>
    </w:p>
    <w:p>
      <w:pPr>
        <w:pStyle w:val="Heading1"/>
        <w:spacing w:after="140" w:before="320"/>
      </w:pPr>
      <w:r>
        <w:rPr>
          <w:b/>
          <w:bCs/>
          <w:color w:val="1F3864"/>
          <w:sz w:val="30"/>
          <w:szCs w:val="30"/>
        </w:rPr>
        <w:t xml:space="preserve">8.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Item</w:t>
            </w:r>
          </w:p>
        </w:tc>
        <w:tc>
          <w:tcPr>
            <w:tcW w:type="dxa" w:w="6400"/>
            <w:shd w:fill="1F3864" w:val="clear"/>
            <w:tcMar>
              <w:top w:type="dxa" w:w="60"/>
              <w:left w:type="dxa" w:w="100"/>
              <w:bottom w:type="dxa" w:w="60"/>
              <w:right w:type="dxa" w:w="100"/>
            </w:tcMar>
          </w:tcPr>
          <w:p>
            <w:pPr>
              <w:jc w:val="left"/>
            </w:pPr>
            <w:r>
              <w:rPr>
                <w:b/>
                <w:bCs/>
                <w:color w:val="FFFFFF"/>
                <w:sz w:val="20"/>
                <w:szCs w:val="20"/>
              </w:rPr>
              <w:t xml:space="preserve">Detail</w:t>
            </w:r>
          </w:p>
        </w:tc>
      </w:tr>
      <w:tr>
        <w:trPr>
          <w:cantSplit/>
        </w:trPr>
        <w:tc>
          <w:tcPr>
            <w:tcW w:type="dxa" w:w="2600"/>
            <w:shd w:fill="EAF0F8" w:val="clear"/>
            <w:tcMar>
              <w:top w:type="dxa" w:w="50"/>
              <w:left w:type="dxa" w:w="100"/>
              <w:bottom w:type="dxa" w:w="50"/>
              <w:right w:type="dxa" w:w="100"/>
            </w:tcMar>
          </w:tcPr>
          <w:p>
            <w:pPr>
              <w:jc w:val="left"/>
            </w:pPr>
            <w:r>
              <w:rPr>
                <w:color w:val="222222"/>
                <w:sz w:val="20"/>
                <w:szCs w:val="20"/>
              </w:rPr>
              <w:t xml:space="preserve">Amount requested</w:t>
            </w:r>
          </w:p>
        </w:tc>
        <w:tc>
          <w:tcPr>
            <w:tcW w:type="dxa" w:w="6400"/>
            <w:shd w:fill="EAF0F8" w:val="clear"/>
            <w:tcMar>
              <w:top w:type="dxa" w:w="50"/>
              <w:left w:type="dxa" w:w="100"/>
              <w:bottom w:type="dxa" w:w="50"/>
              <w:right w:type="dxa" w:w="100"/>
            </w:tcMar>
          </w:tcPr>
          <w:p>
            <w:pPr>
              <w:jc w:val="left"/>
            </w:pPr>
            <w:r>
              <w:rPr>
                <w:color w:val="222222"/>
                <w:sz w:val="20"/>
                <w:szCs w:val="20"/>
              </w:rPr>
              <w:t xml:space="preserve">₹4,50,000</w:t>
            </w:r>
          </w:p>
        </w:tc>
      </w:tr>
      <w:tr>
        <w:trPr>
          <w:cantSplit/>
        </w:trPr>
        <w:tc>
          <w:tcPr>
            <w:tcW w:type="dxa" w:w="2600"/>
            <w:shd w:fill="FFFFFF" w:val="clear"/>
            <w:tcMar>
              <w:top w:type="dxa" w:w="50"/>
              <w:left w:type="dxa" w:w="100"/>
              <w:bottom w:type="dxa" w:w="50"/>
              <w:right w:type="dxa" w:w="100"/>
            </w:tcMar>
          </w:tcPr>
          <w:p>
            <w:pPr>
              <w:jc w:val="left"/>
            </w:pPr>
            <w:r>
              <w:rPr>
                <w:color w:val="222222"/>
                <w:sz w:val="20"/>
                <w:szCs w:val="20"/>
              </w:rPr>
              <w:t xml:space="preserve">Period</w:t>
            </w:r>
          </w:p>
        </w:tc>
        <w:tc>
          <w:tcPr>
            <w:tcW w:type="dxa" w:w="6400"/>
            <w:shd w:fill="FFFFFF" w:val="clear"/>
            <w:tcMar>
              <w:top w:type="dxa" w:w="50"/>
              <w:left w:type="dxa" w:w="100"/>
              <w:bottom w:type="dxa" w:w="50"/>
              <w:right w:type="dxa" w:w="100"/>
            </w:tcMar>
          </w:tcPr>
          <w:p>
            <w:pPr>
              <w:jc w:val="left"/>
            </w:pPr>
            <w:r>
              <w:rPr>
                <w:color w:val="222222"/>
                <w:sz w:val="20"/>
                <w:szCs w:val="20"/>
              </w:rPr>
              <w:t xml:space="preserve">Six months from commencement</w:t>
            </w:r>
          </w:p>
        </w:tc>
      </w:tr>
      <w:tr>
        <w:trPr>
          <w:cantSplit/>
        </w:trPr>
        <w:tc>
          <w:tcPr>
            <w:tcW w:type="dxa" w:w="2600"/>
            <w:shd w:fill="EAF0F8" w:val="clear"/>
            <w:tcMar>
              <w:top w:type="dxa" w:w="50"/>
              <w:left w:type="dxa" w:w="100"/>
              <w:bottom w:type="dxa" w:w="50"/>
              <w:right w:type="dxa" w:w="100"/>
            </w:tcMar>
          </w:tcPr>
          <w:p>
            <w:pPr>
              <w:jc w:val="left"/>
            </w:pPr>
            <w:r>
              <w:rPr>
                <w:color w:val="222222"/>
                <w:sz w:val="20"/>
                <w:szCs w:val="20"/>
              </w:rPr>
              <w:t xml:space="preserve">Primary use</w:t>
            </w:r>
          </w:p>
        </w:tc>
        <w:tc>
          <w:tcPr>
            <w:tcW w:type="dxa" w:w="6400"/>
            <w:shd w:fill="EAF0F8" w:val="clear"/>
            <w:tcMar>
              <w:top w:type="dxa" w:w="50"/>
              <w:left w:type="dxa" w:w="100"/>
              <w:bottom w:type="dxa" w:w="50"/>
              <w:right w:type="dxa" w:w="100"/>
            </w:tcMar>
          </w:tcPr>
          <w:p>
            <w:pPr>
              <w:jc w:val="left"/>
            </w:pPr>
            <w:r>
              <w:rPr>
                <w:color w:val="222222"/>
                <w:sz w:val="20"/>
                <w:szCs w:val="20"/>
              </w:rPr>
              <w:t xml:space="preserve">Compute infrastructure, pilot deployment and market access</w:t>
            </w:r>
          </w:p>
        </w:tc>
      </w:tr>
      <w:tr>
        <w:trPr>
          <w:cantSplit/>
        </w:trPr>
        <w:tc>
          <w:tcPr>
            <w:tcW w:type="dxa" w:w="2600"/>
            <w:shd w:fill="FFFFFF" w:val="clear"/>
            <w:tcMar>
              <w:top w:type="dxa" w:w="50"/>
              <w:left w:type="dxa" w:w="100"/>
              <w:bottom w:type="dxa" w:w="50"/>
              <w:right w:type="dxa" w:w="100"/>
            </w:tcMar>
          </w:tcPr>
          <w:p>
            <w:pPr>
              <w:jc w:val="left"/>
            </w:pPr>
            <w:r>
              <w:rPr>
                <w:color w:val="222222"/>
                <w:sz w:val="20"/>
                <w:szCs w:val="20"/>
              </w:rPr>
              <w:t xml:space="preserve">Key milestone</w:t>
            </w:r>
          </w:p>
        </w:tc>
        <w:tc>
          <w:tcPr>
            <w:tcW w:type="dxa" w:w="6400"/>
            <w:shd w:fill="FFFFFF" w:val="clear"/>
            <w:tcMar>
              <w:top w:type="dxa" w:w="50"/>
              <w:left w:type="dxa" w:w="100"/>
              <w:bottom w:type="dxa" w:w="50"/>
              <w:right w:type="dxa" w:w="100"/>
            </w:tcMar>
          </w:tcPr>
          <w:p>
            <w:pPr>
              <w:jc w:val="left"/>
            </w:pPr>
            <w:r>
              <w:rPr>
                <w:color w:val="222222"/>
                <w:sz w:val="20"/>
                <w:szCs w:val="20"/>
              </w:rPr>
              <w:t xml:space="preserve">First paying customer and documented case study by Month 6</w:t>
            </w:r>
          </w:p>
        </w:tc>
      </w:tr>
      <w:tr>
        <w:trPr>
          <w:cantSplit/>
        </w:trPr>
        <w:tc>
          <w:tcPr>
            <w:tcW w:type="dxa" w:w="2600"/>
            <w:shd w:fill="EAF0F8" w:val="clear"/>
            <w:tcMar>
              <w:top w:type="dxa" w:w="50"/>
              <w:left w:type="dxa" w:w="100"/>
              <w:bottom w:type="dxa" w:w="50"/>
              <w:right w:type="dxa" w:w="100"/>
            </w:tcMar>
          </w:tcPr>
          <w:p>
            <w:pPr>
              <w:jc w:val="left"/>
            </w:pPr>
            <w:r>
              <w:rPr>
                <w:color w:val="222222"/>
                <w:sz w:val="20"/>
                <w:szCs w:val="20"/>
              </w:rPr>
              <w:t xml:space="preserve">Current status</w:t>
            </w:r>
          </w:p>
        </w:tc>
        <w:tc>
          <w:tcPr>
            <w:tcW w:type="dxa" w:w="6400"/>
            <w:shd w:fill="EAF0F8" w:val="clear"/>
            <w:tcMar>
              <w:top w:type="dxa" w:w="50"/>
              <w:left w:type="dxa" w:w="100"/>
              <w:bottom w:type="dxa" w:w="50"/>
              <w:right w:type="dxa" w:w="100"/>
            </w:tcMar>
          </w:tcPr>
          <w:p>
            <w:pPr>
              <w:jc w:val="left"/>
            </w:pPr>
            <w:r>
              <w:rPr>
                <w:color w:val="222222"/>
                <w:sz w:val="20"/>
                <w:szCs w:val="20"/>
              </w:rPr>
              <w:t xml:space="preserve">Working prototype validated on real documents</w:t>
            </w:r>
          </w:p>
        </w:tc>
      </w:tr>
    </w:tbl>
    <w:p>
      <w:pPr>
        <w:spacing w:before="260"/>
        <w:jc w:val="center"/>
      </w:pPr>
      <w:r>
        <w:rPr>
          <w:b/>
          <w:bCs/>
          <w:i/>
          <w:iCs/>
          <w:color w:val="1F3864"/>
          <w:sz w:val="22"/>
          <w:szCs w:val="22"/>
        </w:rPr>
        <w:t xml:space="preserve">Company Brain: turning an organization's documents into answers.</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7a0ff2bb0d0a16110215a0dceb51d1b5fc8f7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2026-08-10T19:59:12.777Z</dcterms:created>
  <dcterms:modified xsi:type="dcterms:W3CDTF">2026-08-10T19:59:12.778Z</dcterms:modified>
</cp:coreProperties>
</file>

<file path=docProps/custom.xml><?xml version="1.0" encoding="utf-8"?>
<Properties xmlns="http://schemas.openxmlformats.org/officeDocument/2006/custom-properties" xmlns:vt="http://schemas.openxmlformats.org/officeDocument/2006/docPropsVTypes"/>
</file>