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864"/>
          <w:sz w:val="52"/>
          <w:szCs w:val="52"/>
        </w:rPr>
        <w:t xml:space="preserve">COMPANY BRAIN</w:t>
      </w:r>
    </w:p>
    <w:p>
      <w:pPr>
        <w:spacing w:after="60"/>
        <w:jc w:val="center"/>
      </w:pPr>
      <w:r>
        <w:rPr>
          <w:b/>
          <w:bCs/>
          <w:color w:val="2E5AAC"/>
          <w:sz w:val="26"/>
          <w:szCs w:val="26"/>
        </w:rPr>
        <w:t xml:space="preserve">An AI-Native Document Intelligence Platform for Organizations</w:t>
      </w:r>
    </w:p>
    <w:p>
      <w:pPr>
        <w:spacing w:after="40"/>
        <w:jc w:val="center"/>
      </w:pPr>
      <w:r>
        <w:rPr>
          <w:i/>
          <w:iCs/>
          <w:color w:val="555555"/>
          <w:sz w:val="22"/>
          <w:szCs w:val="22"/>
        </w:rPr>
        <w:t xml:space="preserve">Concept Note: Submitted for Incubation Consideration</w:t>
      </w:r>
    </w:p>
    <w:p>
      <w:pPr>
        <w:spacing w:after="240"/>
        <w:jc w:val="center"/>
      </w:pPr>
      <w:r>
        <w:rPr>
          <w:color w:val="555555"/>
          <w:sz w:val="20"/>
          <w:szCs w:val="20"/>
        </w:rPr>
        <w:t xml:space="preserve">Founder: Rohan Gaikwad  |  Department of Computer Science &amp; Engineering</w:t>
      </w:r>
    </w:p>
    <w:p>
      <w:pPr>
        <w:pBdr>
          <w:bottom w:val="single" w:color="CCCCCC" w:sz="6" w:space="1"/>
        </w:pBdr>
        <w:spacing w:after="80" w:before="80"/>
      </w:pPr>
    </w:p>
    <w:p>
      <w:pPr>
        <w:pStyle w:val="Heading1"/>
        <w:spacing w:after="140" w:before="320"/>
      </w:pPr>
      <w:r>
        <w:rPr>
          <w:b/>
          <w:bCs/>
          <w:color w:val="1F3864"/>
          <w:sz w:val="30"/>
          <w:szCs w:val="30"/>
        </w:rPr>
        <w:t xml:space="preserve">1. Executive Summary</w:t>
      </w:r>
    </w:p>
    <w:p>
      <w:pPr>
        <w:spacing w:after="120" w:line="276"/>
        <w:jc w:val="both"/>
      </w:pPr>
      <w:r>
        <w:rPr>
          <w:b w:val="false"/>
          <w:bCs w:val="false"/>
          <w:i w:val="false"/>
          <w:iCs w:val="false"/>
          <w:color w:val="222222"/>
          <w:sz w:val="22"/>
          <w:szCs w:val="22"/>
        </w:rPr>
        <w:t xml:space="preserve">Every organization runs on documents. Reports, records, spreadsheets, official filings and correspondence hold most of what an organization knows, yet retrieving anything from them is slow. Answering a question such as "which records meet these three conditions?" usually means a staff member opening dozens of files by hand. Large enterprises buy expensive software to solve this. Institutions and mid-size businesses cannot.</w:t>
      </w:r>
    </w:p>
    <w:p>
      <w:pPr>
        <w:spacing w:after="120" w:line="276"/>
        <w:jc w:val="both"/>
      </w:pPr>
      <w:r>
        <w:rPr>
          <w:b w:val="false"/>
          <w:bCs w:val="false"/>
          <w:i w:val="false"/>
          <w:iCs w:val="false"/>
          <w:color w:val="222222"/>
          <w:sz w:val="22"/>
          <w:szCs w:val="22"/>
        </w:rPr>
        <w:t xml:space="preserve">Company Brain makes an organization's own documents searchable through ordinary questions. A user asks a question in plain language through a chat interface they already use, and receives an accurate answer with a citation to the source document. The system handles direct lookups, questions that span several documents, and analytical questions over structured records.</w:t>
      </w:r>
    </w:p>
    <w:p>
      <w:pPr>
        <w:spacing w:after="120" w:line="276"/>
        <w:jc w:val="both"/>
      </w:pPr>
      <w:r>
        <w:rPr>
          <w:b w:val="false"/>
          <w:bCs w:val="false"/>
          <w:i w:val="false"/>
          <w:iCs w:val="false"/>
          <w:color w:val="222222"/>
          <w:sz w:val="22"/>
          <w:szCs w:val="22"/>
        </w:rPr>
        <w:t xml:space="preserve">A working prototype has been built and validated on real documents. This note sets out the founder's background, the market opportunity, the impact on institutions and businesses, and the path from prototype to revenue.</w:t>
      </w:r>
    </w:p>
    <w:p>
      <w:pPr>
        <w:pBdr>
          <w:bottom w:val="single" w:color="CCCCCC" w:sz="6" w:space="1"/>
        </w:pBdr>
        <w:spacing w:after="80" w:before="80"/>
      </w:pPr>
    </w:p>
    <w:p>
      <w:pPr>
        <w:pStyle w:val="Heading1"/>
        <w:spacing w:after="140" w:before="320"/>
      </w:pPr>
      <w:r>
        <w:rPr>
          <w:b/>
          <w:bCs/>
          <w:color w:val="1F3864"/>
          <w:sz w:val="30"/>
          <w:szCs w:val="30"/>
        </w:rPr>
        <w:t xml:space="preserve">2. Founder Capability &amp; Track Record</w:t>
      </w:r>
    </w:p>
    <w:p>
      <w:pPr>
        <w:spacing w:after="120" w:line="276"/>
        <w:jc w:val="both"/>
      </w:pPr>
      <w:r>
        <w:rPr>
          <w:b w:val="false"/>
          <w:bCs w:val="false"/>
          <w:i w:val="false"/>
          <w:iCs w:val="false"/>
          <w:color w:val="222222"/>
          <w:sz w:val="22"/>
          <w:szCs w:val="22"/>
        </w:rPr>
        <w:t xml:space="preserve">This venture is founder-led and technically self-sufficient. The core of the product has been built directly by the founder rather than outsourced.</w:t>
      </w:r>
    </w:p>
    <w:p>
      <w:pPr>
        <w:pStyle w:val="ListParagraph"/>
        <w:numPr>
          <w:ilvl w:val="0"/>
          <w:numId w:val="2"/>
        </w:numPr>
        <w:spacing w:after="70" w:line="268"/>
      </w:pPr>
      <w:r>
        <w:rPr>
          <w:b/>
          <w:bCs/>
          <w:color w:val="1F3864"/>
          <w:sz w:val="22"/>
          <w:szCs w:val="22"/>
        </w:rPr>
        <w:t xml:space="preserve">Published researcher: </w:t>
      </w:r>
      <w:r>
        <w:rPr>
          <w:color w:val="222222"/>
          <w:sz w:val="22"/>
          <w:szCs w:val="22"/>
        </w:rPr>
        <w:t xml:space="preserve">two published research papers, one on financial anomaly detection and one on Retrieval-Augmented Generation (RAG) optimisation, in the exact field this venture is built on.</w:t>
      </w:r>
    </w:p>
    <w:p>
      <w:pPr>
        <w:pStyle w:val="ListParagraph"/>
        <w:numPr>
          <w:ilvl w:val="0"/>
          <w:numId w:val="2"/>
        </w:numPr>
        <w:spacing w:after="70" w:line="268"/>
      </w:pPr>
      <w:r>
        <w:rPr>
          <w:b/>
          <w:bCs/>
          <w:color w:val="1F3864"/>
          <w:sz w:val="22"/>
          <w:szCs w:val="22"/>
        </w:rPr>
        <w:t xml:space="preserve">Journal peer reviewer: </w:t>
      </w:r>
      <w:r>
        <w:rPr>
          <w:color w:val="222222"/>
          <w:sz w:val="22"/>
          <w:szCs w:val="22"/>
        </w:rPr>
        <w:t xml:space="preserve">serves as a Research Reviewer for IJIRT with a specialisation in RAG systems, peer-reviewing work in this field rather than only participating in it.</w:t>
      </w:r>
    </w:p>
    <w:p>
      <w:pPr>
        <w:pStyle w:val="ListParagraph"/>
        <w:numPr>
          <w:ilvl w:val="0"/>
          <w:numId w:val="2"/>
        </w:numPr>
        <w:spacing w:after="70" w:line="268"/>
      </w:pPr>
      <w:r>
        <w:rPr>
          <w:b/>
          <w:bCs/>
          <w:color w:val="1F3864"/>
          <w:sz w:val="22"/>
          <w:szCs w:val="22"/>
        </w:rPr>
        <w:t xml:space="preserve">Hackathon winner: </w:t>
      </w:r>
      <w:r>
        <w:rPr>
          <w:color w:val="222222"/>
          <w:sz w:val="22"/>
          <w:szCs w:val="22"/>
        </w:rPr>
        <w:t xml:space="preserve">winner of the Claude Impact Hackathon, held in collaboration with Kumbhathon, and subsequently invited for idea incubation at Nashik.</w:t>
      </w:r>
    </w:p>
    <w:p>
      <w:pPr>
        <w:pStyle w:val="ListParagraph"/>
        <w:numPr>
          <w:ilvl w:val="0"/>
          <w:numId w:val="2"/>
        </w:numPr>
        <w:spacing w:after="70" w:line="268"/>
      </w:pPr>
      <w:r>
        <w:rPr>
          <w:b/>
          <w:bCs/>
          <w:color w:val="1F3864"/>
          <w:sz w:val="22"/>
          <w:szCs w:val="22"/>
        </w:rPr>
        <w:t xml:space="preserve">Backed by a global AI leader: </w:t>
      </w:r>
      <w:r>
        <w:rPr>
          <w:color w:val="222222"/>
          <w:sz w:val="22"/>
          <w:szCs w:val="22"/>
        </w:rPr>
        <w:t xml:space="preserve">this venture has been accepted into Anthropic's Claude for Startups programme, giving it recognition from a leading global AI company and access to frontier AI resources.</w:t>
      </w:r>
    </w:p>
    <w:p>
      <w:pPr>
        <w:pStyle w:val="ListParagraph"/>
        <w:numPr>
          <w:ilvl w:val="0"/>
          <w:numId w:val="2"/>
        </w:numPr>
        <w:spacing w:after="70" w:line="268"/>
      </w:pPr>
      <w:r>
        <w:rPr>
          <w:b/>
          <w:bCs/>
          <w:color w:val="1F3864"/>
          <w:sz w:val="22"/>
          <w:szCs w:val="22"/>
        </w:rPr>
        <w:t xml:space="preserve">Full-stack AI capability: </w:t>
      </w:r>
      <w:r>
        <w:rPr>
          <w:color w:val="222222"/>
          <w:sz w:val="22"/>
          <w:szCs w:val="22"/>
        </w:rPr>
        <w:t xml:space="preserve">working command of the full modern AI stack, including Retrieval-Augmented Generation, knowledge graphs, local and cloud language models, backend engineering and document processing pipelines.</w:t>
      </w:r>
    </w:p>
    <w:p>
      <w:pPr>
        <w:pStyle w:val="ListParagraph"/>
        <w:numPr>
          <w:ilvl w:val="0"/>
          <w:numId w:val="2"/>
        </w:numPr>
        <w:spacing w:after="70" w:line="268"/>
      </w:pPr>
      <w:r>
        <w:rPr>
          <w:b/>
          <w:bCs/>
          <w:color w:val="1F3864"/>
          <w:sz w:val="22"/>
          <w:szCs w:val="22"/>
        </w:rPr>
        <w:t xml:space="preserve">Building under constraints: </w:t>
      </w:r>
      <w:r>
        <w:rPr>
          <w:color w:val="222222"/>
          <w:sz w:val="22"/>
          <w:szCs w:val="22"/>
        </w:rPr>
        <w:t xml:space="preserve">a record of building capable systems on limited hardware and a small budget, which is the discipline needed to serve cost-sensitive organizations at a profit.</w:t>
      </w:r>
    </w:p>
    <w:p>
      <w:pPr>
        <w:spacing w:after="140" w:line="276"/>
      </w:pPr>
      <w:r>
        <w:rPr>
          <w:b/>
          <w:bCs/>
          <w:color w:val="1F3864"/>
          <w:sz w:val="22"/>
          <w:szCs w:val="22"/>
        </w:rPr>
        <w:t xml:space="preserve">Profile: </w:t>
      </w:r>
      <w:r>
        <w:rPr>
          <w:color w:val="2E5AAC"/>
          <w:sz w:val="22"/>
          <w:szCs w:val="22"/>
          <w:u w:val="single"/>
        </w:rPr>
        <w:t xml:space="preserve">https://www.linkedin.com/in/rohanvijaygaikwad</w:t>
      </w:r>
    </w:p>
    <w:p>
      <w:pPr>
        <w:pStyle w:val="Heading2"/>
        <w:spacing w:after="100" w:before="200"/>
      </w:pPr>
      <w:r>
        <w:rPr>
          <w:b/>
          <w:bCs/>
          <w:color w:val="2E5AAC"/>
          <w:sz w:val="24"/>
          <w:szCs w:val="24"/>
        </w:rPr>
        <w:t xml:space="preserve">2.1 Unfair Advantage</w:t>
      </w:r>
    </w:p>
    <w:p>
      <w:pPr>
        <w:spacing w:after="120" w:line="276"/>
        <w:jc w:val="both"/>
      </w:pPr>
      <w:r>
        <w:rPr>
          <w:b w:val="false"/>
          <w:bCs w:val="false"/>
          <w:i w:val="false"/>
          <w:iCs w:val="false"/>
          <w:color w:val="222222"/>
          <w:sz w:val="22"/>
          <w:szCs w:val="22"/>
        </w:rPr>
        <w:t xml:space="preserve">Most early ventures struggle to reach their first customers. This one begins with distribution already in place.</w:t>
      </w:r>
    </w:p>
    <w:p>
      <w:pPr>
        <w:pStyle w:val="ListParagraph"/>
        <w:numPr>
          <w:ilvl w:val="0"/>
          <w:numId w:val="2"/>
        </w:numPr>
        <w:spacing w:after="70" w:line="268"/>
      </w:pPr>
      <w:r>
        <w:rPr>
          <w:b/>
          <w:bCs/>
          <w:color w:val="1F3864"/>
          <w:sz w:val="22"/>
          <w:szCs w:val="22"/>
        </w:rPr>
        <w:t xml:space="preserve">7,200+ industry connections: </w:t>
      </w:r>
      <w:r>
        <w:rPr>
          <w:color w:val="222222"/>
          <w:sz w:val="22"/>
          <w:szCs w:val="22"/>
        </w:rPr>
        <w:t xml:space="preserve">an established professional network of over 7,200 industry connections, providing direct access to the institutions, industrial units and businesses that make up the target market. This removes the cold-start problem that holds back most early-stage ventures.</w:t>
      </w:r>
    </w:p>
    <w:p>
      <w:pPr>
        <w:pStyle w:val="ListParagraph"/>
        <w:numPr>
          <w:ilvl w:val="0"/>
          <w:numId w:val="2"/>
        </w:numPr>
        <w:spacing w:after="70" w:line="268"/>
      </w:pPr>
      <w:r>
        <w:rPr>
          <w:b/>
          <w:bCs/>
          <w:color w:val="1F3864"/>
          <w:sz w:val="22"/>
          <w:szCs w:val="22"/>
        </w:rPr>
        <w:t xml:space="preserve">Domain authority: </w:t>
      </w:r>
      <w:r>
        <w:rPr>
          <w:color w:val="222222"/>
          <w:sz w:val="22"/>
          <w:szCs w:val="22"/>
        </w:rPr>
        <w:t xml:space="preserve">published research and a peer-reviewer role in RAG systems mean the founder contributes to this field rather than learning it, and can defend every technical decision under scrutiny.</w:t>
      </w:r>
    </w:p>
    <w:p>
      <w:pPr>
        <w:pStyle w:val="ListParagraph"/>
        <w:numPr>
          <w:ilvl w:val="0"/>
          <w:numId w:val="2"/>
        </w:numPr>
        <w:spacing w:after="70" w:line="268"/>
      </w:pPr>
      <w:r>
        <w:rPr>
          <w:b/>
          <w:bCs/>
          <w:color w:val="1F3864"/>
          <w:sz w:val="22"/>
          <w:szCs w:val="22"/>
        </w:rPr>
        <w:t xml:space="preserve">Independent validation: </w:t>
      </w:r>
      <w:r>
        <w:rPr>
          <w:color w:val="222222"/>
          <w:sz w:val="22"/>
          <w:szCs w:val="22"/>
        </w:rPr>
        <w:t xml:space="preserve">a hackathon win, an incubation invitation and acceptance into a global AI company's startup programme provide independent proof of merit before any institutional support has been committed.</w:t>
      </w:r>
    </w:p>
    <w:p>
      <w:pPr>
        <w:pBdr>
          <w:bottom w:val="single" w:color="CCCCCC" w:sz="6" w:space="1"/>
        </w:pBdr>
        <w:spacing w:after="80" w:before="80"/>
      </w:pPr>
    </w:p>
    <w:p>
      <w:pPr>
        <w:pStyle w:val="Heading1"/>
        <w:spacing w:after="140" w:before="320"/>
      </w:pPr>
      <w:r>
        <w:rPr>
          <w:b/>
          <w:bCs/>
          <w:color w:val="1F3864"/>
          <w:sz w:val="30"/>
          <w:szCs w:val="30"/>
        </w:rPr>
        <w:t xml:space="preserve">3. Market Opportunity &amp; Business Case</w:t>
      </w:r>
    </w:p>
    <w:p>
      <w:pPr>
        <w:pStyle w:val="Heading2"/>
        <w:spacing w:after="100" w:before="200"/>
      </w:pPr>
      <w:r>
        <w:rPr>
          <w:b/>
          <w:bCs/>
          <w:color w:val="2E5AAC"/>
          <w:sz w:val="24"/>
          <w:szCs w:val="24"/>
        </w:rPr>
        <w:t xml:space="preserve">3.1 The Problem Worth Solving</w:t>
      </w:r>
    </w:p>
    <w:p>
      <w:pPr>
        <w:spacing w:after="120" w:line="276"/>
        <w:jc w:val="both"/>
      </w:pPr>
      <w:r>
        <w:rPr>
          <w:b w:val="false"/>
          <w:bCs w:val="false"/>
          <w:i w:val="false"/>
          <w:iCs w:val="false"/>
          <w:color w:val="222222"/>
          <w:sz w:val="22"/>
          <w:szCs w:val="22"/>
        </w:rPr>
        <w:t xml:space="preserve">Organizations generate operational data across many disconnected systems, but decisions still rely on manual search and institutional memory. The people who need answers, such as administrators, owners and managers, are rarely the people equipped to navigate the raw data. The gap is common, persistent and costly.</w:t>
      </w:r>
    </w:p>
    <w:p>
      <w:pPr>
        <w:pStyle w:val="Heading2"/>
        <w:spacing w:after="100" w:before="200"/>
      </w:pPr>
      <w:r>
        <w:rPr>
          <w:b/>
          <w:bCs/>
          <w:color w:val="2E5AAC"/>
          <w:sz w:val="24"/>
          <w:szCs w:val="24"/>
        </w:rPr>
        <w:t xml:space="preserve">3.2 Who Pays, and Why</w:t>
      </w:r>
    </w:p>
    <w:p>
      <w:pPr>
        <w:spacing w:after="120" w:line="276"/>
        <w:jc w:val="both"/>
      </w:pPr>
      <w:r>
        <w:rPr>
          <w:b w:val="false"/>
          <w:bCs w:val="false"/>
          <w:i w:val="false"/>
          <w:iCs w:val="false"/>
          <w:color w:val="222222"/>
          <w:sz w:val="22"/>
          <w:szCs w:val="22"/>
        </w:rPr>
        <w:t xml:space="preserve">The initial market is deliberately focused: organizations holding large volumes of documents that cannot justify the cost of enterprise knowledge software. Three segments:</w:t>
      </w:r>
    </w:p>
    <w:p>
      <w:pPr>
        <w:pStyle w:val="ListParagraph"/>
        <w:numPr>
          <w:ilvl w:val="0"/>
          <w:numId w:val="2"/>
        </w:numPr>
        <w:spacing w:after="70" w:line="268"/>
      </w:pPr>
      <w:r>
        <w:rPr>
          <w:b/>
          <w:bCs/>
          <w:color w:val="1F3864"/>
          <w:sz w:val="22"/>
          <w:szCs w:val="22"/>
        </w:rPr>
        <w:t xml:space="preserve">Educational institutions: </w:t>
      </w:r>
      <w:r>
        <w:rPr>
          <w:color w:val="222222"/>
          <w:sz w:val="22"/>
          <w:szCs w:val="22"/>
        </w:rPr>
        <w:t xml:space="preserve">large volumes of academic, administrative and compliance records, with recurring analytical questions that currently take staff hours to answer manually.</w:t>
      </w:r>
    </w:p>
    <w:p>
      <w:pPr>
        <w:pStyle w:val="ListParagraph"/>
        <w:numPr>
          <w:ilvl w:val="0"/>
          <w:numId w:val="2"/>
        </w:numPr>
        <w:spacing w:after="70" w:line="268"/>
      </w:pPr>
      <w:r>
        <w:rPr>
          <w:b/>
          <w:bCs/>
          <w:color w:val="1F3864"/>
          <w:sz w:val="22"/>
          <w:szCs w:val="22"/>
        </w:rPr>
        <w:t xml:space="preserve">MIDC and industrial clusters: </w:t>
      </w:r>
      <w:r>
        <w:rPr>
          <w:color w:val="222222"/>
          <w:sz w:val="22"/>
          <w:szCs w:val="22"/>
        </w:rPr>
        <w:t xml:space="preserve">industrial and manufacturing units holding vendor records, compliance filings and operational documents without a dedicated software team.</w:t>
      </w:r>
    </w:p>
    <w:p>
      <w:pPr>
        <w:pStyle w:val="ListParagraph"/>
        <w:numPr>
          <w:ilvl w:val="0"/>
          <w:numId w:val="2"/>
        </w:numPr>
        <w:spacing w:after="70" w:line="268"/>
      </w:pPr>
      <w:r>
        <w:rPr>
          <w:b/>
          <w:bCs/>
          <w:color w:val="1F3864"/>
          <w:sz w:val="22"/>
          <w:szCs w:val="22"/>
        </w:rPr>
        <w:t xml:space="preserve">Mid-size businesses (SMEs): </w:t>
      </w:r>
      <w:r>
        <w:rPr>
          <w:color w:val="222222"/>
          <w:sz w:val="22"/>
          <w:szCs w:val="22"/>
        </w:rPr>
        <w:t xml:space="preserve">firms that run on spreadsheets, PDFs and messaging apps, and cannot justify the cost of global enterprise platforms.</w:t>
      </w:r>
    </w:p>
    <w:p>
      <w:pPr>
        <w:pStyle w:val="Heading2"/>
        <w:spacing w:after="100" w:before="200"/>
      </w:pPr>
      <w:r>
        <w:rPr>
          <w:b/>
          <w:bCs/>
          <w:color w:val="2E5AAC"/>
          <w:sz w:val="24"/>
          <w:szCs w:val="24"/>
        </w:rPr>
        <w:t xml:space="preserve">3.3 Revenue Model</w:t>
      </w:r>
    </w:p>
    <w:p>
      <w:pPr>
        <w:spacing w:after="120" w:line="276"/>
        <w:jc w:val="both"/>
      </w:pPr>
      <w:r>
        <w:rPr>
          <w:b w:val="false"/>
          <w:bCs w:val="false"/>
          <w:i w:val="false"/>
          <w:iCs w:val="false"/>
          <w:color w:val="222222"/>
          <w:sz w:val="22"/>
          <w:szCs w:val="22"/>
        </w:rPr>
        <w:t xml:space="preserve">The platform is designed to earn revenue early rather than after years of scaling.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Stream</w:t>
            </w:r>
          </w:p>
        </w:tc>
        <w:tc>
          <w:tcPr>
            <w:tcW w:type="dxa" w:w="6600"/>
            <w:shd w:fill="1F3864" w:val="clear"/>
            <w:tcMar>
              <w:top w:type="dxa" w:w="60"/>
              <w:left w:type="dxa" w:w="100"/>
              <w:bottom w:type="dxa" w:w="60"/>
              <w:right w:type="dxa" w:w="100"/>
            </w:tcMar>
          </w:tcPr>
          <w:p>
            <w:r>
              <w:rPr>
                <w:b/>
                <w:bCs/>
                <w:color w:val="FFFFFF"/>
                <w:sz w:val="20"/>
                <w:szCs w:val="20"/>
              </w:rPr>
              <w:t xml:space="preserve">Description</w:t>
            </w:r>
          </w:p>
        </w:tc>
      </w:tr>
      <w:tr>
        <w:tc>
          <w:tcPr>
            <w:tcW w:type="dxa" w:w="2400"/>
            <w:shd w:fill="EAF0F8" w:val="clear"/>
            <w:tcMar>
              <w:top w:type="dxa" w:w="50"/>
              <w:left w:type="dxa" w:w="100"/>
              <w:bottom w:type="dxa" w:w="50"/>
              <w:right w:type="dxa" w:w="100"/>
            </w:tcMar>
          </w:tcPr>
          <w:p>
            <w:r>
              <w:rPr>
                <w:color w:val="222222"/>
                <w:sz w:val="20"/>
                <w:szCs w:val="20"/>
              </w:rPr>
              <w:t xml:space="preserve">Subscription</w:t>
            </w:r>
          </w:p>
        </w:tc>
        <w:tc>
          <w:tcPr>
            <w:tcW w:type="dxa" w:w="6600"/>
            <w:shd w:fill="EAF0F8" w:val="clear"/>
            <w:tcMar>
              <w:top w:type="dxa" w:w="50"/>
              <w:left w:type="dxa" w:w="100"/>
              <w:bottom w:type="dxa" w:w="50"/>
              <w:right w:type="dxa" w:w="100"/>
            </w:tcMar>
          </w:tcPr>
          <w:p>
            <w:r>
              <w:rPr>
                <w:color w:val="222222"/>
                <w:sz w:val="20"/>
                <w:szCs w:val="20"/>
              </w:rPr>
              <w:t xml:space="preserve">Recurring monthly fee per organization, tiered by data volume and connected sources.</w:t>
            </w:r>
          </w:p>
        </w:tc>
      </w:tr>
      <w:tr>
        <w:tc>
          <w:tcPr>
            <w:tcW w:type="dxa" w:w="2400"/>
            <w:shd w:fill="FFFFFF" w:val="clear"/>
            <w:tcMar>
              <w:top w:type="dxa" w:w="50"/>
              <w:left w:type="dxa" w:w="100"/>
              <w:bottom w:type="dxa" w:w="50"/>
              <w:right w:type="dxa" w:w="100"/>
            </w:tcMar>
          </w:tcPr>
          <w:p>
            <w:r>
              <w:rPr>
                <w:color w:val="222222"/>
                <w:sz w:val="20"/>
                <w:szCs w:val="20"/>
              </w:rPr>
              <w:t xml:space="preserve">Setup and onboarding</w:t>
            </w:r>
          </w:p>
        </w:tc>
        <w:tc>
          <w:tcPr>
            <w:tcW w:type="dxa" w:w="6600"/>
            <w:shd w:fill="FFFFFF" w:val="clear"/>
            <w:tcMar>
              <w:top w:type="dxa" w:w="50"/>
              <w:left w:type="dxa" w:w="100"/>
              <w:bottom w:type="dxa" w:w="50"/>
              <w:right w:type="dxa" w:w="100"/>
            </w:tcMar>
          </w:tcPr>
          <w:p>
            <w:r>
              <w:rPr>
                <w:color w:val="222222"/>
                <w:sz w:val="20"/>
                <w:szCs w:val="20"/>
              </w:rPr>
              <w:t xml:space="preserve">One-time fee for initial data ingestion and configuration.</w:t>
            </w:r>
          </w:p>
        </w:tc>
      </w:tr>
      <w:tr>
        <w:tc>
          <w:tcPr>
            <w:tcW w:type="dxa" w:w="2400"/>
            <w:shd w:fill="EAF0F8" w:val="clear"/>
            <w:tcMar>
              <w:top w:type="dxa" w:w="50"/>
              <w:left w:type="dxa" w:w="100"/>
              <w:bottom w:type="dxa" w:w="50"/>
              <w:right w:type="dxa" w:w="100"/>
            </w:tcMar>
          </w:tcPr>
          <w:p>
            <w:r>
              <w:rPr>
                <w:color w:val="222222"/>
                <w:sz w:val="20"/>
                <w:szCs w:val="20"/>
              </w:rPr>
              <w:t xml:space="preserve">Expansion revenue</w:t>
            </w:r>
          </w:p>
        </w:tc>
        <w:tc>
          <w:tcPr>
            <w:tcW w:type="dxa" w:w="6600"/>
            <w:shd w:fill="EAF0F8" w:val="clear"/>
            <w:tcMar>
              <w:top w:type="dxa" w:w="50"/>
              <w:left w:type="dxa" w:w="100"/>
              <w:bottom w:type="dxa" w:w="50"/>
              <w:right w:type="dxa" w:w="100"/>
            </w:tcMar>
          </w:tcPr>
          <w:p>
            <w:r>
              <w:rPr>
                <w:color w:val="222222"/>
                <w:sz w:val="20"/>
                <w:szCs w:val="20"/>
              </w:rPr>
              <w:t xml:space="preserve">Each additional data source or workflow is a paid add-on, growing account value over time.</w:t>
            </w:r>
          </w:p>
        </w:tc>
      </w:tr>
    </w:tbl>
    <w:p>
      <w:pPr>
        <w:spacing w:after="60" w:line="276"/>
        <w:jc w:val="both"/>
      </w:pPr>
      <w:r>
        <w:rPr>
          <w:b w:val="false"/>
          <w:bCs w:val="false"/>
          <w:i w:val="false"/>
          <w:iCs w:val="false"/>
          <w:color w:val="222222"/>
          <w:sz w:val="22"/>
          <w:szCs w:val="22"/>
        </w:rPr>
        <w:t xml:space="preserve">The system runs on open-source infrastructure and efficient local AI models, which keeps infrastructure spend low. That cost base is what makes serving cost-sensitive organizations viable while retaining margin.</w:t>
      </w:r>
    </w:p>
    <w:p>
      <w:r>
        <w:br w:type="page"/>
      </w:r>
    </w:p>
    <w:p>
      <w:pPr>
        <w:pStyle w:val="Heading1"/>
        <w:spacing w:after="140" w:before="320"/>
      </w:pPr>
      <w:r>
        <w:rPr>
          <w:b/>
          <w:bCs/>
          <w:color w:val="1F3864"/>
          <w:sz w:val="30"/>
          <w:szCs w:val="30"/>
        </w:rPr>
        <w:t xml:space="preserve">4. Institutional &amp; Social Impact</w:t>
      </w:r>
    </w:p>
    <w:p>
      <w:pPr>
        <w:spacing w:after="120" w:line="276"/>
        <w:jc w:val="both"/>
      </w:pPr>
      <w:r>
        <w:rPr>
          <w:b w:val="false"/>
          <w:bCs w:val="false"/>
          <w:i w:val="false"/>
          <w:iCs w:val="false"/>
          <w:color w:val="222222"/>
          <w:sz w:val="22"/>
          <w:szCs w:val="22"/>
        </w:rPr>
        <w:t xml:space="preserve">Alongside its commercial case, the venture delivers benefits that align with an incubator's mandate.</w:t>
      </w:r>
    </w:p>
    <w:p>
      <w:pPr>
        <w:pStyle w:val="ListParagraph"/>
        <w:numPr>
          <w:ilvl w:val="0"/>
          <w:numId w:val="2"/>
        </w:numPr>
        <w:spacing w:after="70" w:line="268"/>
      </w:pPr>
      <w:r>
        <w:rPr>
          <w:b/>
          <w:bCs/>
          <w:color w:val="1F3864"/>
          <w:sz w:val="22"/>
          <w:szCs w:val="22"/>
        </w:rPr>
        <w:t xml:space="preserve">Efficiency for institutions: </w:t>
      </w:r>
      <w:r>
        <w:rPr>
          <w:color w:val="222222"/>
          <w:sz w:val="22"/>
          <w:szCs w:val="22"/>
        </w:rPr>
        <w:t xml:space="preserve">staff and administrators spend far less time searching records manually, freeing them for higher-value work.</w:t>
      </w:r>
    </w:p>
    <w:p>
      <w:pPr>
        <w:pStyle w:val="ListParagraph"/>
        <w:numPr>
          <w:ilvl w:val="0"/>
          <w:numId w:val="2"/>
        </w:numPr>
        <w:spacing w:after="70" w:line="268"/>
      </w:pPr>
      <w:r>
        <w:rPr>
          <w:b/>
          <w:bCs/>
          <w:color w:val="1F3864"/>
          <w:sz w:val="22"/>
          <w:szCs w:val="22"/>
        </w:rPr>
        <w:t xml:space="preserve">Better decisions: </w:t>
      </w:r>
      <w:r>
        <w:rPr>
          <w:color w:val="222222"/>
          <w:sz w:val="22"/>
          <w:szCs w:val="22"/>
        </w:rPr>
        <w:t xml:space="preserve">decisions rest on the organization's own verified records, and every answer carries a citation to its source, which reduces guesswork and error.</w:t>
      </w:r>
    </w:p>
    <w:p>
      <w:pPr>
        <w:pStyle w:val="ListParagraph"/>
        <w:numPr>
          <w:ilvl w:val="0"/>
          <w:numId w:val="2"/>
        </w:numPr>
        <w:spacing w:after="70" w:line="268"/>
      </w:pPr>
      <w:r>
        <w:rPr>
          <w:b/>
          <w:bCs/>
          <w:color w:val="1F3864"/>
          <w:sz w:val="22"/>
          <w:szCs w:val="22"/>
        </w:rPr>
        <w:t xml:space="preserve">Wider access to AI: </w:t>
      </w:r>
      <w:r>
        <w:rPr>
          <w:color w:val="222222"/>
          <w:sz w:val="22"/>
          <w:szCs w:val="22"/>
        </w:rPr>
        <w:t xml:space="preserve">brings capable AI within reach of organizations that have been priced out of it, narrowing the technology gap between large and small institutions.</w:t>
      </w:r>
    </w:p>
    <w:p>
      <w:pPr>
        <w:pStyle w:val="ListParagraph"/>
        <w:numPr>
          <w:ilvl w:val="0"/>
          <w:numId w:val="2"/>
        </w:numPr>
        <w:spacing w:after="70" w:line="268"/>
      </w:pPr>
      <w:r>
        <w:rPr>
          <w:b/>
          <w:bCs/>
          <w:color w:val="1F3864"/>
          <w:sz w:val="22"/>
          <w:szCs w:val="22"/>
        </w:rPr>
        <w:t xml:space="preserve">Ecosystem value: </w:t>
      </w:r>
      <w:r>
        <w:rPr>
          <w:color w:val="222222"/>
          <w:sz w:val="22"/>
          <w:szCs w:val="22"/>
        </w:rPr>
        <w:t xml:space="preserve">a student-founded venture supported by its institution is a strong signal of the college's innovation ecosystem and a repeatable model for future founders.</w:t>
      </w:r>
    </w:p>
    <w:p>
      <w:pPr>
        <w:pBdr>
          <w:bottom w:val="single" w:color="CCCCCC" w:sz="6" w:space="1"/>
        </w:pBdr>
        <w:spacing w:after="80" w:before="80"/>
      </w:pPr>
    </w:p>
    <w:p>
      <w:pPr>
        <w:pStyle w:val="Heading1"/>
        <w:spacing w:after="140" w:before="320"/>
      </w:pPr>
      <w:r>
        <w:rPr>
          <w:b/>
          <w:bCs/>
          <w:color w:val="1F3864"/>
          <w:sz w:val="30"/>
          <w:szCs w:val="30"/>
        </w:rPr>
        <w:t xml:space="preserve">5. The Solution &amp; Working Prototype</w:t>
      </w:r>
    </w:p>
    <w:p>
      <w:pPr>
        <w:spacing w:after="120" w:line="276"/>
        <w:jc w:val="both"/>
      </w:pPr>
      <w:r>
        <w:rPr>
          <w:b w:val="false"/>
          <w:bCs w:val="false"/>
          <w:i w:val="false"/>
          <w:iCs w:val="false"/>
          <w:color w:val="222222"/>
          <w:sz w:val="22"/>
          <w:szCs w:val="22"/>
        </w:rPr>
        <w:t xml:space="preserve">Company Brain is not a concept on paper. A functional prototype has been built and validated on real documents. The system works in two stages.</w:t>
      </w:r>
    </w:p>
    <w:p>
      <w:pPr>
        <w:pStyle w:val="Heading2"/>
        <w:spacing w:after="100" w:before="200"/>
      </w:pPr>
      <w:r>
        <w:rPr>
          <w:b/>
          <w:bCs/>
          <w:color w:val="2E5AAC"/>
          <w:sz w:val="24"/>
          <w:szCs w:val="24"/>
        </w:rPr>
        <w:t xml:space="preserve">5.1 How It Works</w:t>
      </w:r>
    </w:p>
    <w:p>
      <w:pPr>
        <w:pStyle w:val="ListParagraph"/>
        <w:numPr>
          <w:ilvl w:val="0"/>
          <w:numId w:val="2"/>
        </w:numPr>
        <w:spacing w:after="70" w:line="268"/>
      </w:pPr>
      <w:r>
        <w:rPr>
          <w:b/>
          <w:bCs/>
          <w:color w:val="1F3864"/>
          <w:sz w:val="22"/>
          <w:szCs w:val="22"/>
        </w:rPr>
        <w:t xml:space="preserve">Ingestion: </w:t>
      </w:r>
      <w:r>
        <w:rPr>
          <w:color w:val="222222"/>
          <w:sz w:val="22"/>
          <w:szCs w:val="22"/>
        </w:rPr>
        <w:t xml:space="preserve">the platform reads documents in the formats organizations actually use, including Word, Excel, PowerPoint and PDF, and builds an internal structure combining semantic search, a relationship graph and structured records.</w:t>
      </w:r>
    </w:p>
    <w:p>
      <w:pPr>
        <w:pStyle w:val="ListParagraph"/>
        <w:numPr>
          <w:ilvl w:val="0"/>
          <w:numId w:val="2"/>
        </w:numPr>
        <w:spacing w:after="70" w:line="268"/>
      </w:pPr>
      <w:r>
        <w:rPr>
          <w:b/>
          <w:bCs/>
          <w:color w:val="1F3864"/>
          <w:sz w:val="22"/>
          <w:szCs w:val="22"/>
        </w:rPr>
        <w:t xml:space="preserve">Intelligent querying: </w:t>
      </w:r>
      <w:r>
        <w:rPr>
          <w:color w:val="222222"/>
          <w:sz w:val="22"/>
          <w:szCs w:val="22"/>
        </w:rPr>
        <w:t xml:space="preserve">a user asks a question in plain language. A router identifies what kind of question it is and sends it to the right engine: semantic lookup, relationship reasoning, thematic synthesis, or analytical computation over structured data.</w:t>
      </w:r>
    </w:p>
    <w:p>
      <w:pPr>
        <w:pStyle w:val="ListParagraph"/>
        <w:numPr>
          <w:ilvl w:val="0"/>
          <w:numId w:val="2"/>
        </w:numPr>
        <w:spacing w:after="70" w:line="268"/>
      </w:pPr>
      <w:r>
        <w:rPr>
          <w:b/>
          <w:bCs/>
          <w:color w:val="1F3864"/>
          <w:sz w:val="22"/>
          <w:szCs w:val="22"/>
        </w:rPr>
        <w:t xml:space="preserve">Cited answers: </w:t>
      </w:r>
      <w:r>
        <w:rPr>
          <w:color w:val="222222"/>
          <w:sz w:val="22"/>
          <w:szCs w:val="22"/>
        </w:rPr>
        <w:t xml:space="preserve">every answer returns with a citation to its source document, so users can verify it.</w:t>
      </w:r>
    </w:p>
    <w:p>
      <w:pPr>
        <w:pStyle w:val="ListParagraph"/>
        <w:numPr>
          <w:ilvl w:val="0"/>
          <w:numId w:val="2"/>
        </w:numPr>
        <w:spacing w:after="70" w:line="268"/>
      </w:pPr>
      <w:r>
        <w:rPr>
          <w:b/>
          <w:bCs/>
          <w:color w:val="1F3864"/>
          <w:sz w:val="22"/>
          <w:szCs w:val="22"/>
        </w:rPr>
        <w:t xml:space="preserve">Accessible interface: </w:t>
      </w:r>
      <w:r>
        <w:rPr>
          <w:color w:val="222222"/>
          <w:sz w:val="22"/>
          <w:szCs w:val="22"/>
        </w:rPr>
        <w:t xml:space="preserve">users interact through a familiar chat interface, so there is no learning curve for non-technical staff.</w:t>
      </w:r>
    </w:p>
    <w:p>
      <w:pPr>
        <w:pStyle w:val="Heading2"/>
        <w:spacing w:after="100" w:before="200"/>
      </w:pPr>
      <w:r>
        <w:rPr>
          <w:b/>
          <w:bCs/>
          <w:color w:val="2E5AAC"/>
          <w:sz w:val="24"/>
          <w:szCs w:val="24"/>
        </w:rPr>
        <w:t xml:space="preserve">5.2 What Has Been Validated</w:t>
      </w:r>
    </w:p>
    <w:p>
      <w:pPr>
        <w:spacing w:after="120" w:line="276"/>
        <w:jc w:val="both"/>
      </w:pPr>
      <w:r>
        <w:rPr>
          <w:b w:val="false"/>
          <w:bCs w:val="false"/>
          <w:i w:val="false"/>
          <w:iCs w:val="false"/>
          <w:color w:val="222222"/>
          <w:sz w:val="22"/>
          <w:szCs w:val="22"/>
        </w:rPr>
        <w:t xml:space="preserve">On real documents, the prototype has extracted entities and relationships accurately across multiple file formats, answered direct factual questions with source citations, reasoned across connected documents, and produced coherent summaries spanning an entire document collection. Current development is extending the system to answer complex logical and analytical questions over structured institutional records, which is the capability that most separates it from general-purpose AI tools.</w:t>
      </w:r>
    </w:p>
    <w:p>
      <w:pPr>
        <w:pBdr>
          <w:bottom w:val="single" w:color="CCCCCC" w:sz="6" w:space="1"/>
        </w:pBdr>
        <w:spacing w:after="80" w:before="80"/>
      </w:pPr>
    </w:p>
    <w:p>
      <w:pPr>
        <w:pStyle w:val="Heading1"/>
        <w:spacing w:after="140" w:before="320"/>
      </w:pPr>
      <w:r>
        <w:rPr>
          <w:b/>
          <w:bCs/>
          <w:color w:val="1F3864"/>
          <w:sz w:val="30"/>
          <w:szCs w:val="30"/>
        </w:rPr>
        <w:t xml:space="preserve">6. Why This Is Different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tblHeader/>
        </w:trPr>
        <w:tc>
          <w:tcPr>
            <w:tcW w:type="dxa" w:w="2200"/>
            <w:shd w:fill="1F3864" w:val="clear"/>
            <w:tcMar>
              <w:top w:type="dxa" w:w="60"/>
              <w:left w:type="dxa" w:w="100"/>
              <w:bottom w:type="dxa" w:w="60"/>
              <w:right w:type="dxa" w:w="100"/>
            </w:tcMar>
          </w:tcPr>
          <w:p>
            <w:r>
              <w:rPr>
                <w:b/>
                <w:bCs/>
                <w:color w:val="FFFFFF"/>
                <w:sz w:val="20"/>
                <w:szCs w:val="20"/>
              </w:rPr>
              <w:t xml:space="preserve"/>
            </w:r>
          </w:p>
        </w:tc>
        <w:tc>
          <w:tcPr>
            <w:tcW w:type="dxa" w:w="2200"/>
            <w:shd w:fill="1F3864" w:val="clear"/>
            <w:tcMar>
              <w:top w:type="dxa" w:w="60"/>
              <w:left w:type="dxa" w:w="100"/>
              <w:bottom w:type="dxa" w:w="60"/>
              <w:right w:type="dxa" w:w="100"/>
            </w:tcMar>
          </w:tcPr>
          <w:p>
            <w:r>
              <w:rPr>
                <w:b/>
                <w:bCs/>
                <w:color w:val="FFFFFF"/>
                <w:sz w:val="20"/>
                <w:szCs w:val="20"/>
              </w:rPr>
              <w:t xml:space="preserve">Generic AI Chatbots</w:t>
            </w:r>
          </w:p>
        </w:tc>
        <w:tc>
          <w:tcPr>
            <w:tcW w:type="dxa" w:w="2400"/>
            <w:shd w:fill="1F3864" w:val="clear"/>
            <w:tcMar>
              <w:top w:type="dxa" w:w="60"/>
              <w:left w:type="dxa" w:w="100"/>
              <w:bottom w:type="dxa" w:w="60"/>
              <w:right w:type="dxa" w:w="100"/>
            </w:tcMar>
          </w:tcPr>
          <w:p>
            <w:r>
              <w:rPr>
                <w:b/>
                <w:bCs/>
                <w:color w:val="FFFFFF"/>
                <w:sz w:val="20"/>
                <w:szCs w:val="20"/>
              </w:rPr>
              <w:t xml:space="preserve">Traditional Software</w:t>
            </w:r>
          </w:p>
        </w:tc>
        <w:tc>
          <w:tcPr>
            <w:tcW w:type="dxa" w:w="2200"/>
            <w:shd w:fill="1F3864" w:val="clear"/>
            <w:tcMar>
              <w:top w:type="dxa" w:w="60"/>
              <w:left w:type="dxa" w:w="100"/>
              <w:bottom w:type="dxa" w:w="60"/>
              <w:right w:type="dxa" w:w="100"/>
            </w:tcMar>
          </w:tcPr>
          <w:p>
            <w:r>
              <w:rPr>
                <w:b/>
                <w:bCs/>
                <w:color w:val="FFFFFF"/>
                <w:sz w:val="20"/>
                <w:szCs w:val="20"/>
              </w:rPr>
              <w:t xml:space="preserve">Company Brain</w:t>
            </w:r>
          </w:p>
        </w:tc>
      </w:tr>
      <w:tr>
        <w:tc>
          <w:tcPr>
            <w:tcW w:type="dxa" w:w="2200"/>
            <w:shd w:fill="EAF0F8" w:val="clear"/>
            <w:tcMar>
              <w:top w:type="dxa" w:w="50"/>
              <w:left w:type="dxa" w:w="100"/>
              <w:bottom w:type="dxa" w:w="50"/>
              <w:right w:type="dxa" w:w="100"/>
            </w:tcMar>
          </w:tcPr>
          <w:p>
            <w:r>
              <w:rPr>
                <w:color w:val="222222"/>
                <w:sz w:val="20"/>
                <w:szCs w:val="20"/>
              </w:rPr>
              <w:t xml:space="preserve">Accesses your private data</w:t>
            </w:r>
          </w:p>
        </w:tc>
        <w:tc>
          <w:tcPr>
            <w:tcW w:type="dxa" w:w="2200"/>
            <w:shd w:fill="EAF0F8" w:val="clear"/>
            <w:tcMar>
              <w:top w:type="dxa" w:w="50"/>
              <w:left w:type="dxa" w:w="100"/>
              <w:bottom w:type="dxa" w:w="50"/>
              <w:right w:type="dxa" w:w="100"/>
            </w:tcMar>
          </w:tcPr>
          <w:p>
            <w:r>
              <w:rPr>
                <w:color w:val="222222"/>
                <w:sz w:val="20"/>
                <w:szCs w:val="20"/>
              </w:rPr>
              <w:t xml:space="preserve">No</w:t>
            </w:r>
          </w:p>
        </w:tc>
        <w:tc>
          <w:tcPr>
            <w:tcW w:type="dxa" w:w="2400"/>
            <w:shd w:fill="EAF0F8" w:val="clear"/>
            <w:tcMar>
              <w:top w:type="dxa" w:w="50"/>
              <w:left w:type="dxa" w:w="100"/>
              <w:bottom w:type="dxa" w:w="50"/>
              <w:right w:type="dxa" w:w="100"/>
            </w:tcMar>
          </w:tcPr>
          <w:p>
            <w:r>
              <w:rPr>
                <w:color w:val="222222"/>
                <w:sz w:val="20"/>
                <w:szCs w:val="20"/>
              </w:rPr>
              <w:t xml:space="preserve">Stores it, cannot reason</w:t>
            </w:r>
          </w:p>
        </w:tc>
        <w:tc>
          <w:tcPr>
            <w:tcW w:type="dxa" w:w="2200"/>
            <w:shd w:fill="EAF0F8" w:val="clear"/>
            <w:tcMar>
              <w:top w:type="dxa" w:w="50"/>
              <w:left w:type="dxa" w:w="100"/>
              <w:bottom w:type="dxa" w:w="50"/>
              <w:right w:type="dxa" w:w="100"/>
            </w:tcMar>
          </w:tcPr>
          <w:p>
            <w:r>
              <w:rPr>
                <w:color w:val="222222"/>
                <w:sz w:val="20"/>
                <w:szCs w:val="20"/>
              </w:rPr>
              <w:t xml:space="preserve">Yes</w:t>
            </w:r>
          </w:p>
        </w:tc>
      </w:tr>
      <w:tr>
        <w:tc>
          <w:tcPr>
            <w:tcW w:type="dxa" w:w="2200"/>
            <w:shd w:fill="FFFFFF" w:val="clear"/>
            <w:tcMar>
              <w:top w:type="dxa" w:w="50"/>
              <w:left w:type="dxa" w:w="100"/>
              <w:bottom w:type="dxa" w:w="50"/>
              <w:right w:type="dxa" w:w="100"/>
            </w:tcMar>
          </w:tcPr>
          <w:p>
            <w:r>
              <w:rPr>
                <w:color w:val="222222"/>
                <w:sz w:val="20"/>
                <w:szCs w:val="20"/>
              </w:rPr>
              <w:t xml:space="preserve">Natural-language questions</w:t>
            </w:r>
          </w:p>
        </w:tc>
        <w:tc>
          <w:tcPr>
            <w:tcW w:type="dxa" w:w="2200"/>
            <w:shd w:fill="FFFFFF" w:val="clear"/>
            <w:tcMar>
              <w:top w:type="dxa" w:w="50"/>
              <w:left w:type="dxa" w:w="100"/>
              <w:bottom w:type="dxa" w:w="50"/>
              <w:right w:type="dxa" w:w="100"/>
            </w:tcMar>
          </w:tcPr>
          <w:p>
            <w:r>
              <w:rPr>
                <w:color w:val="222222"/>
                <w:sz w:val="20"/>
                <w:szCs w:val="20"/>
              </w:rPr>
              <w:t xml:space="preserve">Yes</w:t>
            </w:r>
          </w:p>
        </w:tc>
        <w:tc>
          <w:tcPr>
            <w:tcW w:type="dxa" w:w="2400"/>
            <w:shd w:fill="FFFFFF" w:val="clear"/>
            <w:tcMar>
              <w:top w:type="dxa" w:w="50"/>
              <w:left w:type="dxa" w:w="100"/>
              <w:bottom w:type="dxa" w:w="50"/>
              <w:right w:type="dxa" w:w="100"/>
            </w:tcMar>
          </w:tcPr>
          <w:p>
            <w:r>
              <w:rPr>
                <w:color w:val="222222"/>
                <w:sz w:val="20"/>
                <w:szCs w:val="20"/>
              </w:rPr>
              <w:t xml:space="preserve">No</w:t>
            </w:r>
          </w:p>
        </w:tc>
        <w:tc>
          <w:tcPr>
            <w:tcW w:type="dxa" w:w="2200"/>
            <w:shd w:fill="FFFFFF" w:val="clear"/>
            <w:tcMar>
              <w:top w:type="dxa" w:w="50"/>
              <w:left w:type="dxa" w:w="100"/>
              <w:bottom w:type="dxa" w:w="50"/>
              <w:right w:type="dxa" w:w="100"/>
            </w:tcMar>
          </w:tcPr>
          <w:p>
            <w:r>
              <w:rPr>
                <w:color w:val="222222"/>
                <w:sz w:val="20"/>
                <w:szCs w:val="20"/>
              </w:rPr>
              <w:t xml:space="preserve">Yes</w:t>
            </w:r>
          </w:p>
        </w:tc>
      </w:tr>
      <w:tr>
        <w:tc>
          <w:tcPr>
            <w:tcW w:type="dxa" w:w="2200"/>
            <w:shd w:fill="EAF0F8" w:val="clear"/>
            <w:tcMar>
              <w:top w:type="dxa" w:w="50"/>
              <w:left w:type="dxa" w:w="100"/>
              <w:bottom w:type="dxa" w:w="50"/>
              <w:right w:type="dxa" w:w="100"/>
            </w:tcMar>
          </w:tcPr>
          <w:p>
            <w:r>
              <w:rPr>
                <w:color w:val="222222"/>
                <w:sz w:val="20"/>
                <w:szCs w:val="20"/>
              </w:rPr>
              <w:t xml:space="preserve">Answers with source citations</w:t>
            </w:r>
          </w:p>
        </w:tc>
        <w:tc>
          <w:tcPr>
            <w:tcW w:type="dxa" w:w="2200"/>
            <w:shd w:fill="EAF0F8" w:val="clear"/>
            <w:tcMar>
              <w:top w:type="dxa" w:w="50"/>
              <w:left w:type="dxa" w:w="100"/>
              <w:bottom w:type="dxa" w:w="50"/>
              <w:right w:type="dxa" w:w="100"/>
            </w:tcMar>
          </w:tcPr>
          <w:p>
            <w:r>
              <w:rPr>
                <w:color w:val="222222"/>
                <w:sz w:val="20"/>
                <w:szCs w:val="20"/>
              </w:rPr>
              <w:t xml:space="preserve">No</w:t>
            </w:r>
          </w:p>
        </w:tc>
        <w:tc>
          <w:tcPr>
            <w:tcW w:type="dxa" w:w="2400"/>
            <w:shd w:fill="EAF0F8" w:val="clear"/>
            <w:tcMar>
              <w:top w:type="dxa" w:w="50"/>
              <w:left w:type="dxa" w:w="100"/>
              <w:bottom w:type="dxa" w:w="50"/>
              <w:right w:type="dxa" w:w="100"/>
            </w:tcMar>
          </w:tcPr>
          <w:p>
            <w:r>
              <w:rPr>
                <w:color w:val="222222"/>
                <w:sz w:val="20"/>
                <w:szCs w:val="20"/>
              </w:rPr>
              <w:t xml:space="preserve">Not applicable</w:t>
            </w:r>
          </w:p>
        </w:tc>
        <w:tc>
          <w:tcPr>
            <w:tcW w:type="dxa" w:w="2200"/>
            <w:shd w:fill="EAF0F8" w:val="clear"/>
            <w:tcMar>
              <w:top w:type="dxa" w:w="50"/>
              <w:left w:type="dxa" w:w="100"/>
              <w:bottom w:type="dxa" w:w="50"/>
              <w:right w:type="dxa" w:w="100"/>
            </w:tcMar>
          </w:tcPr>
          <w:p>
            <w:r>
              <w:rPr>
                <w:color w:val="222222"/>
                <w:sz w:val="20"/>
                <w:szCs w:val="20"/>
              </w:rPr>
              <w:t xml:space="preserve">Yes</w:t>
            </w:r>
          </w:p>
        </w:tc>
      </w:tr>
      <w:tr>
        <w:tc>
          <w:tcPr>
            <w:tcW w:type="dxa" w:w="2200"/>
            <w:shd w:fill="FFFFFF" w:val="clear"/>
            <w:tcMar>
              <w:top w:type="dxa" w:w="50"/>
              <w:left w:type="dxa" w:w="100"/>
              <w:bottom w:type="dxa" w:w="50"/>
              <w:right w:type="dxa" w:w="100"/>
            </w:tcMar>
          </w:tcPr>
          <w:p>
            <w:r>
              <w:rPr>
                <w:color w:val="222222"/>
                <w:sz w:val="20"/>
                <w:szCs w:val="20"/>
              </w:rPr>
              <w:t xml:space="preserve">Complex analytical queries</w:t>
            </w:r>
          </w:p>
        </w:tc>
        <w:tc>
          <w:tcPr>
            <w:tcW w:type="dxa" w:w="2200"/>
            <w:shd w:fill="FFFFFF" w:val="clear"/>
            <w:tcMar>
              <w:top w:type="dxa" w:w="50"/>
              <w:left w:type="dxa" w:w="100"/>
              <w:bottom w:type="dxa" w:w="50"/>
              <w:right w:type="dxa" w:w="100"/>
            </w:tcMar>
          </w:tcPr>
          <w:p>
            <w:r>
              <w:rPr>
                <w:color w:val="222222"/>
                <w:sz w:val="20"/>
                <w:szCs w:val="20"/>
              </w:rPr>
              <w:t xml:space="preserve">No</w:t>
            </w:r>
          </w:p>
        </w:tc>
        <w:tc>
          <w:tcPr>
            <w:tcW w:type="dxa" w:w="2400"/>
            <w:shd w:fill="FFFFFF" w:val="clear"/>
            <w:tcMar>
              <w:top w:type="dxa" w:w="50"/>
              <w:left w:type="dxa" w:w="100"/>
              <w:bottom w:type="dxa" w:w="50"/>
              <w:right w:type="dxa" w:w="100"/>
            </w:tcMar>
          </w:tcPr>
          <w:p>
            <w:r>
              <w:rPr>
                <w:color w:val="222222"/>
                <w:sz w:val="20"/>
                <w:szCs w:val="20"/>
              </w:rPr>
              <w:t xml:space="preserve">Rigid, pre-built only</w:t>
            </w:r>
          </w:p>
        </w:tc>
        <w:tc>
          <w:tcPr>
            <w:tcW w:type="dxa" w:w="2200"/>
            <w:shd w:fill="FFFFFF" w:val="clear"/>
            <w:tcMar>
              <w:top w:type="dxa" w:w="50"/>
              <w:left w:type="dxa" w:w="100"/>
              <w:bottom w:type="dxa" w:w="50"/>
              <w:right w:type="dxa" w:w="100"/>
            </w:tcMar>
          </w:tcPr>
          <w:p>
            <w:r>
              <w:rPr>
                <w:color w:val="222222"/>
                <w:sz w:val="20"/>
                <w:szCs w:val="20"/>
              </w:rPr>
              <w:t xml:space="preserve">Yes</w:t>
            </w:r>
          </w:p>
        </w:tc>
      </w:tr>
      <w:tr>
        <w:tc>
          <w:tcPr>
            <w:tcW w:type="dxa" w:w="2200"/>
            <w:shd w:fill="EAF0F8" w:val="clear"/>
            <w:tcMar>
              <w:top w:type="dxa" w:w="50"/>
              <w:left w:type="dxa" w:w="100"/>
              <w:bottom w:type="dxa" w:w="50"/>
              <w:right w:type="dxa" w:w="100"/>
            </w:tcMar>
          </w:tcPr>
          <w:p>
            <w:r>
              <w:rPr>
                <w:color w:val="222222"/>
                <w:sz w:val="20"/>
                <w:szCs w:val="20"/>
              </w:rPr>
              <w:t xml:space="preserve">Affordable for small orgs</w:t>
            </w:r>
          </w:p>
        </w:tc>
        <w:tc>
          <w:tcPr>
            <w:tcW w:type="dxa" w:w="2200"/>
            <w:shd w:fill="EAF0F8" w:val="clear"/>
            <w:tcMar>
              <w:top w:type="dxa" w:w="50"/>
              <w:left w:type="dxa" w:w="100"/>
              <w:bottom w:type="dxa" w:w="50"/>
              <w:right w:type="dxa" w:w="100"/>
            </w:tcMar>
          </w:tcPr>
          <w:p>
            <w:r>
              <w:rPr>
                <w:color w:val="222222"/>
                <w:sz w:val="20"/>
                <w:szCs w:val="20"/>
              </w:rPr>
              <w:t xml:space="preserve">Not applicable</w:t>
            </w:r>
          </w:p>
        </w:tc>
        <w:tc>
          <w:tcPr>
            <w:tcW w:type="dxa" w:w="2400"/>
            <w:shd w:fill="EAF0F8" w:val="clear"/>
            <w:tcMar>
              <w:top w:type="dxa" w:w="50"/>
              <w:left w:type="dxa" w:w="100"/>
              <w:bottom w:type="dxa" w:w="50"/>
              <w:right w:type="dxa" w:w="100"/>
            </w:tcMar>
          </w:tcPr>
          <w:p>
            <w:r>
              <w:rPr>
                <w:color w:val="222222"/>
                <w:sz w:val="20"/>
                <w:szCs w:val="20"/>
              </w:rPr>
              <w:t xml:space="preserve">Rarely</w:t>
            </w:r>
          </w:p>
        </w:tc>
        <w:tc>
          <w:tcPr>
            <w:tcW w:type="dxa" w:w="2200"/>
            <w:shd w:fill="EAF0F8" w:val="clear"/>
            <w:tcMar>
              <w:top w:type="dxa" w:w="50"/>
              <w:left w:type="dxa" w:w="100"/>
              <w:bottom w:type="dxa" w:w="50"/>
              <w:right w:type="dxa" w:w="100"/>
            </w:tcMar>
          </w:tcPr>
          <w:p>
            <w:r>
              <w:rPr>
                <w:color w:val="222222"/>
                <w:sz w:val="20"/>
                <w:szCs w:val="20"/>
              </w:rPr>
              <w:t xml:space="preserve">Yes</w:t>
            </w:r>
          </w:p>
        </w:tc>
      </w:tr>
    </w:tbl>
    <w:p>
      <w:pPr>
        <w:spacing w:after="60" w:line="276"/>
        <w:jc w:val="both"/>
      </w:pPr>
      <w:r>
        <w:rPr>
          <w:b w:val="false"/>
          <w:bCs w:val="false"/>
          <w:i w:val="false"/>
          <w:iCs w:val="false"/>
          <w:color w:val="222222"/>
          <w:sz w:val="22"/>
          <w:szCs w:val="22"/>
        </w:rPr>
        <w:t xml:space="preserve">The lasting advantage is not any single feature. It is the organization-specific knowledge the system accumulates the longer a customer uses it, combined with a cost base that larger vendors cannot profitably match in this segment.</w:t>
      </w:r>
    </w:p>
    <w:p>
      <w:r>
        <w:br w:type="page"/>
      </w:r>
    </w:p>
    <w:p>
      <w:pPr>
        <w:pStyle w:val="Heading1"/>
        <w:spacing w:after="140" w:before="320"/>
      </w:pPr>
      <w:r>
        <w:rPr>
          <w:b/>
          <w:bCs/>
          <w:color w:val="1F3864"/>
          <w:sz w:val="30"/>
          <w:szCs w:val="30"/>
        </w:rPr>
        <w:t xml:space="preserve">7.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00"/>
      </w:tblGrid>
      <w:tr>
        <w:trPr>
          <w:tblHeader/>
        </w:trPr>
        <w:tc>
          <w:tcPr>
            <w:tcW w:type="dxa" w:w="1400"/>
            <w:shd w:fill="1F3864" w:val="clear"/>
            <w:tcMar>
              <w:top w:type="dxa" w:w="60"/>
              <w:left w:type="dxa" w:w="100"/>
              <w:bottom w:type="dxa" w:w="60"/>
              <w:right w:type="dxa" w:w="100"/>
            </w:tcMar>
          </w:tcPr>
          <w:p>
            <w:r>
              <w:rPr>
                <w:b/>
                <w:bCs/>
                <w:color w:val="FFFFFF"/>
                <w:sz w:val="20"/>
                <w:szCs w:val="20"/>
              </w:rPr>
              <w:t xml:space="preserve">Phase</w:t>
            </w:r>
          </w:p>
        </w:tc>
        <w:tc>
          <w:tcPr>
            <w:tcW w:type="dxa" w:w="3000"/>
            <w:shd w:fill="1F3864" w:val="clear"/>
            <w:tcMar>
              <w:top w:type="dxa" w:w="60"/>
              <w:left w:type="dxa" w:w="100"/>
              <w:bottom w:type="dxa" w:w="60"/>
              <w:right w:type="dxa" w:w="100"/>
            </w:tcMar>
          </w:tcPr>
          <w:p>
            <w:r>
              <w:rPr>
                <w:b/>
                <w:bCs/>
                <w:color w:val="FFFFFF"/>
                <w:sz w:val="20"/>
                <w:szCs w:val="20"/>
              </w:rPr>
              <w:t xml:space="preserve">Focus</w:t>
            </w:r>
          </w:p>
        </w:tc>
        <w:tc>
          <w:tcPr>
            <w:tcW w:type="dxa" w:w="4600"/>
            <w:shd w:fill="1F3864" w:val="clear"/>
            <w:tcMar>
              <w:top w:type="dxa" w:w="60"/>
              <w:left w:type="dxa" w:w="100"/>
              <w:bottom w:type="dxa" w:w="60"/>
              <w:right w:type="dxa" w:w="100"/>
            </w:tcMar>
          </w:tcPr>
          <w:p>
            <w:r>
              <w:rPr>
                <w:b/>
                <w:bCs/>
                <w:color w:val="FFFFFF"/>
                <w:sz w:val="20"/>
                <w:szCs w:val="20"/>
              </w:rPr>
              <w:t xml:space="preserve">Milestone</w:t>
            </w:r>
          </w:p>
        </w:tc>
      </w:tr>
      <w:tr>
        <w:tc>
          <w:tcPr>
            <w:tcW w:type="dxa" w:w="1400"/>
            <w:shd w:fill="EAF0F8" w:val="clear"/>
            <w:tcMar>
              <w:top w:type="dxa" w:w="50"/>
              <w:left w:type="dxa" w:w="100"/>
              <w:bottom w:type="dxa" w:w="50"/>
              <w:right w:type="dxa" w:w="100"/>
            </w:tcMar>
          </w:tcPr>
          <w:p>
            <w:r>
              <w:rPr>
                <w:color w:val="222222"/>
                <w:sz w:val="20"/>
                <w:szCs w:val="20"/>
              </w:rPr>
              <w:t xml:space="preserve">Now</w:t>
            </w:r>
          </w:p>
        </w:tc>
        <w:tc>
          <w:tcPr>
            <w:tcW w:type="dxa" w:w="3000"/>
            <w:shd w:fill="EAF0F8" w:val="clear"/>
            <w:tcMar>
              <w:top w:type="dxa" w:w="50"/>
              <w:left w:type="dxa" w:w="100"/>
              <w:bottom w:type="dxa" w:w="50"/>
              <w:right w:type="dxa" w:w="100"/>
            </w:tcMar>
          </w:tcPr>
          <w:p>
            <w:r>
              <w:rPr>
                <w:color w:val="222222"/>
                <w:sz w:val="20"/>
                <w:szCs w:val="20"/>
              </w:rPr>
              <w:t xml:space="preserve">Prototype hardening</w:t>
            </w:r>
          </w:p>
        </w:tc>
        <w:tc>
          <w:tcPr>
            <w:tcW w:type="dxa" w:w="4600"/>
            <w:shd w:fill="EAF0F8" w:val="clear"/>
            <w:tcMar>
              <w:top w:type="dxa" w:w="50"/>
              <w:left w:type="dxa" w:w="100"/>
              <w:bottom w:type="dxa" w:w="50"/>
              <w:right w:type="dxa" w:w="100"/>
            </w:tcMar>
          </w:tcPr>
          <w:p>
            <w:r>
              <w:rPr>
                <w:color w:val="222222"/>
                <w:sz w:val="20"/>
                <w:szCs w:val="20"/>
              </w:rPr>
              <w:t xml:space="preserve">Reliable answers to complex analytical queries, validated on real institutional data.</w:t>
            </w:r>
          </w:p>
        </w:tc>
      </w:tr>
      <w:tr>
        <w:tc>
          <w:tcPr>
            <w:tcW w:type="dxa" w:w="1400"/>
            <w:shd w:fill="FFFFFF" w:val="clear"/>
            <w:tcMar>
              <w:top w:type="dxa" w:w="50"/>
              <w:left w:type="dxa" w:w="100"/>
              <w:bottom w:type="dxa" w:w="50"/>
              <w:right w:type="dxa" w:w="100"/>
            </w:tcMar>
          </w:tcPr>
          <w:p>
            <w:r>
              <w:rPr>
                <w:color w:val="222222"/>
                <w:sz w:val="20"/>
                <w:szCs w:val="20"/>
              </w:rPr>
              <w:t xml:space="preserve">Near-term</w:t>
            </w:r>
          </w:p>
        </w:tc>
        <w:tc>
          <w:tcPr>
            <w:tcW w:type="dxa" w:w="3000"/>
            <w:shd w:fill="FFFFFF" w:val="clear"/>
            <w:tcMar>
              <w:top w:type="dxa" w:w="50"/>
              <w:left w:type="dxa" w:w="100"/>
              <w:bottom w:type="dxa" w:w="50"/>
              <w:right w:type="dxa" w:w="100"/>
            </w:tcMar>
          </w:tcPr>
          <w:p>
            <w:r>
              <w:rPr>
                <w:color w:val="222222"/>
                <w:sz w:val="20"/>
                <w:szCs w:val="20"/>
              </w:rPr>
              <w:t xml:space="preserve">First pilot deployment</w:t>
            </w:r>
          </w:p>
        </w:tc>
        <w:tc>
          <w:tcPr>
            <w:tcW w:type="dxa" w:w="4600"/>
            <w:shd w:fill="FFFFFF" w:val="clear"/>
            <w:tcMar>
              <w:top w:type="dxa" w:w="50"/>
              <w:left w:type="dxa" w:w="100"/>
              <w:bottom w:type="dxa" w:w="50"/>
              <w:right w:type="dxa" w:w="100"/>
            </w:tcMar>
          </w:tcPr>
          <w:p>
            <w:r>
              <w:rPr>
                <w:color w:val="222222"/>
                <w:sz w:val="20"/>
                <w:szCs w:val="20"/>
              </w:rPr>
              <w:t xml:space="preserve">A live deployment in daily use, showing measurable time saved.</w:t>
            </w:r>
          </w:p>
        </w:tc>
      </w:tr>
      <w:tr>
        <w:tc>
          <w:tcPr>
            <w:tcW w:type="dxa" w:w="1400"/>
            <w:shd w:fill="EAF0F8" w:val="clear"/>
            <w:tcMar>
              <w:top w:type="dxa" w:w="50"/>
              <w:left w:type="dxa" w:w="100"/>
              <w:bottom w:type="dxa" w:w="50"/>
              <w:right w:type="dxa" w:w="100"/>
            </w:tcMar>
          </w:tcPr>
          <w:p>
            <w:r>
              <w:rPr>
                <w:color w:val="222222"/>
                <w:sz w:val="20"/>
                <w:szCs w:val="20"/>
              </w:rPr>
              <w:t xml:space="preserve">Growth</w:t>
            </w:r>
          </w:p>
        </w:tc>
        <w:tc>
          <w:tcPr>
            <w:tcW w:type="dxa" w:w="3000"/>
            <w:shd w:fill="EAF0F8" w:val="clear"/>
            <w:tcMar>
              <w:top w:type="dxa" w:w="50"/>
              <w:left w:type="dxa" w:w="100"/>
              <w:bottom w:type="dxa" w:w="50"/>
              <w:right w:type="dxa" w:w="100"/>
            </w:tcMar>
          </w:tcPr>
          <w:p>
            <w:r>
              <w:rPr>
                <w:color w:val="222222"/>
                <w:sz w:val="20"/>
                <w:szCs w:val="20"/>
              </w:rPr>
              <w:t xml:space="preserve">First paying customers</w:t>
            </w:r>
          </w:p>
        </w:tc>
        <w:tc>
          <w:tcPr>
            <w:tcW w:type="dxa" w:w="4600"/>
            <w:shd w:fill="EAF0F8" w:val="clear"/>
            <w:tcMar>
              <w:top w:type="dxa" w:w="50"/>
              <w:left w:type="dxa" w:w="100"/>
              <w:bottom w:type="dxa" w:w="50"/>
              <w:right w:type="dxa" w:w="100"/>
            </w:tcMar>
          </w:tcPr>
          <w:p>
            <w:r>
              <w:rPr>
                <w:color w:val="222222"/>
                <w:sz w:val="20"/>
                <w:szCs w:val="20"/>
              </w:rPr>
              <w:t xml:space="preserve">Convert the pilot into paid subscriptions and onboard further organizations.</w:t>
            </w:r>
          </w:p>
        </w:tc>
      </w:tr>
      <w:tr>
        <w:tc>
          <w:tcPr>
            <w:tcW w:type="dxa" w:w="1400"/>
            <w:shd w:fill="FFFFFF" w:val="clear"/>
            <w:tcMar>
              <w:top w:type="dxa" w:w="50"/>
              <w:left w:type="dxa" w:w="100"/>
              <w:bottom w:type="dxa" w:w="50"/>
              <w:right w:type="dxa" w:w="100"/>
            </w:tcMar>
          </w:tcPr>
          <w:p>
            <w:r>
              <w:rPr>
                <w:color w:val="222222"/>
                <w:sz w:val="20"/>
                <w:szCs w:val="20"/>
              </w:rPr>
              <w:t xml:space="preserve">Scale</w:t>
            </w:r>
          </w:p>
        </w:tc>
        <w:tc>
          <w:tcPr>
            <w:tcW w:type="dxa" w:w="3000"/>
            <w:shd w:fill="FFFFFF" w:val="clear"/>
            <w:tcMar>
              <w:top w:type="dxa" w:w="50"/>
              <w:left w:type="dxa" w:w="100"/>
              <w:bottom w:type="dxa" w:w="50"/>
              <w:right w:type="dxa" w:w="100"/>
            </w:tcMar>
          </w:tcPr>
          <w:p>
            <w:r>
              <w:rPr>
                <w:color w:val="222222"/>
                <w:sz w:val="20"/>
                <w:szCs w:val="20"/>
              </w:rPr>
              <w:t xml:space="preserve">Multi-organization platform</w:t>
            </w:r>
          </w:p>
        </w:tc>
        <w:tc>
          <w:tcPr>
            <w:tcW w:type="dxa" w:w="4600"/>
            <w:shd w:fill="FFFFFF" w:val="clear"/>
            <w:tcMar>
              <w:top w:type="dxa" w:w="50"/>
              <w:left w:type="dxa" w:w="100"/>
              <w:bottom w:type="dxa" w:w="50"/>
              <w:right w:type="dxa" w:w="100"/>
            </w:tcMar>
          </w:tcPr>
          <w:p>
            <w:r>
              <w:rPr>
                <w:color w:val="222222"/>
                <w:sz w:val="20"/>
                <w:szCs w:val="20"/>
              </w:rPr>
              <w:t xml:space="preserve">Expand across institutions, industrial units and businesses, and broaden data sources.</w:t>
            </w:r>
          </w:p>
        </w:tc>
      </w:tr>
      <w:tr>
        <w:tc>
          <w:tcPr>
            <w:tcW w:type="dxa" w:w="1400"/>
            <w:shd w:fill="EAF0F8" w:val="clear"/>
            <w:tcMar>
              <w:top w:type="dxa" w:w="50"/>
              <w:left w:type="dxa" w:w="100"/>
              <w:bottom w:type="dxa" w:w="50"/>
              <w:right w:type="dxa" w:w="100"/>
            </w:tcMar>
          </w:tcPr>
          <w:p>
            <w:r>
              <w:rPr>
                <w:color w:val="222222"/>
                <w:sz w:val="20"/>
                <w:szCs w:val="20"/>
              </w:rPr>
              <w:t xml:space="preserve">Vision</w:t>
            </w:r>
          </w:p>
        </w:tc>
        <w:tc>
          <w:tcPr>
            <w:tcW w:type="dxa" w:w="3000"/>
            <w:shd w:fill="EAF0F8" w:val="clear"/>
            <w:tcMar>
              <w:top w:type="dxa" w:w="50"/>
              <w:left w:type="dxa" w:w="100"/>
              <w:bottom w:type="dxa" w:w="50"/>
              <w:right w:type="dxa" w:w="100"/>
            </w:tcMar>
          </w:tcPr>
          <w:p>
            <w:r>
              <w:rPr>
                <w:color w:val="222222"/>
                <w:sz w:val="20"/>
                <w:szCs w:val="20"/>
              </w:rPr>
              <w:t xml:space="preserve">The AI layer for organizations</w:t>
            </w:r>
          </w:p>
        </w:tc>
        <w:tc>
          <w:tcPr>
            <w:tcW w:type="dxa" w:w="4600"/>
            <w:shd w:fill="EAF0F8" w:val="clear"/>
            <w:tcMar>
              <w:top w:type="dxa" w:w="50"/>
              <w:left w:type="dxa" w:w="100"/>
              <w:bottom w:type="dxa" w:w="50"/>
              <w:right w:type="dxa" w:w="100"/>
            </w:tcMar>
          </w:tcPr>
          <w:p>
            <w:r>
              <w:rPr>
                <w:color w:val="222222"/>
                <w:sz w:val="20"/>
                <w:szCs w:val="20"/>
              </w:rPr>
              <w:t xml:space="preserve">Become the layer through which any organization queries and acts on its own knowledge.</w:t>
            </w:r>
          </w:p>
        </w:tc>
      </w:tr>
    </w:tbl>
    <w:p>
      <w:pPr>
        <w:pBdr>
          <w:bottom w:val="single" w:color="CCCCCC" w:sz="6" w:space="1"/>
        </w:pBdr>
        <w:spacing w:after="80" w:before="80"/>
      </w:pPr>
    </w:p>
    <w:p>
      <w:pPr>
        <w:pStyle w:val="Heading1"/>
        <w:spacing w:after="140" w:before="320"/>
      </w:pPr>
      <w:r>
        <w:rPr>
          <w:b/>
          <w:bCs/>
          <w:color w:val="1F3864"/>
          <w:sz w:val="30"/>
          <w:szCs w:val="30"/>
        </w:rPr>
        <w:t xml:space="preserve">8. What We Seek From Incubation</w:t>
      </w:r>
    </w:p>
    <w:p>
      <w:pPr>
        <w:spacing w:after="120" w:line="276"/>
        <w:jc w:val="both"/>
      </w:pPr>
      <w:r>
        <w:rPr>
          <w:b w:val="false"/>
          <w:bCs w:val="false"/>
          <w:i w:val="false"/>
          <w:iCs w:val="false"/>
          <w:color w:val="222222"/>
          <w:sz w:val="22"/>
          <w:szCs w:val="22"/>
        </w:rPr>
        <w:t xml:space="preserve">Incubation support would accelerate the venture in three concrete ways.</w:t>
      </w:r>
    </w:p>
    <w:p>
      <w:pPr>
        <w:pStyle w:val="ListParagraph"/>
        <w:numPr>
          <w:ilvl w:val="0"/>
          <w:numId w:val="2"/>
        </w:numPr>
        <w:spacing w:after="70" w:line="268"/>
      </w:pPr>
      <w:r>
        <w:rPr>
          <w:b/>
          <w:bCs/>
          <w:color w:val="1F3864"/>
          <w:sz w:val="22"/>
          <w:szCs w:val="22"/>
        </w:rPr>
        <w:t xml:space="preserve">Infrastructure: </w:t>
      </w:r>
      <w:r>
        <w:rPr>
          <w:color w:val="222222"/>
          <w:sz w:val="22"/>
          <w:szCs w:val="22"/>
        </w:rPr>
        <w:t xml:space="preserve">access to computing infrastructure able to run the platform reliably beyond a single developer laptop.</w:t>
      </w:r>
    </w:p>
    <w:p>
      <w:pPr>
        <w:pStyle w:val="ListParagraph"/>
        <w:numPr>
          <w:ilvl w:val="0"/>
          <w:numId w:val="2"/>
        </w:numPr>
        <w:spacing w:after="70" w:line="268"/>
      </w:pPr>
      <w:r>
        <w:rPr>
          <w:b/>
          <w:bCs/>
          <w:color w:val="1F3864"/>
          <w:sz w:val="22"/>
          <w:szCs w:val="22"/>
        </w:rPr>
        <w:t xml:space="preserve">Pilot access: </w:t>
      </w:r>
      <w:r>
        <w:rPr>
          <w:color w:val="222222"/>
          <w:sz w:val="22"/>
          <w:szCs w:val="22"/>
        </w:rPr>
        <w:t xml:space="preserve">introductions to a first set of pilot organizations willing to test the platform on real data.</w:t>
      </w:r>
    </w:p>
    <w:p>
      <w:pPr>
        <w:pStyle w:val="ListParagraph"/>
        <w:numPr>
          <w:ilvl w:val="0"/>
          <w:numId w:val="2"/>
        </w:numPr>
        <w:spacing w:after="70" w:line="268"/>
      </w:pPr>
      <w:r>
        <w:rPr>
          <w:b/>
          <w:bCs/>
          <w:color w:val="1F3864"/>
          <w:sz w:val="22"/>
          <w:szCs w:val="22"/>
        </w:rPr>
        <w:t xml:space="preserve">Mentorship and recognition: </w:t>
      </w:r>
      <w:r>
        <w:rPr>
          <w:color w:val="222222"/>
          <w:sz w:val="22"/>
          <w:szCs w:val="22"/>
        </w:rPr>
        <w:t xml:space="preserve">guidance on go-to-market, formal recognition pathways such as national startup recognition schemes, and early-stage business development.</w:t>
      </w:r>
    </w:p>
    <w:p>
      <w:pPr>
        <w:spacing w:after="120" w:line="276"/>
        <w:jc w:val="both"/>
      </w:pPr>
      <w:r>
        <w:rPr>
          <w:b w:val="false"/>
          <w:bCs w:val="false"/>
          <w:i/>
          <w:iCs/>
          <w:color w:val="222222"/>
          <w:sz w:val="22"/>
          <w:szCs w:val="22"/>
        </w:rPr>
        <w:t xml:space="preserve">In return, the incubator gains a technically mature, revenue-focused venture with a working prototype, a defined market and a founder able to execute.</w:t>
      </w:r>
    </w:p>
    <w:p>
      <w:pPr>
        <w:pBdr>
          <w:bottom w:val="single" w:color="CCCCCC" w:sz="6" w:space="1"/>
        </w:pBdr>
        <w:spacing w:after="80" w:before="80"/>
      </w:pPr>
    </w:p>
    <w:p>
      <w:pPr>
        <w:spacing w:before="200"/>
        <w:jc w:val="center"/>
      </w:pPr>
      <w:r>
        <w:rPr>
          <w:b/>
          <w:bCs/>
          <w:i/>
          <w:iCs/>
          <w:color w:val="1F3864"/>
          <w:sz w:val="22"/>
          <w:szCs w:val="22"/>
        </w:rPr>
        <w:t xml:space="preserve">Company Brain: turning an organization's documents into answers.</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2026-08-10T19:47:54.975Z</dcterms:created>
  <dcterms:modified xsi:type="dcterms:W3CDTF">2026-08-10T19:47:54.975Z</dcterms:modified>
</cp:coreProperties>
</file>

<file path=docProps/custom.xml><?xml version="1.0" encoding="utf-8"?>
<Properties xmlns="http://schemas.openxmlformats.org/officeDocument/2006/custom-properties" xmlns:vt="http://schemas.openxmlformats.org/officeDocument/2006/docPropsVTypes"/>
</file>