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i w:val="1"/>
          <w:color w:val="cc000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*Areas in this glossary are intentionally empty as we haven’t covered key terms and definitions that fall under certain letters just yet. 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i w:val="1"/>
          <w:color w:val="cc0000"/>
          <w:rtl w:val="0"/>
        </w:rPr>
        <w:t xml:space="preserve">As the program progresses, you’ll notice the glossaries shared will populate with many more key terms covered.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4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