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0"/>
        <w:gridCol w:w="5199"/>
      </w:tblGrid>
      <w:tr w:rsidR="00112C41" w14:paraId="14F5412D" w14:textId="77777777" w:rsidTr="001554EC">
        <w:trPr>
          <w:trHeight w:val="319"/>
        </w:trPr>
        <w:tc>
          <w:tcPr>
            <w:tcW w:w="1460"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5199" w:type="dxa"/>
          </w:tcPr>
          <w:p w14:paraId="10C29C5C" w14:textId="2E025326" w:rsidR="00112C41" w:rsidRPr="0036104E" w:rsidRDefault="00CC3EF5" w:rsidP="003623C7">
            <w:pPr>
              <w:pStyle w:val="TableParagraph"/>
              <w:spacing w:before="1" w:line="360" w:lineRule="auto"/>
              <w:ind w:left="108"/>
              <w:rPr>
                <w:sz w:val="24"/>
                <w:szCs w:val="24"/>
              </w:rPr>
            </w:pPr>
            <w:proofErr w:type="spellStart"/>
            <w:r>
              <w:rPr>
                <w:szCs w:val="24"/>
              </w:rPr>
              <w:t>Aumsai</w:t>
            </w:r>
            <w:proofErr w:type="spellEnd"/>
            <w:r>
              <w:rPr>
                <w:szCs w:val="24"/>
              </w:rPr>
              <w:t xml:space="preserve"> Waghmare, Rohan Kulkarni, Soundarya Rajput</w:t>
            </w:r>
          </w:p>
        </w:tc>
      </w:tr>
      <w:tr w:rsidR="00112C41" w14:paraId="711239C9" w14:textId="77777777" w:rsidTr="001554EC">
        <w:trPr>
          <w:trHeight w:val="319"/>
        </w:trPr>
        <w:tc>
          <w:tcPr>
            <w:tcW w:w="1460"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5199"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1554EC">
        <w:trPr>
          <w:trHeight w:val="319"/>
        </w:trPr>
        <w:tc>
          <w:tcPr>
            <w:tcW w:w="1460"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5199" w:type="dxa"/>
          </w:tcPr>
          <w:p w14:paraId="221C67B3" w14:textId="464B8427" w:rsidR="00112C41" w:rsidRPr="0036104E" w:rsidRDefault="00192C68" w:rsidP="003623C7">
            <w:pPr>
              <w:pStyle w:val="TableParagraph"/>
              <w:spacing w:before="1" w:line="360" w:lineRule="auto"/>
              <w:ind w:left="108"/>
              <w:rPr>
                <w:sz w:val="24"/>
                <w:szCs w:val="24"/>
              </w:rPr>
            </w:pPr>
            <w:r>
              <w:rPr>
                <w:sz w:val="24"/>
                <w:szCs w:val="24"/>
              </w:rPr>
              <w:t>01/10/2022</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 xml:space="preserve">Whether the outlet is just a grocery store </w:t>
            </w:r>
            <w:r>
              <w:lastRenderedPageBreak/>
              <w:t>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lastRenderedPageBreak/>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 xml:space="preserve">After preprocessing it was found that some of the attributes are not important to the item sales for the particular outlet. So those attributes are removed. Even one hot encoding is </w:t>
      </w:r>
      <w:r w:rsidRPr="0092011F">
        <w:rPr>
          <w:sz w:val="24"/>
          <w:szCs w:val="24"/>
        </w:rPr>
        <w:lastRenderedPageBreak/>
        <w:t>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6D7E20E2" w:rsidR="00753DFE"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proofErr w:type="gramStart"/>
      <w:r w:rsidR="008D452C">
        <w:rPr>
          <w:sz w:val="24"/>
          <w:szCs w:val="24"/>
        </w:rPr>
        <w:t>Random forest</w:t>
      </w:r>
      <w:proofErr w:type="gramEnd"/>
      <w:r w:rsidR="008D452C">
        <w:rPr>
          <w:sz w:val="24"/>
          <w:szCs w:val="24"/>
        </w:rPr>
        <w:t xml:space="preserve"> regressor</w:t>
      </w:r>
      <w:r w:rsidRPr="0092011F">
        <w:rPr>
          <w:sz w:val="24"/>
          <w:szCs w:val="24"/>
        </w:rPr>
        <w: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10F99CDD" w:rsidR="0092011F" w:rsidRPr="0092011F" w:rsidRDefault="0092011F" w:rsidP="0092011F">
      <w:pPr>
        <w:rPr>
          <w:sz w:val="24"/>
          <w:szCs w:val="24"/>
        </w:rPr>
      </w:pPr>
      <w:r w:rsidRPr="0092011F">
        <w:rPr>
          <w:sz w:val="24"/>
          <w:szCs w:val="24"/>
        </w:rPr>
        <w:t>Model is saved using pickle library in `.</w:t>
      </w:r>
      <w:r w:rsidR="008D452C">
        <w:rPr>
          <w:sz w:val="24"/>
          <w:szCs w:val="24"/>
        </w:rPr>
        <w:t>sav</w:t>
      </w:r>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20E6E9F8" w:rsidR="008D452C" w:rsidRDefault="0092011F" w:rsidP="008D452C">
      <w:pPr>
        <w:rPr>
          <w:b/>
          <w:bCs/>
          <w:sz w:val="24"/>
          <w:szCs w:val="24"/>
        </w:rPr>
      </w:pPr>
      <w:r w:rsidRPr="0092011F">
        <w:rPr>
          <w:sz w:val="24"/>
          <w:szCs w:val="24"/>
        </w:rPr>
        <w:t>App link-</w:t>
      </w:r>
      <w:r w:rsidR="008D452C" w:rsidRPr="008D452C">
        <w:rPr>
          <w:sz w:val="24"/>
          <w:szCs w:val="24"/>
        </w:rPr>
        <w:t>https://bigmartsalesprediction.herokuapp.com/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746F" w14:textId="77777777" w:rsidR="008B1671" w:rsidRDefault="008B1671" w:rsidP="00112C41">
      <w:r>
        <w:separator/>
      </w:r>
    </w:p>
  </w:endnote>
  <w:endnote w:type="continuationSeparator" w:id="0">
    <w:p w14:paraId="19DBD047" w14:textId="77777777" w:rsidR="008B1671" w:rsidRDefault="008B1671"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8C05" w14:textId="77777777" w:rsidR="008B1671" w:rsidRDefault="008B1671" w:rsidP="00112C41">
      <w:r>
        <w:separator/>
      </w:r>
    </w:p>
  </w:footnote>
  <w:footnote w:type="continuationSeparator" w:id="0">
    <w:p w14:paraId="33E3A1E7" w14:textId="77777777" w:rsidR="008B1671" w:rsidRDefault="008B1671"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1621913773">
    <w:abstractNumId w:val="5"/>
  </w:num>
  <w:num w:numId="2" w16cid:durableId="1587106079">
    <w:abstractNumId w:val="0"/>
  </w:num>
  <w:num w:numId="3" w16cid:durableId="1972706597">
    <w:abstractNumId w:val="6"/>
  </w:num>
  <w:num w:numId="4" w16cid:durableId="1037004982">
    <w:abstractNumId w:val="2"/>
  </w:num>
  <w:num w:numId="5" w16cid:durableId="1128471506">
    <w:abstractNumId w:val="3"/>
  </w:num>
  <w:num w:numId="6" w16cid:durableId="222447192">
    <w:abstractNumId w:val="1"/>
  </w:num>
  <w:num w:numId="7" w16cid:durableId="805049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1554EC"/>
    <w:rsid w:val="00190FC8"/>
    <w:rsid w:val="00192C68"/>
    <w:rsid w:val="002D2F9D"/>
    <w:rsid w:val="00483BCF"/>
    <w:rsid w:val="005565FE"/>
    <w:rsid w:val="00594AEF"/>
    <w:rsid w:val="006001B4"/>
    <w:rsid w:val="0061756A"/>
    <w:rsid w:val="00684017"/>
    <w:rsid w:val="006974B9"/>
    <w:rsid w:val="00753DFE"/>
    <w:rsid w:val="007C1A13"/>
    <w:rsid w:val="008B1671"/>
    <w:rsid w:val="008C0A80"/>
    <w:rsid w:val="008D452C"/>
    <w:rsid w:val="0092011F"/>
    <w:rsid w:val="009E3F8E"/>
    <w:rsid w:val="00B43C89"/>
    <w:rsid w:val="00B511A7"/>
    <w:rsid w:val="00C55544"/>
    <w:rsid w:val="00CC3EF5"/>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Aumsai400</cp:lastModifiedBy>
  <cp:revision>6</cp:revision>
  <dcterms:created xsi:type="dcterms:W3CDTF">2021-11-12T17:55:00Z</dcterms:created>
  <dcterms:modified xsi:type="dcterms:W3CDTF">2022-10-15T08:18:00Z</dcterms:modified>
</cp:coreProperties>
</file>