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Sanity Checks for Attention Surgery:</w:t>
      </w:r>
      <w:r>
        <w:br/>
      </w:r>
      <w:r>
        <w:t xml:space="preserve">Null Models and Matched Interventions for</w:t>
      </w:r>
      <w:r>
        <w:br/>
      </w:r>
      <w:r>
        <w:t xml:space="preserve">Representation-Motivated Design</w:t>
      </w:r>
    </w:p>
    <w:p>
      <w:pPr>
        <w:pStyle w:val="Author"/>
        <w:jc w:val="center"/>
      </w:pPr>
      <w:r>
        <w:rPr>
          <w:sz w:val="20"/>
        </w:rPr>
        <w:t>Anonymous authors</w:t>
        <w:br/>
        <w:t>Paper under double-blind review</w:t>
      </w:r>
    </w:p>
    <w:p>
      <w:pPr>
        <w:pStyle w:val="AbstractTitle"/>
        <w:jc w:val="center"/>
      </w:pPr>
      <w:r>
        <w:rPr>
          <w:sz w:val="24"/>
        </w:rPr>
        <w:t>ABSTRACT</w:t>
      </w:r>
    </w:p>
    <w:p>
      <w:pPr>
        <w:pStyle w:val="Abstract"/>
      </w:pPr>
      <w:r>
        <w:t xml:space="preserve">An attention head’s output can align with its own value vector because of</w:t>
      </w:r>
      <w:r>
        <w:t xml:space="preserve"> </w:t>
      </w:r>
      <w:r>
        <w:t xml:space="preserve">both self-attention and shared representation geometry. This alignment alone</w:t>
      </w:r>
      <w:r>
        <w:t xml:space="preserve"> </w:t>
      </w:r>
      <w:r>
        <w:t xml:space="preserve">does not establish that the aligned component is redundant. We examine it</w:t>
      </w:r>
      <w:r>
        <w:t xml:space="preserve"> </w:t>
      </w:r>
      <w:r>
        <w:t xml:space="preserve">with three checks: split-half reliability of structural statistics and</w:t>
      </w:r>
      <w:r>
        <w:t xml:space="preserve"> </w:t>
      </w:r>
      <w:r>
        <w:t xml:space="preserve">intervention effects, a null using values from earlier positions, and paired</w:t>
      </w:r>
      <w:r>
        <w:t xml:space="preserve"> </w:t>
      </w:r>
      <w:r>
        <w:t xml:space="preserve">training runs with a fixed arbitrary-direction control. We measure geometry</w:t>
      </w:r>
      <w:r>
        <w:t xml:space="preserve"> </w:t>
      </w:r>
      <w:r>
        <w:t xml:space="preserve">in twelve pretrained models and intervention reliability in three. The</w:t>
      </w:r>
      <w:r>
        <w:t xml:space="preserve"> </w:t>
      </w:r>
      <w:r>
        <w:t xml:space="preserve">behavioural effect meets the reliable threshold only in GPT-2, whereas the</w:t>
      </w:r>
      <w:r>
        <w:t xml:space="preserve"> </w:t>
      </w:r>
      <w:r>
        <w:t xml:space="preserve">structural statistics are highly reliable in all three models. The</w:t>
      </w:r>
      <w:r>
        <w:t xml:space="preserve"> </w:t>
      </w:r>
      <w:r>
        <w:t xml:space="preserve">null-adjusted statistic has raw rank correlations of</w:t>
      </w:r>
      <w:r>
        <w:t xml:space="preserve"> </w:t>
      </w:r>
      <m:oMath>
        <m:r>
          <m:t>0.189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0.279</m:t>
        </m:r>
      </m:oMath>
      <w:r>
        <w:t xml:space="preserve"> </w:t>
      </w:r>
      <w:r>
        <w:t xml:space="preserve">with the intervention effect. In an eight-seed factorial at</w:t>
      </w:r>
      <w:r>
        <w:t xml:space="preserve"> </w:t>
      </w:r>
      <m:oMath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tokens per run, learned self-directed removal lowers</w:t>
      </w:r>
      <w:r>
        <w:t xml:space="preserve"> </w:t>
      </w:r>
      <w:r>
        <w:t xml:space="preserve">validation loss by</w:t>
      </w:r>
      <w:r>
        <w:t xml:space="preserve"> </w:t>
      </w:r>
      <m:oMath>
        <m:r>
          <m:t>0.00292</m:t>
        </m:r>
      </m:oMath>
      <w:r>
        <w:t xml:space="preserve"> </w:t>
      </w:r>
      <w:r>
        <w:t xml:space="preserve">nats (Holm-corrected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0.0023</m:t>
        </m:r>
      </m:oMath>
      <w:r>
        <w:t xml:space="preserve">). The</w:t>
      </w:r>
      <w:r>
        <w:t xml:space="preserve"> </w:t>
      </w:r>
      <w:r>
        <w:t xml:space="preserve">arbitrary-direction arm has no statistically detectable difference from</w:t>
      </w:r>
      <w:r>
        <w:t xml:space="preserve"> </w:t>
      </w:r>
      <w:r>
        <w:t xml:space="preserve">baseline (</w:t>
      </w:r>
      <m:oMath>
        <m:r>
          <m:rPr>
            <m:sty m:val="p"/>
          </m:rPr>
          <m:t>+</m:t>
        </m:r>
        <m:r>
          <m:t>0.00106</m:t>
        </m:r>
      </m:oMath>
      <w:r>
        <w:t xml:space="preserve"> </w:t>
      </w:r>
      <w:r>
        <w:t xml:space="preserve">nats,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0.197</m:t>
        </m:r>
      </m:oMath>
      <w:r>
        <w:t xml:space="preserve">). These results support a benefit from</w:t>
      </w:r>
      <w:r>
        <w:t xml:space="preserve"> </w:t>
      </w:r>
      <w:r>
        <w:t xml:space="preserve">learned self-directed removal at the tested scale, but do not establish that</w:t>
      </w:r>
      <w:r>
        <w:t xml:space="preserve"> </w:t>
      </w:r>
      <w:r>
        <w:t xml:space="preserve">the component is dispensable in a frozen model or that its cosine alignment</w:t>
      </w:r>
      <w:r>
        <w:t xml:space="preserve"> </w:t>
      </w:r>
      <w:r>
        <w:t xml:space="preserve">is a reliable guide to intervention effects.</w:t>
      </w:r>
    </w:p>
    <w:bookmarkStart w:id="25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Multi-head self-attention</w:t>
      </w:r>
      <w:r>
        <w:t xml:space="preserve"> </w:t>
      </w:r>
      <w:r>
        <w:t xml:space="preserve">(Vaswani et al. 2017)</w:t>
      </w:r>
      <w:r>
        <w:t xml:space="preserve"> </w:t>
      </w:r>
      <w:r>
        <w:t xml:space="preserve">forms each head’s</w:t>
      </w:r>
      <w:r>
        <w:t xml:space="preserve"> </w:t>
      </w:r>
      <w:r>
        <w:t xml:space="preserve">output as a weighted sum of value vectors. In a causal model,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can attend to its own value vector as well as to earlier positions. Exclusive</w:t>
      </w:r>
      <w:r>
        <w:t xml:space="preserve"> </w:t>
      </w:r>
      <w:r>
        <w:t xml:space="preserve">self attention (XSA) removes the output component aligned with that value</w:t>
      </w:r>
      <w:r>
        <w:t xml:space="preserve"> </w:t>
      </w:r>
      <w:r>
        <w:t xml:space="preserve">(Zhai 2026)</w:t>
      </w:r>
      <w:r>
        <w:t xml:space="preserve">.</w:t>
      </w:r>
    </w:p>
    <w:bookmarkStart w:id="20" w:name="research-objective."/>
    <w:p>
      <w:pPr>
        <w:pStyle w:val="Heading4"/>
      </w:pPr>
      <w:r>
        <w:rPr>
          <w:rStyle w:val="SectionNumber"/>
        </w:rPr>
      </w:r>
      <w:r/>
      <w:r>
        <w:t xml:space="preserve">Research objective.</w:t>
      </w:r>
    </w:p>
    <w:p>
      <w:pPr>
        <w:pStyle w:val="FirstParagraph"/>
      </w:pPr>
      <w:r>
        <w:t xml:space="preserve">We examine whether this component is redundant and whether its cosine</w:t>
      </w:r>
      <w:r>
        <w:t xml:space="preserve"> </w:t>
      </w:r>
      <w:r>
        <w:t xml:space="preserve">alignment identifies heads whose removal changes language-modelling loss.</w:t>
      </w:r>
      <w:r>
        <w:t xml:space="preserve"> </w:t>
      </w:r>
      <w:r>
        <w:t xml:space="preserve">This is a question about a direction within a head, distinct from the</w:t>
      </w:r>
      <w:r>
        <w:t xml:space="preserve"> </w:t>
      </w:r>
      <w:r>
        <w:t xml:space="preserve">whole-head pruning studied by</w:t>
      </w:r>
      <w:r>
        <w:t xml:space="preserve"> </w:t>
      </w:r>
      <w:r>
        <w:t xml:space="preserve">Michel, Levy, and Neubig (2019; Voita et al. 2019)</w:t>
      </w:r>
      <w:r>
        <w:t xml:space="preserve">.</w:t>
      </w:r>
    </w:p>
    <w:p>
      <w:pPr>
        <w:pStyle w:val="BodyText"/>
      </w:pPr>
      <w:r>
        <w:t xml:space="preserve">Two measurements are needed to interpret such an intervention. First, high</w:t>
      </w:r>
      <w:r>
        <w:t xml:space="preserve"> </w:t>
      </w:r>
      <w:r>
        <w:t xml:space="preserve">cosine alignment need not be specific to a token’s own value:</w:t>
      </w:r>
      <w:r>
        <w:t xml:space="preserve"> </w:t>
      </w:r>
      <w:r>
        <w:t xml:space="preserve">contextual representations can be anisotropic</w:t>
      </w:r>
      <w:r>
        <w:t xml:space="preserve"> </w:t>
      </w:r>
      <w:r>
        <w:t xml:space="preserve">(Ethayarajh 2019)</w:t>
      </w:r>
      <w:r>
        <w:t xml:space="preserve">.</w:t>
      </w:r>
      <w:r>
        <w:t xml:space="preserve"> </w:t>
      </w:r>
      <w:r>
        <w:t xml:space="preserve">A comparison with other values tests how much alignment survives that</w:t>
      </w:r>
      <w:r>
        <w:t xml:space="preserve"> </w:t>
      </w:r>
      <w:r>
        <w:t xml:space="preserve">background geometry. Second, an edit’s loss effect must be measured</w:t>
      </w:r>
      <w:r>
        <w:t xml:space="preserve"> </w:t>
      </w:r>
      <w:r>
        <w:t xml:space="preserve">reliably before it can be related to a structural statistic. A small observed</w:t>
      </w:r>
      <w:r>
        <w:t xml:space="preserve"> </w:t>
      </w:r>
      <w:r>
        <w:t xml:space="preserve">correlation can reflect either a weak association or noisy measurements.</w:t>
      </w:r>
      <w:r>
        <w:t xml:space="preserve"> </w:t>
      </w:r>
      <w:r>
        <w:t xml:space="preserve">Training with an arbitrary-direction edit provides a further control for</w:t>
      </w:r>
      <w:r>
        <w:t xml:space="preserve"> </w:t>
      </w:r>
      <w:r>
        <w:t xml:space="preserve">whether an apparent benefit requires the own-value direction.</w:t>
      </w:r>
    </w:p>
    <w:p>
      <w:pPr>
        <w:pStyle w:val="BodyText"/>
      </w:pPr>
      <w:r>
        <w:t xml:space="preserve">Our protocol addresses these questions in the following order.</w:t>
      </w:r>
    </w:p>
    <w:bookmarkEnd w:id="20"/>
    <w:bookmarkStart w:id="21" w:name="check-0-is-the-effect-resolvable"/>
    <w:p>
      <w:pPr>
        <w:pStyle w:val="Heading4"/>
      </w:pPr>
      <w:r>
        <w:rPr>
          <w:rStyle w:val="SectionNumber"/>
        </w:rPr>
      </w:r>
      <w:r/>
      <w:r>
        <w:t xml:space="preserve">Check 0: is the effect resolvable?</w:t>
      </w:r>
    </w:p>
    <w:p>
      <w:pPr>
        <w:pStyle w:val="FirstParagraph"/>
      </w:pPr>
      <w:r>
        <w:t xml:space="preserve">Before any correlation is</w:t>
      </w:r>
      <w:r>
        <w:t xml:space="preserve"> </w:t>
      </w:r>
      <w:r>
        <w:t xml:space="preserve">interpreted, we estimate the split-half reliability</w:t>
      </w:r>
      <w:r>
        <w:t xml:space="preserve"> </w:t>
      </w:r>
      <m:oMath>
        <m:sSub>
          <m:e>
            <m:r>
              <m:t>r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r>
        <w:t xml:space="preserve">behavioural effect 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stat</m:t>
            </m:r>
          </m:sub>
        </m:sSub>
      </m:oMath>
      <w:r>
        <w:t xml:space="preserve"> </w:t>
      </w:r>
      <w:r>
        <w:t xml:space="preserve">of the structural statistic. Their</w:t>
      </w:r>
      <w:r>
        <w:t xml:space="preserve"> </w:t>
      </w:r>
      <w:r>
        <w:t xml:space="preserve">geometric mean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Δ</m:t>
                </m:r>
              </m:sub>
            </m:sSub>
            <m:sSub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stat</m:t>
                </m:r>
              </m:sub>
            </m:sSub>
          </m:e>
        </m:rad>
      </m:oMath>
      <w:r>
        <w:t xml:space="preserve"> </w:t>
      </w:r>
      <w:r>
        <w:t xml:space="preserve">provides an attenuation</w:t>
      </w:r>
      <w:r>
        <w:t xml:space="preserve"> </w:t>
      </w:r>
      <w:r>
        <w:t xml:space="preserve">diagnostic. We classify the effect as unresolvable when</w:t>
      </w:r>
      <w:r>
        <w:t xml:space="preserve"> </w:t>
      </w:r>
      <m:oMath>
        <m:sSub>
          <m:e>
            <m:r>
              <m:t>r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is below</w:t>
      </w:r>
      <w:r>
        <w:t xml:space="preserve"> </w:t>
      </w:r>
      <m:oMath>
        <m:r>
          <m:t>0.3</m:t>
        </m:r>
      </m:oMath>
      <w:r>
        <w:t xml:space="preserve">; the classification does not use the geometric mean as its threshold.</w:t>
      </w:r>
    </w:p>
    <w:bookmarkEnd w:id="21"/>
    <w:bookmarkStart w:id="22" w:name="X01fce7f1dd328533d7af2fb0b074a6f4d6465eb"/>
    <w:p>
      <w:pPr>
        <w:pStyle w:val="Heading4"/>
      </w:pPr>
      <w:r>
        <w:rPr>
          <w:rStyle w:val="SectionNumber"/>
        </w:rPr>
      </w:r>
      <w:r/>
      <w:r>
        <w:t xml:space="preserve">Check 1: is the self-directed cosine anisotropy?</w:t>
      </w:r>
    </w:p>
    <w:p>
      <w:pPr>
        <w:pStyle w:val="FirstParagraph"/>
      </w:pPr>
      <w:r>
        <w:t xml:space="preserve">We compare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against the same cosine computed with a null</w:t>
      </w:r>
      <w:r>
        <w:t xml:space="preserve"> </w:t>
      </w:r>
      <w:r>
        <w:t xml:space="preserve">partner drawn uniformly from earlier positions in the same sequence.</w:t>
      </w:r>
      <w:r>
        <w:t xml:space="preserve"> </w:t>
      </w:r>
      <w:r>
        <w:t xml:space="preserve">The difference measures excess alignment relative to this causal null.</w:t>
      </w:r>
    </w:p>
    <w:bookmarkEnd w:id="22"/>
    <w:bookmarkStart w:id="23" w:name="Xd63de433941007d8a39c3fb2a8ba877ddbcff5b"/>
    <w:p>
      <w:pPr>
        <w:pStyle w:val="Heading4"/>
      </w:pPr>
      <w:r>
        <w:rPr>
          <w:rStyle w:val="SectionNumber"/>
        </w:rPr>
      </w:r>
      <w:r/>
      <w:r>
        <w:t xml:space="preserve">Check 2: does the training benefit depend on direction?</w:t>
      </w:r>
    </w:p>
    <w:p>
      <w:pPr>
        <w:pStyle w:val="FirstParagraph"/>
      </w:pPr>
      <w:r>
        <w:t xml:space="preserve">We train</w:t>
      </w:r>
      <w:r>
        <w:t xml:space="preserve"> </w:t>
      </w:r>
      <w:r>
        <w:t xml:space="preserve">self-directed and arbitrary-direction arms with the same gate</w:t>
      </w:r>
      <w:r>
        <w:t xml:space="preserve"> </w:t>
      </w:r>
      <w:r>
        <w:t xml:space="preserve">parameterisation and compare each with baseline using paired seeds.</w:t>
      </w:r>
      <w:r>
        <w:t xml:space="preserve"> </w:t>
      </w:r>
      <w:r>
        <w:t xml:space="preserve">The protocol specifies the arbitrary-direction comparison as primary.</w:t>
      </w:r>
    </w:p>
    <w:bookmarkEnd w:id="23"/>
    <w:bookmarkStart w:id="24" w:name="contributions."/>
    <w:p>
      <w:pPr>
        <w:pStyle w:val="Heading4"/>
      </w:pPr>
      <w:r>
        <w:rPr>
          <w:rStyle w:val="SectionNumber"/>
        </w:rPr>
      </w:r>
      <w:r/>
      <w:r>
        <w:t xml:space="preserve">Contributions.</w:t>
      </w:r>
    </w:p>
    <w:p>
      <w:pPr>
        <w:pStyle w:val="FirstParagraph"/>
      </w:pPr>
      <w:r>
        <w:t xml:space="preserve">We provide the three checks and a reconstruction gate for verifying the</w:t>
      </w:r>
      <w:r>
        <w:t xml:space="preserve"> </w:t>
      </w:r>
      <w:r>
        <w:t xml:space="preserve">captured head layout (Sections </w:t>
      </w:r>
      <w:hyperlink w:anchor="sec:metho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</w:t>
      </w:r>
      <w:r>
        <w:t xml:space="preserve"> </w:t>
      </w:r>
      <w:hyperlink w:anchor="sec:gate">
        <w:r>
          <w:rPr>
            <w:rStyle w:val="Hyperlink"/>
          </w:rPr>
          <w:t xml:space="preserve">3.5</w:t>
        </w:r>
      </w:hyperlink>
      <w:r>
        <w:t xml:space="preserve">). The</w:t>
      </w:r>
      <w:r>
        <w:t xml:space="preserve"> </w:t>
      </w:r>
      <w:r>
        <w:t xml:space="preserve">experiments comprise an eight-seed training factorial, geometry measurements</w:t>
      </w:r>
      <w:r>
        <w:t xml:space="preserve"> </w:t>
      </w:r>
      <w:r>
        <w:t xml:space="preserve">across twelve pretrained models, and reliability and correlation estimates</w:t>
      </w:r>
      <w:r>
        <w:t xml:space="preserve"> </w:t>
      </w:r>
      <w:r>
        <w:t xml:space="preserve">for three models (Sections </w:t>
      </w:r>
      <w:hyperlink w:anchor="sec:paired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and</w:t>
      </w:r>
      <w:r>
        <w:t xml:space="preserve"> </w:t>
      </w:r>
      <w:hyperlink w:anchor="sec:a2">
        <w:r>
          <w:rPr>
            <w:rStyle w:val="Hyperlink"/>
          </w:rPr>
          <w:t xml:space="preserve">5.2</w:t>
        </w:r>
      </w:hyperlink>
      <w:r>
        <w:t xml:space="preserve">–</w:t>
      </w:r>
      <w:hyperlink w:anchor="sec:gqa">
        <w:r>
          <w:rPr>
            <w:rStyle w:val="Hyperlink"/>
          </w:rPr>
          <w:t xml:space="preserve">5.5</w:t>
        </w:r>
      </w:hyperlink>
      <w:r>
        <w:t xml:space="preserve">).</w:t>
      </w:r>
    </w:p>
    <w:bookmarkEnd w:id="24"/>
    <w:bookmarkEnd w:id="25"/>
    <w:bookmarkStart w:id="30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bookmarkStart w:id="26" w:name="head-importance-and-pruning."/>
    <w:p>
      <w:pPr>
        <w:pStyle w:val="Heading4"/>
      </w:pPr>
      <w:r>
        <w:rPr>
          <w:rStyle w:val="SectionNumber"/>
        </w:rPr>
      </w:r>
      <w:r/>
      <w:r>
        <w:t xml:space="preserve">Head importance and pruning.</w:t>
      </w:r>
    </w:p>
    <w:p>
      <w:pPr>
        <w:pStyle w:val="FirstParagraph"/>
      </w:pPr>
      <w:r>
        <w:t xml:space="preserve">Michel, Levy, and Neubig (2019)</w:t>
      </w:r>
      <w:r>
        <w:t xml:space="preserve"> </w:t>
      </w:r>
      <w:r>
        <w:t xml:space="preserve">and</w:t>
      </w:r>
      <w:r>
        <w:t xml:space="preserve"> </w:t>
      </w:r>
      <w:r>
        <w:t xml:space="preserve">Voita et al. (2019)</w:t>
      </w:r>
      <w:r>
        <w:t xml:space="preserve"> </w:t>
      </w:r>
      <w:r>
        <w:t xml:space="preserve">show that many attention heads can be pruned with</w:t>
      </w:r>
      <w:r>
        <w:t xml:space="preserve"> </w:t>
      </w:r>
      <w:r>
        <w:t xml:space="preserve">limited degradation on their evaluated tasks. Their results concern the</w:t>
      </w:r>
      <w:r>
        <w:t xml:space="preserve"> </w:t>
      </w:r>
      <w:r>
        <w:t xml:space="preserve">importance of whole heads. We instead intervene along one direction within</w:t>
      </w:r>
      <w:r>
        <w:t xml:space="preserve"> </w:t>
      </w:r>
      <w:r>
        <w:t xml:space="preserve">each head and use an arbitrary-direction arm to test the specificity of that</w:t>
      </w:r>
      <w:r>
        <w:t xml:space="preserve"> </w:t>
      </w:r>
      <w:r>
        <w:t xml:space="preserve">choice.</w:t>
      </w:r>
    </w:p>
    <w:bookmarkEnd w:id="26"/>
    <w:bookmarkStart w:id="27" w:name="circuit-level-accounts."/>
    <w:p>
      <w:pPr>
        <w:pStyle w:val="Heading4"/>
      </w:pPr>
      <w:r>
        <w:rPr>
          <w:rStyle w:val="SectionNumber"/>
        </w:rPr>
      </w:r>
      <w:r/>
      <w:r>
        <w:t xml:space="preserve">Circuit-level accounts.</w:t>
      </w:r>
    </w:p>
    <w:p>
      <w:pPr>
        <w:pStyle w:val="FirstParagraph"/>
      </w:pPr>
      <w:r>
        <w:t xml:space="preserve">Elhage et al. (2021)</w:t>
      </w:r>
      <w:r>
        <w:t xml:space="preserve"> </w:t>
      </w:r>
      <w:r>
        <w:t xml:space="preserve">decompose</w:t>
      </w:r>
      <w:r>
        <w:t xml:space="preserve"> </w:t>
      </w:r>
      <w:r>
        <w:t xml:space="preserve">attention into</w:t>
      </w:r>
      <w:r>
        <w:t xml:space="preserve"> </w:t>
      </w:r>
      <m:oMath>
        <m:r>
          <m:t>Q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  <m:r>
          <m:t>V</m:t>
        </m:r>
      </m:oMath>
      <w:r>
        <w:t xml:space="preserve"> </w:t>
      </w:r>
      <w:r>
        <w:t xml:space="preserve">circuits and treat the diagonal of the attention</w:t>
      </w:r>
      <w:r>
        <w:t xml:space="preserve"> </w:t>
      </w:r>
      <w:r>
        <w:t xml:space="preserve">pattern as one contribution to the output. Projecting the full head output</w:t>
      </w:r>
      <w:r>
        <w:t xml:space="preserve"> </w:t>
      </w:r>
      <w:r>
        <w:t xml:space="preserve">onto its own value direction can also remove aligned contributions from</w:t>
      </w:r>
      <w:r>
        <w:t xml:space="preserve"> </w:t>
      </w:r>
      <w:r>
        <w:t xml:space="preserve">earlier tokens. It therefore differs from deleting only the diagonal term.</w:t>
      </w:r>
    </w:p>
    <w:bookmarkEnd w:id="27"/>
    <w:bookmarkStart w:id="28" w:name="representation-geometry."/>
    <w:p>
      <w:pPr>
        <w:pStyle w:val="Heading4"/>
      </w:pPr>
      <w:r>
        <w:rPr>
          <w:rStyle w:val="SectionNumber"/>
        </w:rPr>
      </w:r>
      <w:r/>
      <w:r>
        <w:t xml:space="preserve">Representation geometry.</w:t>
      </w:r>
    </w:p>
    <w:p>
      <w:pPr>
        <w:pStyle w:val="FirstParagraph"/>
      </w:pPr>
      <w:r>
        <w:t xml:space="preserve">Ethayarajh (2019)</w:t>
      </w:r>
      <w:r>
        <w:t xml:space="preserve"> </w:t>
      </w:r>
      <w:r>
        <w:t xml:space="preserve">finds</w:t>
      </w:r>
      <w:r>
        <w:t xml:space="preserve"> </w:t>
      </w:r>
      <w:r>
        <w:t xml:space="preserve">anisotropy in contextual representations from ELMo, BERT, and GPT-2. This</w:t>
      </w:r>
      <w:r>
        <w:t xml:space="preserve"> </w:t>
      </w:r>
      <w:r>
        <w:t xml:space="preserve">motivates a geometric control; it does not establish the geometry of every</w:t>
      </w:r>
      <w:r>
        <w:t xml:space="preserve"> </w:t>
      </w:r>
      <w:r>
        <w:t xml:space="preserve">head examined here. Check 1 measures that background using values from</w:t>
      </w:r>
      <w:r>
        <w:t xml:space="preserve"> </w:t>
      </w:r>
      <w:r>
        <w:t xml:space="preserve">earlier positions in the same sequence.</w:t>
      </w:r>
    </w:p>
    <w:bookmarkEnd w:id="28"/>
    <w:bookmarkStart w:id="29" w:name="grouped-query-attention."/>
    <w:p>
      <w:pPr>
        <w:pStyle w:val="Heading4"/>
      </w:pPr>
      <w:r>
        <w:rPr>
          <w:rStyle w:val="SectionNumber"/>
        </w:rPr>
      </w:r>
      <w:r/>
      <w:r>
        <w:t xml:space="preserve">Grouped-query attention.</w:t>
      </w:r>
    </w:p>
    <w:p>
      <w:pPr>
        <w:pStyle w:val="FirstParagraph"/>
      </w:pPr>
      <w:r>
        <w:t xml:space="preserve">Ainslie et al. (2023)</w:t>
      </w:r>
      <w:r>
        <w:t xml:space="preserve"> </w:t>
      </w:r>
      <w:r>
        <w:t xml:space="preserve">share key and value</w:t>
      </w:r>
      <w:r>
        <w:t xml:space="preserve"> </w:t>
      </w:r>
      <w:r>
        <w:t xml:space="preserve">projections across groups of query heads. We compare own-group and</w:t>
      </w:r>
      <w:r>
        <w:t xml:space="preserve"> </w:t>
      </w:r>
      <w:r>
        <w:t xml:space="preserve">neighbouring-group values to assess the statistic’s dependence on that sharing in</w:t>
      </w:r>
      <w:r>
        <w:t xml:space="preserve"> </w:t>
      </w:r>
      <w:r>
        <w:t xml:space="preserve">Section </w:t>
      </w:r>
      <w:hyperlink w:anchor="sec:gqa">
        <w:r>
          <w:rPr>
            <w:rStyle w:val="Hyperlink"/>
          </w:rPr>
          <w:t xml:space="preserve">5.5</w:t>
        </w:r>
      </w:hyperlink>
      <w:r>
        <w:t xml:space="preserve">.</w:t>
      </w:r>
    </w:p>
    <w:bookmarkEnd w:id="29"/>
    <w:bookmarkEnd w:id="30"/>
    <w:bookmarkStart w:id="36" w:name="sec:metho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Method</w:t>
      </w:r>
    </w:p>
    <w:bookmarkStart w:id="31" w:name="the-interven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The intervention</w:t>
      </w:r>
    </w:p>
    <w:p>
      <w:pPr>
        <w:pStyle w:val="FirstParagraph"/>
      </w:pPr>
      <w:r>
        <w:t xml:space="preserve">Let head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layer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produce output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 </w:t>
      </w:r>
      <w:r>
        <w:t xml:space="preserve">at</w:t>
      </w:r>
      <w:r>
        <w:t xml:space="preserve"> </w:t>
      </w:r>
      <w:r>
        <w:t xml:space="preserve">position</w:t>
      </w:r>
      <w:r>
        <w:t xml:space="preserve"> </w:t>
      </w:r>
      <m:oMath>
        <m:r>
          <m:t>i</m:t>
        </m:r>
      </m:oMath>
      <w:r>
        <w:t xml:space="preserve">, and let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value vector that same head writes</w:t>
      </w:r>
      <w:r>
        <w:t xml:space="preserve"> </w:t>
      </w:r>
      <w:r>
        <w:t xml:space="preserve">at</w:t>
      </w:r>
      <w:r>
        <w:t xml:space="preserve"> </w:t>
      </w:r>
      <m:oMath>
        <m:r>
          <m:t>i</m:t>
        </m:r>
      </m:oMath>
      <w:r>
        <w:t xml:space="preserve">.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‖"/>
            <m:endChr m:val="‖"/>
            <m:sepChr m:val=""/>
            <m:grow/>
          </m:dPr>
          <m:e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 The</w:t>
      </w:r>
      <w:r>
        <w:t xml:space="preserve"> </w:t>
      </w:r>
      <w:r>
        <w:t xml:space="preserve">self-directed removal, which we call XSA, replaces the head output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z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t> </m:t>
          </m:r>
          <m:r>
            <m:rPr>
              <m:sty m:val="p"/>
            </m:rPr>
            <m:t>⟨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 gate for each layer and head. The edit acts before the</w:t>
      </w:r>
      <w:r>
        <w:t xml:space="preserve"> </w:t>
      </w:r>
      <w:r>
        <w:t xml:space="preserve">output projection. For frozen models, we set the multiplier to one and</w:t>
      </w:r>
      <w:r>
        <w:t xml:space="preserve"> </w:t>
      </w:r>
      <w:r>
        <w:t xml:space="preserve">intervene on one head at a time, excluding the first token. In the trained</w:t>
      </w:r>
      <w:r>
        <w:t xml:space="preserve"> </w:t>
      </w:r>
      <w:r>
        <w:t xml:space="preserve">factorial, gates start at zero and are learned jointly with the model; all</w:t>
      </w:r>
      <w:r>
        <w:t xml:space="preserve"> </w:t>
      </w:r>
      <w:r>
        <w:t xml:space="preserve">positions are included. A zero gate disables the edit, and a negative gate</w:t>
      </w:r>
      <w:r>
        <w:t xml:space="preserve"> </w:t>
      </w:r>
      <w:r>
        <w:t xml:space="preserve">adds an aligned component. The implementation stabilises normalisation by</w:t>
      </w:r>
      <w:r>
        <w:t xml:space="preserve"> </w:t>
      </w:r>
      <w:r>
        <w:t xml:space="preserve">using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‖"/>
                <m:endChr m:val="‖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ϵ</m:t>
            </m:r>
          </m:e>
        </m:d>
      </m:oMath>
      <w:r>
        <w:t xml:space="preserve">, 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for frozen measurements 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for training.</w:t>
      </w:r>
      <w:r>
        <w:t xml:space="preserve"> </w:t>
      </w:r>
      <w:r>
        <w:t xml:space="preserve">Equation </w:t>
      </w:r>
      <w:hyperlink w:anchor="eq:xsa">
        <w:r>
          <w:rPr>
            <w:rStyle w:val="Hyperlink"/>
          </w:rPr>
          <w:t xml:space="preserve">[eq:xsa]</w:t>
        </w:r>
      </w:hyperlink>
      <w:r>
        <w:t xml:space="preserve"> </w:t>
      </w:r>
      <w:r>
        <w:t xml:space="preserve">states the idealised unit-direction form.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smallCaps/>
        </w:rPr>
        <w:t xml:space="preserve">random</w:t>
      </w:r>
      <w:r>
        <w:t xml:space="preserve"> </w:t>
      </w:r>
      <w:r>
        <w:t xml:space="preserve">control uses the same gated edit with a fixed arbitrary</w:t>
      </w:r>
      <w:r>
        <w:t xml:space="preserve"> </w:t>
      </w:r>
      <w:r>
        <w:t xml:space="preserve">direction for each layer and head. Directions are sampled by normalising</w:t>
      </w:r>
      <w:r>
        <w:t xml:space="preserve"> </w:t>
      </w:r>
      <w:r>
        <w:t xml:space="preserve">isotropic Gaussian vectors, seeded by layer index, and held fixed across</w:t>
      </w:r>
      <w:r>
        <w:t xml:space="preserve"> </w:t>
      </w:r>
      <w:r>
        <w:t xml:space="preserve">positions, training steps, and run seeds. Both arms use the same normalisation</w:t>
      </w:r>
      <w:r>
        <w:t xml:space="preserve"> </w:t>
      </w:r>
      <w:r>
        <w:t xml:space="preserve">and gate parameterisation, but their projection magnitudes need not match.</w:t>
      </w:r>
      <w:r>
        <w:t xml:space="preserve"> </w:t>
      </w:r>
      <w:r>
        <w:t xml:space="preserve">The harness also implements</w:t>
      </w:r>
      <w:r>
        <w:t xml:space="preserve"> </w:t>
      </w:r>
      <w:r>
        <w:rPr>
          <w:smallCaps/>
        </w:rPr>
        <w:t xml:space="preserve">meanval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diagmask</w:t>
      </w:r>
      <w:r>
        <w:t xml:space="preserve"> </w:t>
      </w:r>
      <w:r>
        <w:t xml:space="preserve">(Appendix </w:t>
      </w:r>
      <w:hyperlink w:anchor="app:arms">
        <w:r>
          <w:rPr>
            <w:rStyle w:val="Hyperlink"/>
          </w:rPr>
          <w:t xml:space="preserve">8</w:t>
        </w:r>
      </w:hyperlink>
      <w:r>
        <w:t xml:space="preserve">); neither appears in the reported three-arm factorial.</w:t>
      </w:r>
    </w:p>
    <w:bookmarkEnd w:id="31"/>
    <w:bookmarkStart w:id="32" w:name="check-0-resolvability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Check 0: resolvability</w:t>
      </w:r>
    </w:p>
    <w:p>
      <w:pPr>
        <w:pStyle w:val="FirstParagraph"/>
      </w:pPr>
      <w:r>
        <w:t xml:space="preserve">Split the evaluation corpus into halves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measure each head’s</w:t>
      </w:r>
      <w:r>
        <w:t xml:space="preserve"> </w:t>
      </w:r>
      <w:r>
        <w:t xml:space="preserve">effect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structural statistic on both halves. Spearman</w:t>
      </w:r>
      <w:r>
        <w:t xml:space="preserve"> </w:t>
      </w:r>
      <w:r>
        <w:t xml:space="preserve">correlations across heads give the split-half reliabilities</w:t>
      </w:r>
      <w:r>
        <w:t xml:space="preserve"> </w:t>
      </w:r>
      <m:oMath>
        <m:sSub>
          <m:e>
            <m:r>
              <m:t>r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stat</m:t>
            </m:r>
          </m:sub>
        </m:sSub>
      </m:oMath>
      <w:r>
        <w:t xml:space="preserve">. The archived analysis applies no Spearman–Brown</w:t>
      </w:r>
      <w:r>
        <w:t xml:space="preserve"> </w:t>
      </w:r>
      <w:r>
        <w:t xml:space="preserve">correction and reports: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ad>
            <m:radPr>
              <m:degHide m:val="on"/>
            </m:radPr>
            <m:deg/>
            <m:e>
              <m:sSub>
                <m:e>
                  <m:r>
                    <m:t>r</m:t>
                  </m:r>
                </m:e>
                <m:sub>
                  <m:r>
                    <m:t>Δ</m:t>
                  </m:r>
                </m:sub>
              </m:sSub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stat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disatt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/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classify the effect as reliable at</w:t>
      </w:r>
      <w:r>
        <w:t xml:space="preserve"> </w:t>
      </w:r>
      <m:oMath>
        <m:sSub>
          <m:e>
            <m:r>
              <m:t>r</m:t>
            </m:r>
          </m:e>
          <m:sub>
            <m:r>
              <m:t>Δ</m:t>
            </m:r>
          </m:sub>
        </m:sSub>
        <m:r>
          <m:rPr>
            <m:sty m:val="p"/>
          </m:rPr>
          <m:t>≥</m:t>
        </m:r>
        <m:r>
          <m:t>0.6</m:t>
        </m:r>
      </m:oMath>
      <w:r>
        <w:t xml:space="preserve">, attenuated at</w:t>
      </w:r>
      <w:r>
        <w:t xml:space="preserve"> </w:t>
      </w:r>
      <m:oMath>
        <m:r>
          <m:t>0.3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Δ</m:t>
            </m:r>
          </m:sub>
        </m:sSub>
        <m:r>
          <m:rPr>
            <m:sty m:val="p"/>
          </m:rPr>
          <m:t>&lt;</m:t>
        </m:r>
        <m:r>
          <m:t>0.6</m:t>
        </m:r>
      </m:oMath>
      <w:r>
        <w:t xml:space="preserve">, and unresolvable below</w:t>
      </w:r>
      <w:r>
        <w:t xml:space="preserve"> </w:t>
      </w:r>
      <m:oMath>
        <m:r>
          <m:t>0.3</m:t>
        </m:r>
      </m:oMath>
      <w:r>
        <w:t xml:space="preserve">. An unresolvable</w:t>
      </w:r>
      <w:r>
        <w:t xml:space="preserve"> </w:t>
      </w:r>
      <w:r>
        <w:t xml:space="preserve">effect does not support interpreting a small correlation as absence of an</w:t>
      </w:r>
      <w:r>
        <w:t xml:space="preserve"> </w:t>
      </w:r>
      <w:r>
        <w:t xml:space="preserve">association. Each structural statistic uses its own reliability estimate.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, the statistic and effect are each averaged across</w:t>
      </w:r>
      <w:r>
        <w:t xml:space="preserve"> </w:t>
      </w:r>
      <w:r>
        <w:t xml:space="preserve">the two halves before computing their Spearman correlation across heads.</w:t>
      </w:r>
      <w:r>
        <w:t xml:space="preserve"> </w:t>
      </w:r>
      <w:r>
        <w:t xml:space="preserve">Because the denominator in Equation </w:t>
      </w:r>
      <w:hyperlink w:anchor="eq:ceiling">
        <w:r>
          <w:rPr>
            <w:rStyle w:val="Hyperlink"/>
          </w:rPr>
          <w:t xml:space="preserve">[eq:ceiling]</w:t>
        </w:r>
      </w:hyperlink>
      <w:r>
        <w:t xml:space="preserve"> </w:t>
      </w:r>
      <w:r>
        <w:t xml:space="preserve">uses half-sample</w:t>
      </w:r>
      <w:r>
        <w:t xml:space="preserve"> </w:t>
      </w:r>
      <w:r>
        <w:t xml:space="preserve">reliabilities, the adjusted value is a diagnostic, not a calibrated estimate</w:t>
      </w:r>
      <w:r>
        <w:t xml:space="preserve"> </w:t>
      </w:r>
      <w:r>
        <w:t xml:space="preserve">of the latent correlation between the pooled measurements. We retain the</w:t>
      </w:r>
      <w:r>
        <w:t xml:space="preserve"> </w:t>
      </w:r>
      <w:r>
        <w:t xml:space="preserve">archived notation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but do not interpret it as a strict bound</w:t>
      </w:r>
      <w:r>
        <w:t xml:space="preserve"> </w:t>
      </w:r>
      <w:r>
        <w:t xml:space="preserve">on those pooled correlations.</w:t>
      </w:r>
    </w:p>
    <w:bookmarkEnd w:id="32"/>
    <w:bookmarkStart w:id="33" w:name="check-1-the-anisotropy-null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Check 1: the anisotropy null</w:t>
      </w:r>
    </w:p>
    <w:p>
      <w:pPr>
        <w:pStyle w:val="FirstParagraph"/>
      </w:pPr>
      <w:r>
        <w:t xml:space="preserve">For each head and position,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compared against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drawn uniformly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using one-based indexing. The first token is excluded</w:t>
      </w:r>
      <w:r>
        <w:t xml:space="preserve"> </w:t>
      </w:r>
      <w:r>
        <w:t xml:space="preserve">because it has no earlier partner and its head output equals its own value.</w:t>
      </w:r>
      <w:r>
        <w:t xml:space="preserve"> </w:t>
      </w:r>
      <w:r>
        <w:t xml:space="preserve">The statistic,</w:t>
      </w:r>
      <w:r>
        <w:t xml:space="preserve"> </w:t>
      </w:r>
      <w:r>
        <w:rPr>
          <w:i/>
          <w:iCs/>
        </w:rPr>
        <w:t xml:space="preserve">excess</w:t>
      </w:r>
      <w:r>
        <w:t xml:space="preserve">, is the mean paired difference between the</w:t>
      </w:r>
      <w:r>
        <w:t xml:space="preserve"> </w:t>
      </w:r>
      <w:r>
        <w:t xml:space="preserve">cosines. It controls for alignment with earlier values, not all sources of</w:t>
      </w:r>
      <w:r>
        <w:t xml:space="preserve"> </w:t>
      </w:r>
      <w:r>
        <w:t xml:space="preserve">anisotropy. The model-ladder figure reports point estimates; the harness</w:t>
      </w:r>
      <w:r>
        <w:t xml:space="preserve"> </w:t>
      </w:r>
      <w:r>
        <w:t xml:space="preserve">supports layer-cluster bootstrap intervals for head-level data.</w:t>
      </w:r>
    </w:p>
    <w:p>
      <w:pPr>
        <w:pStyle w:val="BodyText"/>
      </w:pPr>
      <w:r>
        <w:t xml:space="preserve">Two further diagnostics use different nulls. For attention sinks, we compare</w:t>
      </w:r>
      <w:r>
        <w:t xml:space="preserve"> </w:t>
      </w:r>
      <w:r>
        <w:t xml:space="preserve">attention mass on the first token with the average mass on the next three</w:t>
      </w:r>
      <w:r>
        <w:t xml:space="preserve"> </w:t>
      </w:r>
      <w:r>
        <w:t xml:space="preserve">tokens, using queries from the ninth token onward. For massive activations,</w:t>
      </w:r>
      <w:r>
        <w:t xml:space="preserve"> </w:t>
      </w:r>
      <w:r>
        <w:t xml:space="preserve">we compare the mean maximum absolute hidden coordinate, scaled by the hidden</w:t>
      </w:r>
      <w:r>
        <w:t xml:space="preserve"> </w:t>
      </w:r>
      <w:r>
        <w:t xml:space="preserve">tensor’s standard deviation, with the Gaussian reference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log</m:t>
            </m:r>
            <m:r>
              <m:t>d</m:t>
            </m:r>
          </m:e>
        </m:rad>
      </m:oMath>
      <w:r>
        <w:t xml:space="preserve"> </w:t>
      </w:r>
      <w:r>
        <w:t xml:space="preserve">for width</w:t>
      </w:r>
      <w:r>
        <w:t xml:space="preserve"> </w:t>
      </w:r>
      <m:oMath>
        <m:r>
          <m:t>d</m:t>
        </m:r>
      </m:oMath>
      <w:r>
        <w:t xml:space="preserve">. This reference is a scale approximation,</w:t>
      </w:r>
      <w:r>
        <w:t xml:space="preserve"> </w:t>
      </w:r>
      <w:r>
        <w:t xml:space="preserve">not an exact finite-width expected maximum.</w:t>
      </w:r>
    </w:p>
    <w:bookmarkEnd w:id="33"/>
    <w:bookmarkStart w:id="34" w:name="sec:check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Check 2: matched intervention</w:t>
      </w:r>
    </w:p>
    <w:p>
      <w:pPr>
        <w:pStyle w:val="FirstParagraph"/>
      </w:pPr>
      <w:r>
        <w:t xml:space="preserve">Check 2 is run as a paired factorial over seeds. For each seed, all arms train</w:t>
      </w:r>
      <w:r>
        <w:t xml:space="preserve"> </w:t>
      </w:r>
      <w:r>
        <w:t xml:space="preserve">from an identical initialisation on an identical token stream, so the paired</w:t>
      </w:r>
      <w:r>
        <w:t xml:space="preserve"> </w:t>
      </w:r>
      <w:r>
        <w:t xml:space="preserve">difference controls for variation shared within a seed. Define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the arm’s validation loss minus baseline loss, so negative values indicate</w:t>
      </w:r>
      <w:r>
        <w:t xml:space="preserve"> </w:t>
      </w:r>
      <w:r>
        <w:t xml:space="preserve">improvement. The protocol-specified primary endpoint is</w:t>
      </w:r>
      <w:r>
        <w:t xml:space="preserve"> </w:t>
      </w:r>
      <w:r>
        <w:rPr>
          <w:smallCaps/>
        </w:rPr>
        <w:t xml:space="preserve">random</w:t>
      </w:r>
      <w:r>
        <w:t xml:space="preserve"> </w:t>
      </w:r>
      <w:r>
        <w:t xml:space="preserve">versus baseline. The XSA comparison is secondary, with Holm correction</w:t>
      </w:r>
      <w:r>
        <w:t xml:space="preserve"> </w:t>
      </w:r>
      <w:r>
        <w:t xml:space="preserve">(Holm 1979)</w:t>
      </w:r>
      <w:r>
        <w:t xml:space="preserve"> </w:t>
      </w:r>
      <w:r>
        <w:t xml:space="preserve">restricted to secondary endpoints. XSA is the only</w:t>
      </w:r>
      <w:r>
        <w:t xml:space="preserve"> </w:t>
      </w:r>
      <w:r>
        <w:t xml:space="preserve">secondary in the completed factorial, so its adjusted and unadjusted</w:t>
      </w:r>
      <w:r>
        <w:t xml:space="preserve"> </w:t>
      </w:r>
      <m:oMath>
        <m:r>
          <m:t>p</m:t>
        </m:r>
      </m:oMath>
      <w:r>
        <w:t xml:space="preserve">-values coincide. We report two-sided paired</w:t>
      </w:r>
      <w:r>
        <w:t xml:space="preserve"> </w:t>
      </w:r>
      <m:oMath>
        <m:r>
          <m:t>t</m:t>
        </m:r>
      </m:oMath>
      <w:r>
        <w:t xml:space="preserve">-tests and percentile</w:t>
      </w:r>
      <w:r>
        <w:t xml:space="preserve"> </w:t>
      </w:r>
      <w:r>
        <w:t xml:space="preserve">bootstrap intervals over seed differences. Separate baseline comparisons</w:t>
      </w:r>
      <w:r>
        <w:t xml:space="preserve"> </w:t>
      </w:r>
      <w:r>
        <w:t xml:space="preserve">do not constitute a direct test of XSA against</w:t>
      </w:r>
      <w:r>
        <w:t xml:space="preserve"> </w:t>
      </w:r>
      <w:r>
        <w:rPr>
          <w:smallCaps/>
        </w:rPr>
        <w:t xml:space="preserve">random</w:t>
      </w:r>
      <w:r>
        <w:t xml:space="preserve">.</w:t>
      </w:r>
    </w:p>
    <w:p>
      <w:pPr>
        <w:pStyle w:val="BodyText"/>
      </w:pPr>
      <w:r>
        <w:t xml:space="preserve">The analysis approximates the minimum detectable effect at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power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MDE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2.9</m:t>
          </m:r>
          <m:r>
            <m:t> 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paired</m:t>
              </m:r>
            </m:sub>
          </m:sSub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 the observed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paired</m:t>
            </m:r>
          </m:sub>
        </m:sSub>
      </m:oMath>
      <w:r>
        <w:t xml:space="preserve">. We call this the realised MDE</w:t>
      </w:r>
      <w:r>
        <w:t xml:space="preserve"> </w:t>
      </w:r>
      <w:r>
        <w:t xml:space="preserve">to distinguish it from the planning forecast. It describes sensitivity under</w:t>
      </w:r>
      <w:r>
        <w:t xml:space="preserve"> </w:t>
      </w:r>
      <w:r>
        <w:t xml:space="preserve">the approximation, not achieved power or a hard threshold for detection.</w:t>
      </w:r>
    </w:p>
    <w:bookmarkEnd w:id="34"/>
    <w:bookmarkStart w:id="35" w:name="sec:gate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The reconstruction gate</w:t>
      </w:r>
    </w:p>
    <w:p>
      <w:pPr>
        <w:pStyle w:val="FirstParagraph"/>
      </w:pPr>
      <w:r>
        <w:t xml:space="preserve">A head-layout error can preserve tensor shape while changing the intervention.</w:t>
      </w:r>
      <w:r>
        <w:t xml:space="preserve"> </w:t>
      </w:r>
      <w:r>
        <w:t xml:space="preserve">We rebuild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_</m:t>
        </m:r>
        <m:r>
          <m:rPr>
            <m:sty m:val="p"/>
          </m:rPr>
          <m:t>k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from the captured attention</w:t>
      </w:r>
      <w:r>
        <w:t xml:space="preserve"> </w:t>
      </w:r>
      <w:r>
        <w:t xml:space="preserve">matrix and values, then compare it with the input to the output projection.</w:t>
      </w:r>
      <w:r>
        <w:t xml:space="preserve"> </w:t>
      </w:r>
      <w:r>
        <w:t xml:space="preserve">The gate rejects a relative Frobenius error above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or a non-finite</w:t>
      </w:r>
      <w:r>
        <w:t xml:space="preserve"> </w:t>
      </w:r>
      <w:r>
        <w:t xml:space="preserve">value. In each reliability run, it checks the first, middle, and last layers</w:t>
      </w:r>
      <w:r>
        <w:t xml:space="preserve"> </w:t>
      </w:r>
      <w:r>
        <w:t xml:space="preserve">on one document before measuring head effects.</w:t>
      </w:r>
    </w:p>
    <w:p>
      <w:pPr>
        <w:pStyle w:val="BodyText"/>
      </w:pPr>
      <w:r>
        <w:t xml:space="preserve">The implementation notes record an initial Pythia-160M error of</w:t>
      </w:r>
      <w:r>
        <w:t xml:space="preserve"> </w:t>
      </w:r>
      <m:oMath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 errors of</w:t>
      </w:r>
      <w:r>
        <w:t xml:space="preserve"> </w:t>
      </w:r>
      <m:oMath>
        <m:r>
          <m:t>1.39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1.50</m:t>
        </m:r>
      </m:oMath>
      <w:r>
        <w:t xml:space="preserve"> </w:t>
      </w:r>
      <w:r>
        <w:t xml:space="preserve">after reversing heads,</w:t>
      </w:r>
      <w:r>
        <w:t xml:space="preserve"> </w:t>
      </w:r>
      <w:r>
        <w:t xml:space="preserve">rolling the head axis, or omitting a transpose. These observations motivated</w:t>
      </w:r>
      <w:r>
        <w:t xml:space="preserve"> </w:t>
      </w:r>
      <w:r>
        <w:t xml:space="preserve">the threshold. In the archived reliability runs, the maximum error across</w:t>
      </w:r>
      <w:r>
        <w:t xml:space="preserve"> </w:t>
      </w:r>
      <w:r>
        <w:t xml:space="preserve">the checked layers is approximately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each model,</w:t>
      </w:r>
      <w:r>
        <w:t xml:space="preserve"> </w:t>
      </w:r>
      <w:r>
        <w:t xml:space="preserve">below the same threshold. A passed gate supports the tensor reconstruction</w:t>
      </w:r>
      <w:r>
        <w:t xml:space="preserve"> </w:t>
      </w:r>
      <w:r>
        <w:t xml:space="preserve">at those checked layers; it does not validate the intervention’s semantic</w:t>
      </w:r>
      <w:r>
        <w:t xml:space="preserve"> </w:t>
      </w:r>
      <w:r>
        <w:t xml:space="preserve">interpretation.</w:t>
      </w:r>
    </w:p>
    <w:bookmarkEnd w:id="35"/>
    <w:bookmarkEnd w:id="36"/>
    <w:bookmarkStart w:id="40" w:name="experimental-setup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Experimental Setup</w:t>
      </w:r>
    </w:p>
    <w:bookmarkStart w:id="37" w:name="frozen-model-measurements."/>
    <w:p>
      <w:pPr>
        <w:pStyle w:val="Heading4"/>
      </w:pPr>
      <w:r>
        <w:rPr>
          <w:rStyle w:val="SectionNumber"/>
        </w:rPr>
      </w:r>
      <w:r/>
      <w:r>
        <w:t xml:space="preserve">Frozen-model measurements.</w:t>
      </w:r>
    </w:p>
    <w:p>
      <w:pPr>
        <w:pStyle w:val="FirstParagraph"/>
      </w:pPr>
      <w:r>
        <w:t xml:space="preserve">Check 1 covers twelve pretrained</w:t>
      </w:r>
      <w:r>
        <w:t xml:space="preserve"> </w:t>
      </w:r>
      <w:r>
        <w:t xml:space="preserve">models, including nine multi-head models from</w:t>
      </w:r>
      <w:r>
        <w:t xml:space="preserve"> </w:t>
      </w:r>
      <m:oMath>
        <m:r>
          <m:t>124</m:t>
        </m:r>
      </m:oMath>
      <w:r>
        <w:t xml:space="preserve">M to</w:t>
      </w:r>
      <w:r>
        <w:t xml:space="preserve"> </w:t>
      </w:r>
      <m:oMath>
        <m:r>
          <m:t>6.9</m:t>
        </m:r>
      </m:oMath>
      <w:r>
        <w:t xml:space="preserve">B parameters</w:t>
      </w:r>
      <w:r>
        <w:t xml:space="preserve"> </w:t>
      </w:r>
      <w:r>
        <w:t xml:space="preserve">and three grouped-query models. These include the GPT-2</w:t>
      </w:r>
      <w:r>
        <w:t xml:space="preserve"> </w:t>
      </w:r>
      <w:r>
        <w:t xml:space="preserve">family</w:t>
      </w:r>
      <w:r>
        <w:t xml:space="preserve"> </w:t>
      </w:r>
      <w:r>
        <w:t xml:space="preserve">(Radford et al. 2019)</w:t>
      </w:r>
      <w:r>
        <w:t xml:space="preserve"> </w:t>
      </w:r>
      <w:r>
        <w:t xml:space="preserve">and the Pythia suite</w:t>
      </w:r>
      <w:r>
        <w:t xml:space="preserve"> </w:t>
      </w:r>
      <w:r>
        <w:t xml:space="preserve">(Biderman et al. 2023)</w:t>
      </w:r>
      <w:r>
        <w:t xml:space="preserve">. Model revisions are recorded by hash. The</w:t>
      </w:r>
      <w:r>
        <w:t xml:space="preserve"> </w:t>
      </w:r>
      <w:r>
        <w:t xml:space="preserve">geometry measurements use WikiText-103 test documents and each run’s recorded</w:t>
      </w:r>
      <w:r>
        <w:t xml:space="preserve"> </w:t>
      </w:r>
      <w:r>
        <w:t xml:space="preserve">block length. Check 0 is restricted to GPT-2, Pythia-160M, and Pythia-410M,</w:t>
      </w:r>
      <w:r>
        <w:t xml:space="preserve"> </w:t>
      </w:r>
      <w:r>
        <w:t xml:space="preserve">using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documents per half at a fixed length of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tokens. Shorter</w:t>
      </w:r>
      <w:r>
        <w:t xml:space="preserve"> </w:t>
      </w:r>
      <w:r>
        <w:t xml:space="preserve">documents are dropped rather than padded. This length constraint applies to</w:t>
      </w:r>
      <w:r>
        <w:t xml:space="preserve"> </w:t>
      </w:r>
      <w:r>
        <w:t xml:space="preserve">the reliability runs, not to the full model ladder.</w:t>
      </w:r>
    </w:p>
    <w:bookmarkEnd w:id="37"/>
    <w:bookmarkStart w:id="38" w:name="trained-factorial."/>
    <w:p>
      <w:pPr>
        <w:pStyle w:val="Heading4"/>
      </w:pPr>
      <w:r>
        <w:rPr>
          <w:rStyle w:val="SectionNumber"/>
        </w:rPr>
      </w:r>
      <w:r/>
      <w:r>
        <w:t xml:space="preserve">Trained factorial.</w:t>
      </w:r>
    </w:p>
    <w:p>
      <w:pPr>
        <w:pStyle w:val="FirstParagraph"/>
      </w:pPr>
      <w:r>
        <w:t xml:space="preserve">Check 2 uses a decoder-only model with eight</w:t>
      </w:r>
      <w:r>
        <w:t xml:space="preserve"> </w:t>
      </w:r>
      <w:r>
        <w:t xml:space="preserve">layers, eight heads per layer, and hidden width</w:t>
      </w:r>
      <w:r>
        <w:t xml:space="preserve"> </w:t>
      </w:r>
      <m:oMath>
        <m:r>
          <m:t>512</m:t>
        </m:r>
      </m:oMath>
      <w:r>
        <w:t xml:space="preserve">, approximately</w:t>
      </w:r>
      <w:r>
        <w:t xml:space="preserve"> </w:t>
      </w:r>
      <m:oMath>
        <m:r>
          <m:t>50.9</m:t>
        </m:r>
      </m:oMath>
      <w:r>
        <w:t xml:space="preserve">M</w:t>
      </w:r>
      <w:r>
        <w:t xml:space="preserve"> </w:t>
      </w:r>
      <w:r>
        <w:t xml:space="preserve">parameters. The data pipeline uses FineWeb-Edu’s sample-10BT stream with a</w:t>
      </w:r>
      <w:r>
        <w:t xml:space="preserve"> </w:t>
      </w:r>
      <w:r>
        <w:t xml:space="preserve">fixed disjoint validation holdout. We trained from scratch on eight seeds</w:t>
      </w:r>
      <w:r>
        <w:t xml:space="preserve"> </w:t>
      </w:r>
      <w:r>
        <w:t xml:space="preserve">(7, 42, 99, 512, 1337, 2024, 8191, 31337) under three</w:t>
      </w:r>
      <w:r>
        <w:t xml:space="preserve"> </w:t>
      </w:r>
      <w:r>
        <w:t xml:space="preserve">arms (</w:t>
      </w:r>
      <w:r>
        <w:rPr>
          <w:smallCaps/>
        </w:rPr>
        <w:t xml:space="preserve">baseline</w:t>
      </w:r>
      <w:r>
        <w:t xml:space="preserve">,</w:t>
      </w:r>
      <w:r>
        <w:t xml:space="preserve"> </w:t>
      </w:r>
      <w:r>
        <w:rPr>
          <w:smallCaps/>
        </w:rPr>
        <w:t xml:space="preserve">xsa</w:t>
      </w:r>
      <w:r>
        <w:t xml:space="preserve">,</w:t>
      </w:r>
      <w:r>
        <w:t xml:space="preserve"> </w:t>
      </w:r>
      <w:r>
        <w:rPr>
          <w:smallCaps/>
        </w:rPr>
        <w:t xml:space="preserve">random</w:t>
      </w:r>
      <w:r>
        <w:t xml:space="preserve">), giving 24 cells.</w:t>
      </w:r>
      <w:r>
        <w:t xml:space="preserve"> </w:t>
      </w:r>
      <w:r>
        <w:t xml:space="preserve">Each cell sees</w:t>
      </w:r>
      <w:r>
        <w:t xml:space="preserve"> </w:t>
      </w:r>
      <m:oMath>
        <m:r>
          <m:t>399</m:t>
        </m:r>
        <m:r>
          <m:t> </m:t>
        </m:r>
        <m:r>
          <m:t>900</m:t>
        </m:r>
        <m:r>
          <m:t> </m:t>
        </m:r>
        <m:r>
          <m:t>672</m:t>
        </m:r>
      </m:oMath>
      <w:r>
        <w:t xml:space="preserve"> </w:t>
      </w:r>
      <w:r>
        <w:t xml:space="preserve">tokens, rounded down from the budget to a</w:t>
      </w:r>
      <w:r>
        <w:t xml:space="preserve"> </w:t>
      </w:r>
      <w:r>
        <w:t xml:space="preserve">whole number of batches. Runs share initialisation, token order, learning-rate</w:t>
      </w:r>
      <w:r>
        <w:t xml:space="preserve"> </w:t>
      </w:r>
      <w:r>
        <w:t xml:space="preserve">schedule, and validation batches within each seed. All three arms for a seed</w:t>
      </w:r>
      <w:r>
        <w:t xml:space="preserve"> </w:t>
      </w:r>
      <w:r>
        <w:t xml:space="preserve">complete before the next seed starts.</w:t>
      </w:r>
    </w:p>
    <w:bookmarkEnd w:id="38"/>
    <w:bookmarkStart w:id="39" w:name="budget."/>
    <w:p>
      <w:pPr>
        <w:pStyle w:val="Heading4"/>
      </w:pPr>
      <w:r>
        <w:rPr>
          <w:rStyle w:val="SectionNumber"/>
        </w:rPr>
      </w:r>
      <w:r/>
      <w:r>
        <w:t xml:space="preserve">Budget.</w:t>
      </w:r>
    </w:p>
    <w:p>
      <w:pPr>
        <w:pStyle w:val="FirstParagraph"/>
      </w:pPr>
      <w:r>
        <w:t xml:space="preserve">The completed factorial cost $15.58 against a $20</w:t>
      </w:r>
      <w:r>
        <w:t xml:space="preserve"> </w:t>
      </w:r>
      <w:r>
        <w:t xml:space="preserve">ceiling. The ledger records</w:t>
      </w:r>
      <w:r>
        <w:t xml:space="preserve"> </w:t>
      </w:r>
      <m:oMath>
        <m:r>
          <m:t>16.98</m:t>
        </m:r>
      </m:oMath>
      <w:r>
        <w:t xml:space="preserve"> </w:t>
      </w:r>
      <w:r>
        <w:t xml:space="preserve">GPU-hours spent in training cells;</w:t>
      </w:r>
      <w:r>
        <w:t xml:space="preserve"> </w:t>
      </w:r>
      <w:r>
        <w:t xml:space="preserve">billing covers pod uptime, including time outside those cells. An earlier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-token pilot is retained separately and is not pooled with</w:t>
      </w:r>
      <w:r>
        <w:t xml:space="preserve"> </w:t>
      </w:r>
      <w:r>
        <w:t xml:space="preserve">the primary runs.</w:t>
      </w:r>
    </w:p>
    <w:bookmarkEnd w:id="39"/>
    <w:bookmarkEnd w:id="40"/>
    <w:bookmarkStart w:id="70" w:name="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Results</w:t>
      </w:r>
    </w:p>
    <w:bookmarkStart w:id="41" w:name="tab:reliability"/>
    <w:p>
      <w:pPr>
        <w:pStyle w:val="TableCaption"/>
      </w:pPr>
      <w:r>
        <w:t xml:space="preserve">Check 0 split-half reliability,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heads for GPT-2 and</w:t>
      </w:r>
      <w:r>
        <w:t xml:space="preserve"> </w:t>
      </w:r>
      <w:r>
        <w:t xml:space="preserve">Pythia-160M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384</m:t>
        </m:r>
      </m:oMath>
      <w:r>
        <w:t xml:space="preserve"> </w:t>
      </w:r>
      <w:r>
        <w:t xml:space="preserve">for Pythia-410M, at a fixed sequence length of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tokens with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documents per half. The verdict uses</w:t>
      </w:r>
      <w:r>
        <w:t xml:space="preserve"> </w:t>
      </w:r>
      <m:oMath>
        <m:sSub>
          <m:e>
            <m:r>
              <m:t>r</m:t>
            </m:r>
          </m:e>
          <m:sub>
            <m:r>
              <m:t>Δ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stat</m:t>
            </m:r>
          </m:sub>
        </m:sSub>
      </m:oMath>
      <w:r>
        <w:t xml:space="preserve"> </w:t>
      </w:r>
      <w:r>
        <w:t xml:space="preserve">here refers to self-cosine.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attenuation factor in Equation </w:t>
      </w:r>
      <w:hyperlink w:anchor="eq:ceiling">
        <w:r>
          <w:rPr>
            <w:rStyle w:val="Hyperlink"/>
          </w:rPr>
          <w:t xml:space="preserve">[eq:ceiling]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eck 0 split-half reliability, n = 144 heads for GPT-2 and Pythia-160M and n = 384 for Pythia-410M, at a fixed sequence length of 128 tokens with 64 documents per half. The verdict uses r_\Delta; r_{\text{stat}} here refers to self-cosine. \rho_{\max} is the attenuation factor in Equation [eq:ceiling]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Δ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stat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Pythia-160M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Pythia-410M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attenuated</w:t>
            </w:r>
          </w:p>
        </w:tc>
      </w:tr>
    </w:tbl>
    <w:bookmarkEnd w:id="41"/>
    <w:bookmarkStart w:id="42" w:name="tab:a2"/>
    <w:p>
      <w:pPr>
        <w:pStyle w:val="TableCaption"/>
      </w:pPr>
      <w:r>
        <w:t xml:space="preserve">Spearman correlation between the structural statistic and the measured</w:t>
      </w:r>
      <w:r>
        <w:t xml:space="preserve"> </w:t>
      </w:r>
      <w:r>
        <w:t xml:space="preserve">behavioural effect, raw and adjusted using Equation </w:t>
      </w:r>
      <w:hyperlink w:anchor="eq:ceiling">
        <w:r>
          <w:rPr>
            <w:rStyle w:val="Hyperlink"/>
          </w:rPr>
          <w:t xml:space="preserve">[eq:ceiling]</w:t>
        </w:r>
      </w:hyperlink>
      <w:r>
        <w:t xml:space="preserve">.</w:t>
      </w:r>
      <w:r>
        <w:t xml:space="preserve"> </w:t>
      </w:r>
      <w:r>
        <w:t xml:space="preserve">The raw correlation uses averages over both halves; the adjustment uses</w:t>
      </w:r>
      <w:r>
        <w:t xml:space="preserve"> </w:t>
      </w:r>
      <w:r>
        <w:t xml:space="preserve">each statistic’s own half-sample reliability.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arman correlation between the structural statistic and the measured behavioural effect, raw and adjusted using Equation [eq:ceiling]. The raw correlation uses averages over both halves; the adjustment uses each statistic’s own half-sample reliability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disatt</m:t>
                  </m:r>
                </m:sub>
              </m:sSub>
            </m:oMath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GPT-2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self-cosine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0.462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0.519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excess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0.279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0.313</m:t>
              </m:r>
            </m:oMath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Pythia-160M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self-cosine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0.149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0.231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excess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0.189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0.292</m:t>
              </m:r>
            </m:oMath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Pythia-410M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self-cosine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0.034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excess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0.249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0.342</m:t>
              </m:r>
            </m:oMath>
          </w:p>
        </w:tc>
      </w:tr>
    </w:tbl>
    <w:bookmarkEnd w:id="42"/>
    <w:bookmarkStart w:id="43" w:name="tab:paired"/>
    <w:p>
      <w:pPr>
        <w:pStyle w:val="TableCaption"/>
      </w:pPr>
      <w:r>
        <w:t xml:space="preserve">Check 2, eight complete paired seeds,</w:t>
      </w:r>
      <w:r>
        <w:t xml:space="preserve"> </w:t>
      </w:r>
      <m:oMath>
        <m:r>
          <m:t>399</m:t>
        </m:r>
        <m:r>
          <m:t> </m:t>
        </m:r>
        <m:r>
          <m:t>900</m:t>
        </m:r>
        <m:r>
          <m:t> </m:t>
        </m:r>
        <m:r>
          <m:t>672</m:t>
        </m:r>
      </m:oMath>
      <w:r>
        <w:t xml:space="preserve"> </w:t>
      </w:r>
      <w:r>
        <w:t xml:space="preserve">tokens per run.</w:t>
      </w:r>
      <w:r>
        <w:t xml:space="preserve"> </w:t>
      </w:r>
      <w:r>
        <w:t xml:space="preserve">Both contrasts are against</w:t>
      </w:r>
      <w:r>
        <w:t xml:space="preserve"> </w:t>
      </w:r>
      <w:r>
        <w:rPr>
          <w:smallCaps/>
        </w:rPr>
        <w:t xml:space="preserve">baseline</w:t>
      </w:r>
      <w:r>
        <w:t xml:space="preserve">. Positive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means higher</w:t>
      </w:r>
      <w:r>
        <w:t xml:space="preserve"> </w:t>
      </w:r>
      <w:r>
        <w:t xml:space="preserve">loss. Intervals are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percentile bootstrap intervals over paired seed</w:t>
      </w:r>
      <w:r>
        <w:t xml:space="preserve"> </w:t>
      </w:r>
      <w:r>
        <w:t xml:space="preserve">differences. The realised MDE uses the observed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paired</m:t>
            </m:r>
          </m:sub>
        </m:sSub>
      </m:oMath>
      <w:r>
        <w:t xml:space="preserve">.</w:t>
      </w:r>
      <w:r>
        <w:t xml:space="preserve"> </w:t>
      </w:r>
      <w:r>
        <w:t xml:space="preserve">Holm correction does not apply to the primary endpoint.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heck 2, eight complete paired seeds, 399\,900\,672 tokens per run. Both contrasts are against baseline. Positive \Delta means higher loss. Intervals are 95\% percentile bootstrap intervals over paired seed differences. The realised MDE uses the observed \sigma_{\text{paired}}. Holm correction does not apply to the primary endpoint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mallCaps/>
              </w:rP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mallCaps/>
              </w:rPr>
              <w:t xml:space="preserve">xsa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(nats)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0.001056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0.002924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0.003967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0.002390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0.001709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0.0023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0.504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1.649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paired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0.002095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0.001773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Realised MDE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0.00182</m:t>
              </m:r>
            </m:oMath>
          </w:p>
        </w:tc>
      </w:tr>
    </w:tbl>
    <w:bookmarkEnd w:id="43"/>
    <w:bookmarkStart w:id="47" w:name="fig:a2"/>
    <w:p>
      <w:pPr>
        <w:pStyle w:val="CaptionedFigure"/>
      </w:pPr>
      <w:r>
        <w:drawing>
          <wp:inline>
            <wp:extent cx="4928616" cy="170235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/fig6_a2_scatte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170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Self-cosine against the loss effect of frozen-head intervention.</w:t>
      </w:r>
      <w:r>
        <w:t xml:space="preserve"> </w:t>
      </w:r>
      <w:r>
        <w:t xml:space="preserve">Points use the half-A statistic and the effect averaged over both halves;</w:t>
      </w:r>
      <w:r>
        <w:t xml:space="preserve"> </w:t>
      </w:r>
      <w:r>
        <w:t xml:space="preserve">panel annotations report the pooled-statistic correlations in</w:t>
      </w:r>
      <w:r>
        <w:t xml:space="preserve"> </w:t>
      </w:r>
      <w:r>
        <w:t xml:space="preserve">Table </w:t>
      </w:r>
      <w:hyperlink w:anchor="tab:a2">
        <w:r>
          <w:rPr>
            <w:rStyle w:val="Hyperlink"/>
          </w:rPr>
          <w:t xml:space="preserve">2</w:t>
        </w:r>
      </w:hyperlink>
      <w:r>
        <w:t xml:space="preserve">. Dashed least-squares lines are visual guides, not tests</w:t>
      </w:r>
      <w:r>
        <w:t xml:space="preserve"> </w:t>
      </w:r>
      <w:r>
        <w:t xml:space="preserve">of significance. Vertical scales differ across panels.</w:t>
      </w:r>
    </w:p>
    <w:bookmarkEnd w:id="47"/>
    <w:bookmarkStart w:id="52" w:name="fig:paired"/>
    <w:p>
      <w:pPr>
        <w:pStyle w:val="CaptionedFigure"/>
      </w:pPr>
      <w:r>
        <w:drawing>
          <wp:inline>
            <wp:extent cx="2112264" cy="171229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s/fig2_paired_delt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64" cy="171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Paired difference in validation loss against baseline,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intervals, over eight paired seeds. The</w:t>
      </w:r>
      <w:r>
        <w:t xml:space="preserve"> </w:t>
      </w:r>
      <w:r>
        <w:rPr>
          <w:smallCaps/>
        </w:rPr>
        <w:t xml:space="preserve">random</w:t>
      </w:r>
      <w:r>
        <w:t xml:space="preserve"> </w:t>
      </w:r>
      <w:r>
        <w:t xml:space="preserve">interval crosses zero</w:t>
      </w:r>
      <w:r>
        <w:t xml:space="preserve"> </w:t>
      </w:r>
      <w:r>
        <w:t xml:space="preserve">and the</w:t>
      </w:r>
      <w:r>
        <w:t xml:space="preserve"> </w:t>
      </w:r>
      <w:r>
        <w:rPr>
          <w:smallCaps/>
        </w:rPr>
        <w:t xml:space="preserve">xsa</w:t>
      </w:r>
      <w:r>
        <w:t xml:space="preserve"> </w:t>
      </w:r>
      <w:r>
        <w:t xml:space="preserve">interval lies below zero. The horizontal reference</w:t>
      </w:r>
      <w:r>
        <w:t xml:space="preserve"> </w:t>
      </w:r>
      <w:r>
        <w:t xml:space="preserve">lines retain the project’s external reference values. The</w:t>
      </w:r>
      <w:r>
        <w:t xml:space="preserve"> </w:t>
      </w:r>
      <m:oMath>
        <m:r>
          <m:rPr>
            <m:sty m:val="p"/>
          </m:rPr>
          <m:t>−</m:t>
        </m:r>
        <m:r>
          <m:t>0.00076</m:t>
        </m:r>
      </m:oMath>
      <w:r>
        <w:t xml:space="preserve"> </w:t>
      </w:r>
      <w:r>
        <w:t xml:space="preserve">value</w:t>
      </w:r>
      <w:r>
        <w:t xml:space="preserve"> </w:t>
      </w:r>
      <w:r>
        <w:t xml:space="preserve">comes from the H200 comparison in</w:t>
      </w:r>
      <w:r>
        <w:t xml:space="preserve"> </w:t>
      </w:r>
      <w:hyperlink r:id="rId51">
        <w:r>
          <w:rPr>
            <w:rStyle w:val="Hyperlink"/>
          </w:rPr>
          <w:t xml:space="preserve">PR #264</w:t>
        </w:r>
      </w:hyperlink>
      <w:r>
        <w:t xml:space="preserve">,</w:t>
      </w:r>
      <w:r>
        <w:t xml:space="preserve"> </w:t>
      </w:r>
      <w:r>
        <w:t xml:space="preserve">which uses different training step counts between arms. The exact source</w:t>
      </w:r>
      <w:r>
        <w:t xml:space="preserve"> </w:t>
      </w:r>
      <w:r>
        <w:t xml:space="preserve">configuration for</w:t>
      </w:r>
      <w:r>
        <w:t xml:space="preserve"> </w:t>
      </w:r>
      <m:oMath>
        <m:r>
          <m:rPr>
            <m:sty m:val="p"/>
          </m:rPr>
          <m:t>−</m:t>
        </m:r>
        <m:r>
          <m:t>0.017</m:t>
        </m:r>
      </m:oMath>
      <w:r>
        <w:t xml:space="preserve"> </w:t>
      </w:r>
      <w:r>
        <w:t xml:space="preserve">is unresolved. Neither is a matched replication</w:t>
      </w:r>
      <w:r>
        <w:t xml:space="preserve"> </w:t>
      </w:r>
      <w:r>
        <w:t xml:space="preserve">target for this experiment.</w:t>
      </w:r>
    </w:p>
    <w:bookmarkEnd w:id="52"/>
    <w:bookmarkStart w:id="56" w:name="fig:gates"/>
    <w:p>
      <w:pPr>
        <w:pStyle w:val="CaptionedFigure"/>
      </w:pPr>
      <w:r>
        <w:drawing>
          <wp:inline>
            <wp:extent cx="2766060" cy="158123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s/fig1_gat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58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learned gates</w:t>
      </w:r>
      <w:r>
        <w:t xml:space="preserve"> </w:t>
      </w:r>
      <m:oMath>
        <m:r>
          <m:rPr>
            <m:sty m:val="p"/>
          </m:rPr>
          <m:t>tanh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for all heads and seeds, with</w:t>
      </w:r>
      <w:r>
        <w:t xml:space="preserve"> </w:t>
      </w:r>
      <w:r>
        <w:t xml:space="preserve">markers at the layer mean. XSA has positive means at every layer. The</w:t>
      </w:r>
      <w:r>
        <w:t xml:space="preserve"> </w:t>
      </w:r>
      <w:r>
        <w:rPr>
          <w:smallCaps/>
        </w:rPr>
        <w:t xml:space="preserve">random</w:t>
      </w:r>
      <w:r>
        <w:t xml:space="preserve"> </w:t>
      </w:r>
      <w:r>
        <w:t xml:space="preserve">mean approaches zero by layer four and becomes negative</w:t>
      </w:r>
      <w:r>
        <w:t xml:space="preserve"> </w:t>
      </w:r>
      <w:r>
        <w:t xml:space="preserve">in later layers. A negative gate adds the projected component. These are</w:t>
      </w:r>
      <w:r>
        <w:t xml:space="preserve"> </w:t>
      </w:r>
      <w:r>
        <w:t xml:space="preserve">endpoint measurements, not gate trajectories during training.</w:t>
      </w:r>
    </w:p>
    <w:bookmarkEnd w:id="56"/>
    <w:bookmarkStart w:id="60" w:name="fig:ladder"/>
    <w:p>
      <w:pPr>
        <w:pStyle w:val="CaptionedFigure"/>
      </w:pPr>
      <w:r>
        <w:drawing>
          <wp:inline>
            <wp:extent cx="2514600" cy="1602568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s/fig3_ladd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02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 1 across the nine multi-head models in the ladder, every model</w:t>
      </w:r>
      <w:r>
        <w:t xml:space="preserve"> </w:t>
      </w:r>
      <w:r>
        <w:t xml:space="preserve">pinned by revision hash. Observed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the anisotropy</w:t>
      </w:r>
      <w:r>
        <w:t xml:space="preserve"> </w:t>
      </w:r>
      <w:r>
        <w:t xml:space="preserve">null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v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, and their difference. The observed curve</w:t>
      </w:r>
      <w:r>
        <w:t xml:space="preserve"> </w:t>
      </w:r>
      <w:r>
        <w:t xml:space="preserve">generally declines with scale; the excess has no monotone trend.</w:t>
      </w:r>
    </w:p>
    <w:bookmarkEnd w:id="60"/>
    <w:bookmarkStart w:id="64" w:name="fig:gqa"/>
    <w:p>
      <w:pPr>
        <w:pStyle w:val="CaptionedFigure"/>
      </w:pPr>
      <w:r>
        <w:drawing>
          <wp:inline>
            <wp:extent cx="2414016" cy="189329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s/fig5_gq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89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Within-group against across-group excess for the three grouped-query</w:t>
      </w:r>
      <w:r>
        <w:t xml:space="preserve"> </w:t>
      </w:r>
      <w:r>
        <w:t xml:space="preserve">models. Both subtract the own-group earlier-position null. Own-group excess</w:t>
      </w:r>
      <w:r>
        <w:t xml:space="preserve"> </w:t>
      </w:r>
      <w:r>
        <w:t xml:space="preserve">is positive and neighbouring-group excess negative in all three models.</w:t>
      </w:r>
      <w:r>
        <w:t xml:space="preserve"> </w:t>
      </w:r>
      <w:r>
        <w:t xml:space="preserve">The harness does not report this grouping contrast for multi-head models.</w:t>
      </w:r>
    </w:p>
    <w:bookmarkEnd w:id="64"/>
    <w:bookmarkStart w:id="65" w:name="resolvabilit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Resolvability</w:t>
      </w:r>
    </w:p>
    <w:p>
      <w:pPr>
        <w:pStyle w:val="FirstParagraph"/>
      </w:pPr>
      <w:r>
        <w:t xml:space="preserve">The behavioural effect is reliable in GPT-2 and attenuated in both Pythia</w:t>
      </w:r>
      <w:r>
        <w:t xml:space="preserve"> </w:t>
      </w:r>
      <w:r>
        <w:t xml:space="preserve">models under the Check 0 thresholds (Table </w:t>
      </w:r>
      <w:hyperlink w:anchor="tab:reliability">
        <w:r>
          <w:rPr>
            <w:rStyle w:val="Hyperlink"/>
          </w:rPr>
          <w:t xml:space="preserve">1</w:t>
        </w:r>
      </w:hyperlink>
      <w:r>
        <w:t xml:space="preserve">). None of</w:t>
      </w:r>
      <w:r>
        <w:t xml:space="preserve"> </w:t>
      </w:r>
      <w:r>
        <w:t xml:space="preserve">the three is classified as unresolvable. Structural self-cosine reliability</w:t>
      </w:r>
      <w:r>
        <w:t xml:space="preserve"> </w:t>
      </w:r>
      <w:r>
        <w:t xml:space="preserve">is high in all three, from</w:t>
      </w:r>
      <w:r>
        <w:t xml:space="preserve"> </w:t>
      </w:r>
      <m:oMath>
        <m:r>
          <m:t>0.991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0.997</m:t>
        </m:r>
      </m:oMath>
      <w:r>
        <w:t xml:space="preserve">. The main source of attenuation</w:t>
      </w:r>
      <w:r>
        <w:t xml:space="preserve"> </w:t>
      </w:r>
      <w:r>
        <w:t xml:space="preserve">is therefore the intervention-effect measurement. For Pythia-160M, dividing</w:t>
      </w:r>
      <w:r>
        <w:t xml:space="preserve"> </w:t>
      </w:r>
      <w:r>
        <w:t xml:space="preserve">the raw self-cosine correlation of</w:t>
      </w:r>
      <w:r>
        <w:t xml:space="preserve"> </w:t>
      </w:r>
      <m:oMath>
        <m:r>
          <m:t>0.149</m:t>
        </m:r>
      </m:oMath>
      <w:r>
        <w:t xml:space="preserve"> </w:t>
      </w:r>
      <w:r>
        <w:t xml:space="preserve">by the diagnostic factor</w:t>
      </w:r>
      <w:r>
        <w:t xml:space="preserve"> </w:t>
      </w:r>
      <m:oMath>
        <m:r>
          <m:t>0.645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0.231</m:t>
        </m:r>
      </m:oMath>
      <w:r>
        <w:t xml:space="preserve">; this adjustment does not remove the uncertainty associated</w:t>
      </w:r>
      <w:r>
        <w:t xml:space="preserve"> </w:t>
      </w:r>
      <w:r>
        <w:t xml:space="preserve">with an attenuated effect.</w:t>
      </w:r>
    </w:p>
    <w:bookmarkEnd w:id="65"/>
    <w:bookmarkStart w:id="66" w:name="sec:a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Structural statistic versus behavioural effect</w:t>
      </w:r>
    </w:p>
    <w:p>
      <w:pPr>
        <w:pStyle w:val="FirstParagraph"/>
      </w:pPr>
      <w:r>
        <w:t xml:space="preserve">The relation between self-cosine and the measured effect varies by model</w:t>
      </w:r>
      <w:r>
        <w:t xml:space="preserve"> </w:t>
      </w:r>
      <w:r>
        <w:t xml:space="preserve">(Figure </w:t>
      </w:r>
      <w:hyperlink w:anchor="fig:a2">
        <w:r>
          <w:rPr>
            <w:rStyle w:val="Hyperlink"/>
          </w:rPr>
          <w:t xml:space="preserve">1</w:t>
        </w:r>
      </w:hyperlink>
      <w:r>
        <w:t xml:space="preserve">, Table </w:t>
      </w:r>
      <w:hyperlink w:anchor="tab:a2">
        <w:r>
          <w:rPr>
            <w:rStyle w:val="Hyperlink"/>
          </w:rPr>
          <w:t xml:space="preserve">2</w:t>
        </w:r>
      </w:hyperlink>
      <w:r>
        <w:t xml:space="preserve">). GPT-2 has a raw correlation of</w:t>
      </w:r>
      <w:r>
        <w:t xml:space="preserve"> </w:t>
      </w:r>
      <m:oMath>
        <m:r>
          <m:rPr>
            <m:sty m:val="p"/>
          </m:rPr>
          <m:t>+</m:t>
        </m:r>
        <m:r>
          <m:t>0.462</m:t>
        </m:r>
      </m:oMath>
      <w:r>
        <w:t xml:space="preserve"> </w:t>
      </w:r>
      <w:r>
        <w:t xml:space="preserve">and an adjusted value of</w:t>
      </w:r>
      <w:r>
        <w:t xml:space="preserve"> </w:t>
      </w:r>
      <m:oMath>
        <m:r>
          <m:rPr>
            <m:sty m:val="p"/>
          </m:rPr>
          <m:t>+</m:t>
        </m:r>
        <m:r>
          <m:t>0.519</m:t>
        </m:r>
      </m:oMath>
      <w:r>
        <w:t xml:space="preserve">; Pythia-410M has an adjusted</w:t>
      </w:r>
      <w:r>
        <w:t xml:space="preserve"> </w:t>
      </w:r>
      <w:r>
        <w:t xml:space="preserve">value of</w:t>
      </w:r>
      <w:r>
        <w:t xml:space="preserve"> </w:t>
      </w:r>
      <m:oMath>
        <m:r>
          <m:rPr>
            <m:sty m:val="p"/>
          </m:rPr>
          <m:t>−</m:t>
        </m:r>
        <m:r>
          <m:t>0.034</m:t>
        </m:r>
      </m:oMath>
      <w:r>
        <w:t xml:space="preserve">, close to zero. For excess, the adjusted correlations are</w:t>
      </w:r>
      <w:r>
        <w:t xml:space="preserve"> </w:t>
      </w:r>
      <m:oMath>
        <m:r>
          <m:rPr>
            <m:sty m:val="p"/>
          </m:rPr>
          <m:t>+</m:t>
        </m:r>
        <m:r>
          <m:t>0.313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0.292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+</m:t>
        </m:r>
        <m:r>
          <m:t>0.342</m:t>
        </m:r>
      </m:oMath>
      <w:r>
        <w:t xml:space="preserve"> </w:t>
      </w:r>
      <w:r>
        <w:t xml:space="preserve">across the three models. These are</w:t>
      </w:r>
      <w:r>
        <w:t xml:space="preserve"> </w:t>
      </w:r>
      <w:r>
        <w:t xml:space="preserve">descriptive rank associations, not estimates of explained loss variance or</w:t>
      </w:r>
      <w:r>
        <w:t xml:space="preserve"> </w:t>
      </w:r>
      <w:r>
        <w:t xml:space="preserve">out-of-sample predictive accuracy.</w:t>
      </w:r>
    </w:p>
    <w:p>
      <w:pPr>
        <w:pStyle w:val="BodyText"/>
      </w:pPr>
      <w:r>
        <w:t xml:space="preserve">An earlier Pythia-160M run reported a raw excess correlation of</w:t>
      </w:r>
      <w:r>
        <w:t xml:space="preserve"> </w:t>
      </w:r>
      <m:oMath>
        <m:r>
          <m:rPr>
            <m:sty m:val="p"/>
          </m:rPr>
          <m:t>+</m:t>
        </m:r>
        <m:r>
          <m:t>0.487</m:t>
        </m:r>
      </m:oMath>
      <w:r>
        <w:t xml:space="preserve">,</w:t>
      </w:r>
      <w:r>
        <w:t xml:space="preserve"> </w:t>
      </w:r>
      <w:r>
        <w:t xml:space="preserve">compared with</w:t>
      </w:r>
      <w:r>
        <w:t xml:space="preserve"> </w:t>
      </w:r>
      <m:oMath>
        <m:r>
          <m:rPr>
            <m:sty m:val="p"/>
          </m:rPr>
          <m:t>+</m:t>
        </m:r>
        <m:r>
          <m:t>0.189</m:t>
        </m:r>
      </m:oMath>
      <w:r>
        <w:t xml:space="preserve"> </w:t>
      </w:r>
      <w:r>
        <w:t xml:space="preserve">in the current run. Several protocol changes</w:t>
      </w:r>
      <w:r>
        <w:t xml:space="preserve"> </w:t>
      </w:r>
      <w:r>
        <w:t xml:space="preserve">accompanied the rerun (Appendix </w:t>
      </w:r>
      <w:hyperlink w:anchor="app:deviations">
        <w:r>
          <w:rPr>
            <w:rStyle w:val="Hyperlink"/>
          </w:rPr>
          <w:t xml:space="preserve">10</w:t>
        </w:r>
      </w:hyperlink>
      <w:r>
        <w:t xml:space="preserve">), so their individual</w:t>
      </w:r>
      <w:r>
        <w:t xml:space="preserve"> </w:t>
      </w:r>
      <w:r>
        <w:t xml:space="preserve">contributions to this difference are not isolated.</w:t>
      </w:r>
    </w:p>
    <w:bookmarkEnd w:id="66"/>
    <w:bookmarkStart w:id="67" w:name="sec:paired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The paired factorial</w:t>
      </w:r>
    </w:p>
    <w:p>
      <w:pPr>
        <w:pStyle w:val="FirstParagraph"/>
      </w:pPr>
      <w:r>
        <w:t xml:space="preserve">All 24 training cells completed, giving eight paired seeds for each contrast</w:t>
      </w:r>
      <w:r>
        <w:t xml:space="preserve"> </w:t>
      </w:r>
      <w:r>
        <w:t xml:space="preserve">in Table </w:t>
      </w:r>
      <w:hyperlink w:anchor="tab:pair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Figure </w:t>
      </w:r>
      <w:hyperlink w:anchor="fig:paired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For the primary endpoint, the</w:t>
      </w:r>
      <w:r>
        <w:t xml:space="preserve"> </w:t>
      </w:r>
      <w:r>
        <w:rPr>
          <w:smallCaps/>
        </w:rPr>
        <w:t xml:space="preserve">random</w:t>
      </w:r>
      <w:r>
        <w:t xml:space="preserve"> </w:t>
      </w:r>
      <w:r>
        <w:t xml:space="preserve">arm’s loss difference is</w:t>
      </w:r>
      <w:r>
        <w:t xml:space="preserve"> </w:t>
      </w:r>
      <m:oMath>
        <m:r>
          <m:rPr>
            <m:sty m:val="p"/>
          </m:rPr>
          <m:t>+</m:t>
        </m:r>
        <m:r>
          <m:t>0.001056</m:t>
        </m:r>
      </m:oMath>
      <w:r>
        <w:t xml:space="preserve"> </w:t>
      </w:r>
      <w:r>
        <w:t xml:space="preserve">nats (</w:t>
      </w:r>
      <m:oMath>
        <m:r>
          <m:t>p</m:t>
        </m:r>
        <m:r>
          <m:rPr>
            <m:sty m:val="p"/>
          </m:rPr>
          <m:t>=</m:t>
        </m:r>
        <m:r>
          <m:t>0.197</m:t>
        </m:r>
      </m:oMath>
      <w:r>
        <w:t xml:space="preserve">). Its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0.000298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0.002390</m:t>
            </m:r>
          </m:e>
        </m:d>
      </m:oMath>
      <w:r>
        <w:t xml:space="preserve">, includes both a small benefit and a small loss</w:t>
      </w:r>
      <w:r>
        <w:t xml:space="preserve"> </w:t>
      </w:r>
      <w:r>
        <w:t xml:space="preserve">increase. The result is nonsignificant, without establishing equivalence.</w:t>
      </w:r>
    </w:p>
    <w:p>
      <w:pPr>
        <w:pStyle w:val="BodyText"/>
      </w:pPr>
      <w:r>
        <w:t xml:space="preserve">The secondary endpoint,</w:t>
      </w:r>
      <w:r>
        <w:t xml:space="preserve"> </w:t>
      </w:r>
      <w:r>
        <w:rPr>
          <w:smallCaps/>
        </w:rPr>
        <w:t xml:space="preserve">xsa</w:t>
      </w:r>
      <w:r>
        <w:t xml:space="preserve"> </w:t>
      </w:r>
      <w:r>
        <w:t xml:space="preserve">versus baseline, is</w:t>
      </w:r>
      <w:r>
        <w:t xml:space="preserve"> </w:t>
      </w:r>
      <m:oMath>
        <m:r>
          <m:rPr>
            <m:sty m:val="p"/>
          </m:rPr>
          <m:t>−</m:t>
        </m:r>
        <m:r>
          <m:t>0.002924</m:t>
        </m:r>
      </m:oMath>
      <w:r>
        <w:t xml:space="preserve"> </w:t>
      </w:r>
      <w:r>
        <w:t xml:space="preserve">nats with</w:t>
      </w:r>
      <w:r>
        <w:t xml:space="preserve"> </w:t>
      </w:r>
      <w:r>
        <w:t xml:space="preserve">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0.003967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0.001709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4.67</m:t>
        </m:r>
      </m:oMath>
      <w:r>
        <w:t xml:space="preserve">, and 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0.0023</m:t>
        </m:r>
      </m:oMath>
      <w:r>
        <w:t xml:space="preserve">. XSA therefore lowers loss in this training setting. The realised MDE from</w:t>
      </w:r>
      <w:r>
        <w:t xml:space="preserve"> </w:t>
      </w:r>
      <w:r>
        <w:t xml:space="preserve">Equation </w:t>
      </w:r>
      <w:hyperlink w:anchor="eq:mde">
        <w:r>
          <w:rPr>
            <w:rStyle w:val="Hyperlink"/>
          </w:rPr>
          <w:t xml:space="preserve">[eq:mde]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0.00182</m:t>
        </m:r>
      </m:oMath>
      <w:r>
        <w:t xml:space="preserve"> </w:t>
      </w:r>
      <w:r>
        <w:t xml:space="preserve">nats for the XSA contrast and</w:t>
      </w:r>
      <w:r>
        <w:t xml:space="preserve"> </w:t>
      </w:r>
      <m:oMath>
        <m:r>
          <m:t>0.00215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 control contrast. The observed XSA effect is about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</m:oMath>
      <w:r>
        <w:t xml:space="preserve"> </w:t>
      </w:r>
      <w:r>
        <w:t xml:space="preserve">its</w:t>
      </w:r>
      <w:r>
        <w:t xml:space="preserve"> </w:t>
      </w:r>
      <w:r>
        <w:t xml:space="preserve">approximate MDE, whereas the control effect is smaller than its MDE.</w:t>
      </w:r>
      <w:r>
        <w:t xml:space="preserve"> </w:t>
      </w:r>
      <w:r>
        <w:t xml:space="preserve">Figure </w:t>
      </w:r>
      <w:hyperlink w:anchor="fig:powe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sensitivity estimates for the control at both</w:t>
      </w:r>
      <w:r>
        <w:t xml:space="preserve"> </w:t>
      </w:r>
      <w:r>
        <w:t xml:space="preserve">token budgets.</w:t>
      </w:r>
    </w:p>
    <w:p>
      <w:pPr>
        <w:pStyle w:val="BodyText"/>
      </w:pPr>
      <w:r>
        <w:t xml:space="preserve">The benefit concerns a model trained with learned removal. It does not show</w:t>
      </w:r>
      <w:r>
        <w:t xml:space="preserve"> </w:t>
      </w:r>
      <w:r>
        <w:t xml:space="preserve">that the same component can be removed from an already trained model without</w:t>
      </w:r>
      <w:r>
        <w:t xml:space="preserve"> </w:t>
      </w:r>
      <w:r>
        <w:t xml:space="preserve">cost, or establish a direct between-arm difference from the separate tests.</w:t>
      </w:r>
    </w:p>
    <w:p>
      <w:pPr>
        <w:pStyle w:val="BodyText"/>
      </w:pPr>
      <w:r>
        <w:t xml:space="preserve">Final gates differ between arms (Figure </w:t>
      </w:r>
      <w:hyperlink w:anchor="fig:gates">
        <w:r>
          <w:rPr>
            <w:rStyle w:val="Hyperlink"/>
          </w:rPr>
          <w:t xml:space="preserve">3</w:t>
        </w:r>
      </w:hyperlink>
      <w:r>
        <w:t xml:space="preserve">). XSA’s layer means</w:t>
      </w:r>
      <w:r>
        <w:t xml:space="preserve"> </w:t>
      </w:r>
      <w:r>
        <w:t xml:space="preserve">range from</w:t>
      </w:r>
      <w:r>
        <w:t xml:space="preserve"> </w:t>
      </w:r>
      <m:oMath>
        <m:r>
          <m:t>0.14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0.47</m:t>
        </m:r>
      </m:oMath>
      <w:r>
        <w:t xml:space="preserve">, indicating partial removal on average.</w:t>
      </w:r>
      <w:r>
        <w:t xml:space="preserve"> </w:t>
      </w:r>
      <w:r>
        <w:t xml:space="preserve">The control’s later-layer means are negative, indicating addition along</w:t>
      </w:r>
      <w:r>
        <w:t xml:space="preserve"> </w:t>
      </w:r>
      <w:r>
        <w:t xml:space="preserve">its direction. These endpoint measurements do not explain the loss difference.</w:t>
      </w:r>
    </w:p>
    <w:bookmarkEnd w:id="67"/>
    <w:bookmarkStart w:id="68" w:name="sec:ladder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Check 1 across the model ladder</w:t>
      </w:r>
    </w:p>
    <w:p>
      <w:pPr>
        <w:pStyle w:val="FirstParagraph"/>
      </w:pPr>
      <w:r>
        <w:t xml:space="preserve">Across nine multi-head models and</w:t>
      </w:r>
      <w:r>
        <w:t xml:space="preserve"> </w:t>
      </w:r>
      <m:oMath>
        <m:r>
          <m:t>5408</m:t>
        </m:r>
      </m:oMath>
      <w:r>
        <w:t xml:space="preserve"> </w:t>
      </w:r>
      <w:r>
        <w:t xml:space="preserve">heads, self-cosine generally</w:t>
      </w:r>
      <w:r>
        <w:t xml:space="preserve"> </w:t>
      </w:r>
      <w:r>
        <w:t xml:space="preserve">declines with model size (Figure </w:t>
      </w:r>
      <w:hyperlink w:anchor="fig:ladder">
        <w:r>
          <w:rPr>
            <w:rStyle w:val="Hyperlink"/>
          </w:rPr>
          <w:t xml:space="preserve">4</w:t>
        </w:r>
      </w:hyperlink>
      <w:r>
        <w:t xml:space="preserve">). It is</w:t>
      </w:r>
      <w:r>
        <w:t xml:space="preserve"> </w:t>
      </w:r>
      <m:oMath>
        <m:r>
          <m:t>0.483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GPT-2 at</w:t>
      </w:r>
      <w:r>
        <w:t xml:space="preserve"> </w:t>
      </w:r>
      <m:oMath>
        <m:r>
          <m:t>124</m:t>
        </m:r>
      </m:oMath>
      <w:r>
        <w:t xml:space="preserve">M parameters and</w:t>
      </w:r>
      <w:r>
        <w:t xml:space="preserve"> </w:t>
      </w:r>
      <m:oMath>
        <m:r>
          <m:t>0.340</m:t>
        </m:r>
      </m:oMath>
      <w:r>
        <w:t xml:space="preserve"> </w:t>
      </w:r>
      <w:r>
        <w:t xml:space="preserve">for Pythia-6.9B. The earlier-position</w:t>
      </w:r>
      <w:r>
        <w:t xml:space="preserve"> </w:t>
      </w:r>
      <w:r>
        <w:t xml:space="preserve">null also declines overall. Excess remains between</w:t>
      </w:r>
      <w:r>
        <w:t xml:space="preserve"> </w:t>
      </w:r>
      <m:oMath>
        <m:r>
          <m:t>0.14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0.21</m:t>
        </m:r>
      </m:oMath>
      <w:r>
        <w:t xml:space="preserve"> </w:t>
      </w:r>
      <w:r>
        <w:t xml:space="preserve">without a monotone trend. These observations do not establish scale</w:t>
      </w:r>
      <w:r>
        <w:t xml:space="preserve"> </w:t>
      </w:r>
      <w:r>
        <w:t xml:space="preserve">invariance, but show that the raw cosine’s trend is partly shared by its</w:t>
      </w:r>
      <w:r>
        <w:t xml:space="preserve"> </w:t>
      </w:r>
      <w:r>
        <w:t xml:space="preserve">null. The grouped-query models are examined separately below.</w:t>
      </w:r>
    </w:p>
    <w:p>
      <w:pPr>
        <w:pStyle w:val="BodyText"/>
      </w:pPr>
      <w:r>
        <w:t xml:space="preserve">Both additional GPT-2 diagnostics exceed their respective nulls</w:t>
      </w:r>
      <w:r>
        <w:t xml:space="preserve"> </w:t>
      </w:r>
      <w:r>
        <w:t xml:space="preserve">(Figure </w:t>
      </w:r>
      <w:hyperlink w:anchor="fig:generality">
        <w:r>
          <w:rPr>
            <w:rStyle w:val="Hyperlink"/>
          </w:rPr>
          <w:t xml:space="preserve">7</w:t>
        </w:r>
      </w:hyperlink>
      <w:r>
        <w:t xml:space="preserve">). Attention mass on the first token is</w:t>
      </w:r>
      <w:r>
        <w:t xml:space="preserve"> </w:t>
      </w:r>
      <m:oMath>
        <m:r>
          <m:t>0.403</m:t>
        </m:r>
      </m:oMath>
      <w:r>
        <w:t xml:space="preserve">, compared with</w:t>
      </w:r>
      <w:r>
        <w:t xml:space="preserve"> </w:t>
      </w:r>
      <m:oMath>
        <m:r>
          <m:t>0.003</m:t>
        </m:r>
      </m:oMath>
      <w:r>
        <w:t xml:space="preserve"> </w:t>
      </w:r>
      <w:r>
        <w:t xml:space="preserve">on the matched early positions. The</w:t>
      </w:r>
      <w:r>
        <w:t xml:space="preserve"> </w:t>
      </w:r>
      <w:r>
        <w:t xml:space="preserve">massive-activation statistic is</w:t>
      </w:r>
      <w:r>
        <w:t xml:space="preserve"> </w:t>
      </w:r>
      <m:oMath>
        <m:r>
          <m:t>12.87</m:t>
        </m:r>
      </m:oMath>
      <w:r>
        <w:t xml:space="preserve"> </w:t>
      </w:r>
      <w:r>
        <w:t xml:space="preserve">against a Gaussian reference of</w:t>
      </w:r>
      <w:r>
        <w:t xml:space="preserve"> </w:t>
      </w:r>
      <m:oMath>
        <m:r>
          <m:t>3.65</m:t>
        </m:r>
      </m:oMath>
      <w:r>
        <w:t xml:space="preserve">, leaving approximately</w:t>
      </w:r>
      <w:r>
        <w:t xml:space="preserve"> </w:t>
      </w:r>
      <m:oMath>
        <m:r>
          <m:t>71.7</m:t>
        </m:r>
        <m:r>
          <m:rPr>
            <m:sty m:val="p"/>
          </m:rPr>
          <m:t>%</m:t>
        </m:r>
      </m:oMath>
      <w:r>
        <w:t xml:space="preserve"> </w:t>
      </w:r>
      <w:r>
        <w:t xml:space="preserve">after subtraction. Neither pattern</w:t>
      </w:r>
      <w:r>
        <w:t xml:space="preserve"> </w:t>
      </w:r>
      <w:r>
        <w:t xml:space="preserve">is explained away by its chosen null. The two unexecuted diagnostics are</w:t>
      </w:r>
      <w:r>
        <w:t xml:space="preserve"> </w:t>
      </w:r>
      <w:r>
        <w:t xml:space="preserve">shown as blank categories.</w:t>
      </w:r>
    </w:p>
    <w:bookmarkEnd w:id="68"/>
    <w:bookmarkStart w:id="69" w:name="sec:gqa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Grouped-query attention</w:t>
      </w:r>
    </w:p>
    <w:p>
      <w:pPr>
        <w:pStyle w:val="FirstParagraph"/>
      </w:pPr>
      <w:r>
        <w:t xml:space="preserve">For each grouped-query model, we compare the head output’s cosine with its</w:t>
      </w:r>
      <w:r>
        <w:t xml:space="preserve"> </w:t>
      </w:r>
      <w:r>
        <w:t xml:space="preserve">own group’s value and with a neighbouring group’s value at the same position.</w:t>
      </w:r>
      <w:r>
        <w:t xml:space="preserve"> </w:t>
      </w:r>
      <w:r>
        <w:t xml:space="preserve">Both excess values subtract the own-group earlier-position null. For</w:t>
      </w:r>
      <w:r>
        <w:t xml:space="preserve"> </w:t>
      </w:r>
      <w:r>
        <w:t xml:space="preserve">Qwen2.5-0.5B (</w:t>
      </w:r>
      <m:oMath>
        <m:r>
          <m:t>14</m:t>
        </m:r>
      </m:oMath>
      <w:r>
        <w:t xml:space="preserve"> </w:t>
      </w:r>
      <w:r>
        <w:t xml:space="preserve">query heads over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key–value heads), own-group excess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0.2415</m:t>
        </m:r>
      </m:oMath>
      <w:r>
        <w:t xml:space="preserve"> </w:t>
      </w:r>
      <w:r>
        <w:t xml:space="preserve">and neighbouring-group excess is</w:t>
      </w:r>
      <w:r>
        <w:t xml:space="preserve"> </w:t>
      </w:r>
      <m:oMath>
        <m:r>
          <m:rPr>
            <m:sty m:val="p"/>
          </m:rPr>
          <m:t>−</m:t>
        </m:r>
        <m:r>
          <m:t>0.1876</m:t>
        </m:r>
      </m:oMath>
      <w:r>
        <w:t xml:space="preserve">. Qwen2.5-1.5B</w:t>
      </w:r>
      <w:r>
        <w:t xml:space="preserve"> </w:t>
      </w:r>
      <w:r>
        <w:t xml:space="preserve">and TinyLlama-1.1B show the same signs (Figure </w:t>
      </w:r>
      <w:hyperlink w:anchor="fig:gqa">
        <w:r>
          <w:rPr>
            <w:rStyle w:val="Hyperlink"/>
          </w:rPr>
          <w:t xml:space="preserve">5</w:t>
        </w:r>
      </w:hyperlink>
      <w:r>
        <w:t xml:space="preserve">). The</w:t>
      </w:r>
      <w:r>
        <w:t xml:space="preserve"> </w:t>
      </w:r>
      <w:r>
        <w:t xml:space="preserve">alignment thus depends on which group’s value is used. A negative</w:t>
      </w:r>
      <w:r>
        <w:t xml:space="preserve"> </w:t>
      </w:r>
      <w:r>
        <w:t xml:space="preserve">across-group excess means alignment below the own-group null, not</w:t>
      </w:r>
      <w:r>
        <w:t xml:space="preserve"> </w:t>
      </w:r>
      <w:r>
        <w:t xml:space="preserve">necessarily a negative raw cosine. The harness leaves this contrast</w:t>
      </w:r>
      <w:r>
        <w:t xml:space="preserve"> </w:t>
      </w:r>
      <w:r>
        <w:t xml:space="preserve">undefined for multi-head models, which lack groups sharing a value</w:t>
      </w:r>
      <w:r>
        <w:t xml:space="preserve"> </w:t>
      </w:r>
      <w:r>
        <w:t xml:space="preserve">projection.</w:t>
      </w:r>
    </w:p>
    <w:bookmarkEnd w:id="69"/>
    <w:bookmarkEnd w:id="70"/>
    <w:bookmarkStart w:id="76" w:name="limitat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Limitations</w:t>
      </w:r>
    </w:p>
    <w:bookmarkStart w:id="71" w:name="training-and-scale."/>
    <w:p>
      <w:pPr>
        <w:pStyle w:val="Heading4"/>
      </w:pPr>
      <w:r>
        <w:rPr>
          <w:rStyle w:val="SectionNumber"/>
        </w:rPr>
      </w:r>
      <w:r/>
      <w:r>
        <w:t xml:space="preserve">Training and scale.</w:t>
      </w:r>
    </w:p>
    <w:p>
      <w:pPr>
        <w:pStyle w:val="FirstParagraph"/>
      </w:pPr>
      <w:r>
        <w:t xml:space="preserve">Check 2 measures adaptation in a small model</w:t>
      </w:r>
      <w:r>
        <w:t xml:space="preserve"> </w:t>
      </w:r>
      <w:r>
        <w:t xml:space="preserve">trained for</w:t>
      </w:r>
      <w:r>
        <w:t xml:space="preserve"> </w:t>
      </w:r>
      <m:oMath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tokens per run. It does not establish the</w:t>
      </w:r>
      <w:r>
        <w:t xml:space="preserve"> </w:t>
      </w:r>
      <w:r>
        <w:t xml:space="preserve">effect’s sign or magnitude at larger scales. The frozen and trained</w:t>
      </w:r>
      <w:r>
        <w:t xml:space="preserve"> </w:t>
      </w:r>
      <w:r>
        <w:t xml:space="preserve">experiments also differ in gate strength and first-token treatment, so their</w:t>
      </w:r>
      <w:r>
        <w:t xml:space="preserve"> </w:t>
      </w:r>
      <w:r>
        <w:t xml:space="preserve">effects are not estimates of the same intervention.</w:t>
      </w:r>
    </w:p>
    <w:bookmarkEnd w:id="71"/>
    <w:bookmarkStart w:id="72" w:name="one-statistic-family."/>
    <w:p>
      <w:pPr>
        <w:pStyle w:val="Heading4"/>
      </w:pPr>
      <w:r>
        <w:rPr>
          <w:rStyle w:val="SectionNumber"/>
        </w:rPr>
      </w:r>
      <w:r/>
      <w:r>
        <w:t xml:space="preserve">One statistic family.</w:t>
      </w:r>
    </w:p>
    <w:p>
      <w:pPr>
        <w:pStyle w:val="FirstParagraph"/>
      </w:pPr>
      <w:r>
        <w:t xml:space="preserve">Both structural statistics are cosine-based.</w:t>
      </w:r>
      <w:r>
        <w:t xml:space="preserve"> </w:t>
      </w:r>
      <w:r>
        <w:t xml:space="preserve">A statistic based on attention mass could have a different relation to</w:t>
      </w:r>
      <w:r>
        <w:t xml:space="preserve"> </w:t>
      </w:r>
      <w:r>
        <w:t xml:space="preserve">intervention effects. The present analysis does not test that alternative.</w:t>
      </w:r>
    </w:p>
    <w:bookmarkEnd w:id="72"/>
    <w:bookmarkStart w:id="73" w:name="reliability-and-correlation."/>
    <w:p>
      <w:pPr>
        <w:pStyle w:val="Heading4"/>
      </w:pPr>
      <w:r>
        <w:rPr>
          <w:rStyle w:val="SectionNumber"/>
        </w:rPr>
      </w:r>
      <w:r/>
      <w:r>
        <w:t xml:space="preserve">Reliability and correlation.</w:t>
      </w:r>
    </w:p>
    <w:p>
      <w:pPr>
        <w:pStyle w:val="FirstParagraph"/>
      </w:pPr>
      <w:r>
        <w:t xml:space="preserve">Only three models underwent</w:t>
      </w:r>
      <w:r>
        <w:t xml:space="preserve"> </w:t>
      </w:r>
      <w:r>
        <w:t xml:space="preserve">Check 0. Reliability for the other nine remains unmeasured, and the</w:t>
      </w:r>
      <w:r>
        <w:t xml:space="preserve"> </w:t>
      </w:r>
      <w:r>
        <w:t xml:space="preserve">disattenuation uses half-sample reliabilities for pooled correlations.</w:t>
      </w:r>
      <w:r>
        <w:t xml:space="preserve"> </w:t>
      </w:r>
      <w:r>
        <w:t xml:space="preserve">The adjusted values should therefore be read alongside the raw values,</w:t>
      </w:r>
      <w:r>
        <w:t xml:space="preserve"> </w:t>
      </w:r>
      <w:r>
        <w:t xml:space="preserve">not as corrected ground truth. Neither rank correlations nor the fitted</w:t>
      </w:r>
      <w:r>
        <w:t xml:space="preserve"> </w:t>
      </w:r>
      <w:r>
        <w:t xml:space="preserve">scatterplot lines establish predictive accuracy.</w:t>
      </w:r>
    </w:p>
    <w:bookmarkEnd w:id="73"/>
    <w:bookmarkStart w:id="74" w:name="control-scope."/>
    <w:p>
      <w:pPr>
        <w:pStyle w:val="Heading4"/>
      </w:pPr>
      <w:r>
        <w:rPr>
          <w:rStyle w:val="SectionNumber"/>
        </w:rPr>
      </w:r>
      <w:r/>
      <w:r>
        <w:t xml:space="preserve">Control scope.</w:t>
      </w:r>
    </w:p>
    <w:p>
      <w:pPr>
        <w:pStyle w:val="FirstParagraph"/>
      </w:pPr>
      <w:r>
        <w:t xml:space="preserve">The random and XSA arms share a rank-one form,</w:t>
      </w:r>
      <w:r>
        <w:t xml:space="preserve"> </w:t>
      </w:r>
      <w:r>
        <w:t xml:space="preserve">but their removed norms and final gates differ. The trained comparison does</w:t>
      </w:r>
      <w:r>
        <w:t xml:space="preserve"> </w:t>
      </w:r>
      <w:r>
        <w:t xml:space="preserve">not isolate norm from direction. Reconstruction checks validate selected</w:t>
      </w:r>
      <w:r>
        <w:t xml:space="preserve"> </w:t>
      </w:r>
      <w:r>
        <w:t xml:space="preserve">tensor layouts, not the claim that a value-aligned projection contains only</w:t>
      </w:r>
      <w:r>
        <w:t xml:space="preserve"> </w:t>
      </w:r>
      <w:r>
        <w:t xml:space="preserve">self-position information.</w:t>
      </w:r>
    </w:p>
    <w:bookmarkEnd w:id="74"/>
    <w:bookmarkStart w:id="75" w:name="reference-mismatch."/>
    <w:p>
      <w:pPr>
        <w:pStyle w:val="Heading4"/>
      </w:pPr>
      <w:r>
        <w:rPr>
          <w:rStyle w:val="SectionNumber"/>
        </w:rPr>
      </w:r>
      <w:r/>
      <w:r>
        <w:t xml:space="preserve">Reference mismatch.</w:t>
      </w:r>
    </w:p>
    <w:p>
      <w:pPr>
        <w:pStyle w:val="FirstParagraph"/>
      </w:pPr>
      <w:r>
        <w:t xml:space="preserve">The GPT-2 geometry measurement did not</w:t>
      </w:r>
      <w:r>
        <w:t xml:space="preserve"> </w:t>
      </w:r>
      <w:r>
        <w:t xml:space="preserve">reproduce the project’s reference triple within its stated tolerance of</w:t>
      </w:r>
      <w:r>
        <w:t xml:space="preserve"> </w:t>
      </w:r>
      <m:oMath>
        <m:r>
          <m:t>0.01</m:t>
        </m:r>
      </m:oMath>
      <w:r>
        <w:t xml:space="preserve">. At block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the measured self-cosine, null, and excess were</w:t>
      </w:r>
      <w:r>
        <w:t xml:space="preserve"> </w:t>
      </w:r>
      <m:oMath>
        <m:r>
          <m:t>0.4828</m:t>
        </m:r>
      </m:oMath>
      <w:r>
        <w:t xml:space="preserve">,</w:t>
      </w:r>
      <w:r>
        <w:t xml:space="preserve"> </w:t>
      </w:r>
      <m:oMath>
        <m:r>
          <m:t>0.2987</m:t>
        </m:r>
      </m:oMath>
      <w:r>
        <w:t xml:space="preserve">, and</w:t>
      </w:r>
      <w:r>
        <w:t xml:space="preserve"> </w:t>
      </w:r>
      <m:oMath>
        <m:r>
          <m:t>0.1840</m:t>
        </m:r>
      </m:oMath>
      <w:r>
        <w:t xml:space="preserve">, against reference values</w:t>
      </w:r>
      <w:r>
        <w:t xml:space="preserve"> </w:t>
      </w:r>
      <m:oMath>
        <m:r>
          <m:t>0.5406</m:t>
        </m:r>
      </m:oMath>
      <w:r>
        <w:t xml:space="preserve">,</w:t>
      </w:r>
      <w:r>
        <w:t xml:space="preserve"> </w:t>
      </w:r>
      <m:oMath>
        <m:r>
          <m:t>0.3798</m:t>
        </m:r>
      </m:oMath>
      <w:r>
        <w:t xml:space="preserve">, and</w:t>
      </w:r>
      <w:r>
        <w:t xml:space="preserve"> </w:t>
      </w:r>
      <m:oMath>
        <m:r>
          <m:t>0.1608</m:t>
        </m:r>
      </m:oMath>
      <w:r>
        <w:t xml:space="preserve">.</w:t>
      </w:r>
    </w:p>
    <w:p>
      <w:pPr>
        <w:pStyle w:val="BodyText"/>
      </w:pPr>
      <w:r>
        <w:t xml:space="preserve">A length sweep accounts for most of that gap. The reference triple is quoted</w:t>
      </w:r>
      <w:r>
        <w:t xml:space="preserve"> </w:t>
      </w:r>
      <w:r>
        <w:t xml:space="preserve">without a sequence length, and the null is strongly length-dependent while the</w:t>
      </w:r>
      <w:r>
        <w:t xml:space="preserve"> </w:t>
      </w:r>
      <w:r>
        <w:t xml:space="preserve">observed self-cosine is close to flat. Across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1024</m:t>
        </m:r>
      </m:oMath>
      <w:r>
        <w:t xml:space="preserve"> </w:t>
      </w:r>
      <w:r>
        <w:t xml:space="preserve">tokens the null</w:t>
      </w:r>
      <w:r>
        <w:t xml:space="preserve"> </w:t>
      </w:r>
      <w:r>
        <w:t xml:space="preserve">moves by</w:t>
      </w:r>
      <w:r>
        <w:t xml:space="preserve"> </w:t>
      </w:r>
      <m:oMath>
        <m:r>
          <m:t>0.096</m:t>
        </m:r>
      </m:oMath>
      <w:r>
        <w:t xml:space="preserve">, nine times the tolerance, and at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tokens it sits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from the reference value, inside it. The excess moves by</w:t>
      </w:r>
      <w:r>
        <w:t xml:space="preserve"> </w:t>
      </w:r>
      <m:oMath>
        <m:r>
          <m:t>0.080</m:t>
        </m:r>
      </m:oMath>
      <w:r>
        <w:t xml:space="preserve"> </w:t>
      </w:r>
      <w:r>
        <w:t xml:space="preserve">and comes</w:t>
      </w:r>
      <w:r>
        <w:t xml:space="preserve"> </w:t>
      </w:r>
      <w:r>
        <w:t xml:space="preserve">within</w:t>
      </w:r>
      <w:r>
        <w:t xml:space="preserve"> </w:t>
      </w:r>
      <m:oMath>
        <m:r>
          <m:t>0.011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256</m:t>
        </m:r>
      </m:oMath>
      <w:r>
        <w:t xml:space="preserve"> </w:t>
      </w:r>
      <w:r>
        <w:t xml:space="preserve">tokens. The self-cosine moves by only</w:t>
      </w:r>
      <w:r>
        <w:t xml:space="preserve"> </w:t>
      </w:r>
      <m:oMath>
        <m:r>
          <m:t>0.016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never comes within</w:t>
      </w:r>
      <w:r>
        <w:t xml:space="preserve"> </w:t>
      </w:r>
      <m:oMath>
        <m:r>
          <m:t>0.051</m:t>
        </m:r>
      </m:oMath>
      <w:r>
        <w:t xml:space="preserve">, so length does not account for that component; its</w:t>
      </w:r>
      <w:r>
        <w:t xml:space="preserve"> </w:t>
      </w:r>
      <w:r>
        <w:t xml:space="preserve">residual gap is consistent with a difference in corpus, truncation, or</w:t>
      </w:r>
      <w:r>
        <w:t xml:space="preserve"> </w:t>
      </w:r>
      <w:r>
        <w:t xml:space="preserve">head-level aggregation, and we have not identified which.</w:t>
      </w:r>
    </w:p>
    <w:p>
      <w:pPr>
        <w:pStyle w:val="BodyText"/>
      </w:pPr>
      <w:r>
        <w:t xml:space="preserve">The consequence for Check 1 is narrow. The null is measured inside the same</w:t>
      </w:r>
      <w:r>
        <w:t xml:space="preserve"> </w:t>
      </w:r>
      <w:r>
        <w:t xml:space="preserve">runs, at one stated length, on the same documents as the observed statistic,</w:t>
      </w:r>
      <w:r>
        <w:t xml:space="preserve"> </w:t>
      </w:r>
      <w:r>
        <w:t xml:space="preserve">so the comparison the check makes is internally matched whatever the absolute</w:t>
      </w:r>
      <w:r>
        <w:t xml:space="preserve"> </w:t>
      </w:r>
      <w:r>
        <w:t xml:space="preserve">level. The excess is positive at every length tested. What the sweep does show</w:t>
      </w:r>
      <w:r>
        <w:t xml:space="preserve"> </w:t>
      </w:r>
      <w:r>
        <w:t xml:space="preserve">is that a self-specific fraction quoted without a length is not comparable</w:t>
      </w:r>
      <w:r>
        <w:t xml:space="preserve"> </w:t>
      </w:r>
      <w:r>
        <w:t xml:space="preserve">across studies: the same GPT-2 gives</w:t>
      </w:r>
      <w:r>
        <w:t xml:space="preserve"> </w:t>
      </w:r>
      <m:oMath>
        <m:r>
          <m:t>0.235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tokens and</w:t>
      </w:r>
      <w:r>
        <w:t xml:space="preserve"> </w:t>
      </w:r>
      <m:oMath>
        <m:r>
          <m:t>0.412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1024</m:t>
        </m:r>
      </m:oMath>
      <w:r>
        <w:t xml:space="preserve">. We therefore report the length everywhere and do not claim</w:t>
      </w:r>
      <w:r>
        <w:t xml:space="preserve"> </w:t>
      </w:r>
      <w:r>
        <w:t xml:space="preserve">reproduction of the reference triple.</w:t>
      </w:r>
    </w:p>
    <w:bookmarkEnd w:id="75"/>
    <w:bookmarkEnd w:id="76"/>
    <w:bookmarkStart w:id="77" w:name="research-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Research Conclusion</w:t>
      </w:r>
    </w:p>
    <w:p>
      <w:pPr>
        <w:pStyle w:val="FirstParagraph"/>
      </w:pPr>
      <w:r>
        <w:t xml:space="preserve">Learned self-directed removal improves validation loss by</w:t>
      </w:r>
      <w:r>
        <w:t xml:space="preserve"> </w:t>
      </w:r>
      <m:oMath>
        <m:r>
          <m:t>0.0029</m:t>
        </m:r>
      </m:oMath>
      <w:r>
        <w:t xml:space="preserve"> </w:t>
      </w:r>
      <w:r>
        <w:t xml:space="preserve">nats in</w:t>
      </w:r>
      <w:r>
        <w:t xml:space="preserve"> </w:t>
      </w:r>
      <w:r>
        <w:t xml:space="preserve">the eight-seed factorial, with Holm-corrected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0.0023</m:t>
        </m:r>
      </m:oMath>
      <w:r>
        <w:t xml:space="preserve">. The fixed</w:t>
      </w:r>
      <w:r>
        <w:t xml:space="preserve"> </w:t>
      </w:r>
      <w:r>
        <w:t xml:space="preserve">arbitrary-direction arm has no statistically detectable difference from</w:t>
      </w:r>
      <w:r>
        <w:t xml:space="preserve"> </w:t>
      </w:r>
      <w:r>
        <w:t xml:space="preserve">baseline. This supports the trained XSA variant at the tested scale, while</w:t>
      </w:r>
      <w:r>
        <w:t xml:space="preserve"> </w:t>
      </w:r>
      <w:r>
        <w:t xml:space="preserve">leaving open whether its benefit generalises or reflects redundancy in a</w:t>
      </w:r>
      <w:r>
        <w:t xml:space="preserve"> </w:t>
      </w:r>
      <w:r>
        <w:t xml:space="preserve">frozen model.</w:t>
      </w:r>
    </w:p>
    <w:p>
      <w:pPr>
        <w:pStyle w:val="BodyText"/>
      </w:pPr>
      <w:r>
        <w:t xml:space="preserve">Own-value alignment exceeds an earlier-position null, but its association</w:t>
      </w:r>
      <w:r>
        <w:t xml:space="preserve"> </w:t>
      </w:r>
      <w:r>
        <w:t xml:space="preserve">with intervention effects varies across models. Excess has modest rank</w:t>
      </w:r>
      <w:r>
        <w:t xml:space="preserve"> </w:t>
      </w:r>
      <w:r>
        <w:t xml:space="preserve">correlations in all three examined. Interpreting such associations requires</w:t>
      </w:r>
      <w:r>
        <w:t xml:space="preserve"> </w:t>
      </w:r>
      <w:r>
        <w:t xml:space="preserve">reliable effect measurements as well as a control suited to the intervention.</w:t>
      </w:r>
    </w:p>
    <w:bookmarkEnd w:id="77"/>
    <w:bookmarkStart w:id="78" w:name="reproducibility-statement"/>
    <w:p>
      <w:pPr>
        <w:pStyle w:val="Heading1"/>
      </w:pPr>
      <w:r>
        <w:t xml:space="preserve">Reproducibility Statement</w:t>
      </w:r>
    </w:p>
    <w:p>
      <w:pPr>
        <w:pStyle w:val="FirstParagraph"/>
      </w:pPr>
      <w:r>
        <w:t xml:space="preserve">The repository contains per-run factorial records, paired-test summaries,</w:t>
      </w:r>
      <w:r>
        <w:t xml:space="preserve"> </w:t>
      </w:r>
      <w:r>
        <w:t xml:space="preserve">per-head geometry and intervention measurements, and revision hashes for all</w:t>
      </w:r>
      <w:r>
        <w:t xml:space="preserve"> </w:t>
      </w:r>
      <w:r>
        <w:t xml:space="preserve">twelve pretrained models. Code for the intervention, null sampling,</w:t>
      </w:r>
      <w:r>
        <w:t xml:space="preserve"> </w:t>
      </w:r>
      <w:r>
        <w:t xml:space="preserve">reconstruction gate, and statistical calculations accompanies the results.</w:t>
      </w:r>
      <w:r>
        <w:t xml:space="preserve"> </w:t>
      </w:r>
      <w:r>
        <w:t xml:space="preserve">The pilot runs are stored apart from the primary factorial and are labelled</w:t>
      </w:r>
      <w:r>
        <w:t xml:space="preserve"> </w:t>
      </w:r>
      <w:r>
        <w:t xml:space="preserve">as such.</w:t>
      </w:r>
    </w:p>
    <w:p>
      <w:pPr>
        <w:pStyle w:val="BodyText"/>
      </w:pPr>
      <w:r>
        <w:t xml:space="preserve">Every figure is generated from these stored results. The tables are written by</w:t>
      </w:r>
      <w:r>
        <w:t xml:space="preserve"> </w:t>
      </w:r>
      <w:r>
        <w:t xml:space="preserve">hand, so a checker recomputes each of their 48 cells from the archived result</w:t>
      </w:r>
      <w:r>
        <w:t xml:space="preserve"> </w:t>
      </w:r>
      <w:r>
        <w:t xml:space="preserve">files and compares against the printed value at the precision shown. Cells</w:t>
      </w:r>
      <w:r>
        <w:t xml:space="preserve"> </w:t>
      </w:r>
      <w:r>
        <w:t xml:space="preserve">that the manuscript derives are recomputed rather than read back: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from its two reliabilities,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disatt</m:t>
            </m:r>
          </m:sub>
        </m:sSub>
      </m:oMath>
      <w:r>
        <w:t xml:space="preserve"> </w:t>
      </w:r>
      <w:r>
        <w:t xml:space="preserve">from the raw</w:t>
      </w:r>
      <w:r>
        <w:t xml:space="preserve"> </w:t>
      </w:r>
      <w:r>
        <w:t xml:space="preserve">correlation and that factor, and the realised MDE from the observed paired</w:t>
      </w:r>
      <w:r>
        <w:t xml:space="preserve"> </w:t>
      </w:r>
      <w:r>
        <w:t xml:space="preserve">standard deviation and seed count. Tables 1–3 currently agree with their</w:t>
      </w:r>
      <w:r>
        <w:t xml:space="preserve"> </w:t>
      </w:r>
      <w:r>
        <w:t xml:space="preserve">sources on all 48 cells. The checker also reports any table row it does not</w:t>
      </w:r>
      <w:r>
        <w:t xml:space="preserve"> </w:t>
      </w:r>
      <w:r>
        <w:t xml:space="preserve">know how to verify, so an unchecked row cannot pass silently.</w:t>
      </w:r>
    </w:p>
    <w:p>
      <w:pPr>
        <w:pStyle w:val="BodyText"/>
      </w:pPr>
      <w:r>
        <w:t xml:space="preserve">Separately, a manifest recomputes 31 numerical claims from the committed</w:t>
      </w:r>
      <w:r>
        <w:t xml:space="preserve"> </w:t>
      </w:r>
      <w:r>
        <w:t xml:space="preserve">artifacts and fails on any that does not reproduce within a stated tolerance.</w:t>
      </w:r>
      <w:r>
        <w:t xml:space="preserve"> </w:t>
      </w:r>
      <w:r>
        <w:t xml:space="preserve">All 31 reproduce at the commit this manuscript was built from.</w:t>
      </w:r>
    </w:p>
    <w:bookmarkEnd w:id="78"/>
    <w:bookmarkStart w:id="79" w:name="ethics-statement"/>
    <w:p>
      <w:pPr>
        <w:pStyle w:val="Heading1"/>
      </w:pPr>
      <w:r>
        <w:t xml:space="preserve">Ethics Statement</w:t>
      </w:r>
    </w:p>
    <w:p>
      <w:pPr>
        <w:pStyle w:val="FirstParagraph"/>
      </w:pPr>
      <w:r>
        <w:t xml:space="preserve">This work analyses the internal structure of publicly released pretrained</w:t>
      </w:r>
      <w:r>
        <w:t xml:space="preserve"> </w:t>
      </w:r>
      <w:r>
        <w:t xml:space="preserve">language models and trains small models from scratch on public text. It</w:t>
      </w:r>
      <w:r>
        <w:t xml:space="preserve"> </w:t>
      </w:r>
      <w:r>
        <w:t xml:space="preserve">introduces no new data collection, no human subjects, and no deployed system.</w:t>
      </w:r>
      <w:r>
        <w:t xml:space="preserve"> </w:t>
      </w:r>
      <w:r>
        <w:t xml:space="preserve">The small-model training result does not establish that attention components</w:t>
      </w:r>
      <w:r>
        <w:t xml:space="preserve"> </w:t>
      </w:r>
      <w:r>
        <w:t xml:space="preserve">can be pruned safely in deployed models. Any such use requires evaluation in</w:t>
      </w:r>
      <w:r>
        <w:t xml:space="preserve"> </w:t>
      </w:r>
      <w:r>
        <w:t xml:space="preserve">the intended model and setting.</w:t>
      </w:r>
    </w:p>
    <w:bookmarkEnd w:id="79"/>
    <w:bookmarkStart w:id="88" w:name="ai-assistance"/>
    <w:p>
      <w:pPr>
        <w:pStyle w:val="Heading1"/>
      </w:pPr>
      <w:r>
        <w:t xml:space="preserve">AI Assistance</w:t>
      </w:r>
    </w:p>
    <w:p>
      <w:pPr>
        <w:pStyle w:val="FirstParagraph"/>
      </w:pPr>
      <w:r>
        <w:t xml:space="preserve">AI assistants were used during the development of this work. The authors</w:t>
      </w:r>
      <w:r>
        <w:t xml:space="preserve"> </w:t>
      </w:r>
      <w:r>
        <w:t xml:space="preserve">defined the research question, experimental design, methodological choices, and</w:t>
      </w:r>
      <w:r>
        <w:t xml:space="preserve"> </w:t>
      </w:r>
      <w:r>
        <w:t xml:space="preserve">interpretation of results. AI-assisted code was reviewed and validated by the</w:t>
      </w:r>
      <w:r>
        <w:t xml:space="preserve"> </w:t>
      </w:r>
      <w:r>
        <w:t xml:space="preserve">authors, and reported results were verified against the stored result files.</w:t>
      </w:r>
      <w:r>
        <w:t xml:space="preserve"> </w:t>
      </w:r>
      <w:r>
        <w:t xml:space="preserve">The authors take responsibility for every claim, citation, and number in this</w:t>
      </w:r>
      <w:r>
        <w:t xml:space="preserve"> </w:t>
      </w:r>
      <w:r>
        <w:t xml:space="preserve">paper. Use by category: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Synthetic data.</w:t>
      </w:r>
      <w:r>
        <w:t xml:space="preserve"> </w:t>
      </w:r>
      <w:r>
        <w:t xml:space="preserve">None. All text is public corpora; no generated</w:t>
      </w:r>
      <w:r>
        <w:t xml:space="preserve"> </w:t>
      </w:r>
      <w:r>
        <w:t xml:space="preserve">data enters any result.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Theory and proofs.</w:t>
      </w:r>
      <w:r>
        <w:t xml:space="preserve"> </w:t>
      </w:r>
      <w:r>
        <w:t xml:space="preserve">None. The paper contains no theorem or</w:t>
      </w:r>
      <w:r>
        <w:t xml:space="preserve"> </w:t>
      </w:r>
      <w:r>
        <w:t xml:space="preserve">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Methodology and experiment design.</w:t>
      </w:r>
      <w:r>
        <w:t xml:space="preserve"> </w:t>
      </w:r>
      <w:r>
        <w:t xml:space="preserve">Author-defined. Assistants</w:t>
      </w:r>
      <w:r>
        <w:t xml:space="preserve"> </w:t>
      </w:r>
      <w:r>
        <w:t xml:space="preserve">enumerated candidate controls and failure modes and drafted the power and</w:t>
      </w:r>
      <w:r>
        <w:t xml:space="preserve"> </w:t>
      </w:r>
      <w:r>
        <w:t xml:space="preserve">token-budget arithmetic, which the authors reviewed before adoption.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Core code.</w:t>
      </w:r>
      <w:r>
        <w:t xml:space="preserve"> </w:t>
      </w:r>
      <w:r>
        <w:t xml:space="preserve">Assistant-written under author direction: the</w:t>
      </w:r>
      <w:r>
        <w:t xml:space="preserve"> </w:t>
      </w:r>
      <w:r>
        <w:t xml:space="preserve">intervention, null sampling, the reconstruction gate, the statistical</w:t>
      </w:r>
      <w:r>
        <w:t xml:space="preserve"> </w:t>
      </w:r>
      <w:r>
        <w:t xml:space="preserve">routines, the experiment drivers, and the tests. The authors reviewed it and</w:t>
      </w:r>
      <w:r>
        <w:t xml:space="preserve"> </w:t>
      </w:r>
      <w:r>
        <w:t xml:space="preserve">specified the guards. Defects found this way are recorded in the repository.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cleaning and analysis.</w:t>
      </w:r>
      <w:r>
        <w:t xml:space="preserve"> </w:t>
      </w:r>
      <w:r>
        <w:t xml:space="preserve">Assistant-implemented from</w:t>
      </w:r>
      <w:r>
        <w:t xml:space="preserve"> </w:t>
      </w:r>
      <w:r>
        <w:t xml:space="preserve">author-specified definitions. Every table cell and manifest claim is</w:t>
      </w:r>
      <w:r>
        <w:t xml:space="preserve"> </w:t>
      </w:r>
      <w:r>
        <w:t xml:space="preserve">recomputed from the stored files by a checker rather than transcribed.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Interpreting results.</w:t>
      </w:r>
      <w:r>
        <w:t xml:space="preserve"> </w:t>
      </w:r>
      <w:r>
        <w:t xml:space="preserve">Author-owned. Assistants were used</w:t>
      </w:r>
      <w:r>
        <w:t xml:space="preserve"> </w:t>
      </w:r>
      <w:r>
        <w:t xml:space="preserve">adversarially against the draft, and a second model from a different vendor</w:t>
      </w:r>
      <w:r>
        <w:t xml:space="preserve"> </w:t>
      </w:r>
      <w:r>
        <w:t xml:space="preserve">reviewed the analysis; both surfaced errors the authors then corrected,</w:t>
      </w:r>
      <w:r>
        <w:t xml:space="preserve"> </w:t>
      </w:r>
      <w:r>
        <w:t xml:space="preserve">including a reversed sign convention in an earlier draft.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Figures.</w:t>
      </w:r>
      <w:r>
        <w:t xml:space="preserve"> </w:t>
      </w:r>
      <w:r>
        <w:t xml:space="preserve">All figure code is assistant-written and reads only</w:t>
      </w:r>
      <w:r>
        <w:t xml:space="preserve"> </w:t>
      </w:r>
      <w:r>
        <w:t xml:space="preserve">from the stored result files. No figure content was drawn or edited by hand.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and editing.</w:t>
      </w:r>
      <w:r>
        <w:t xml:space="preserve"> </w:t>
      </w:r>
      <w:r>
        <w:t xml:space="preserve">The manuscript was drafted with assistant</w:t>
      </w:r>
      <w:r>
        <w:t xml:space="preserve"> </w:t>
      </w:r>
      <w:r>
        <w:t xml:space="preserve">help and revised by the authors, who also used assistants to check the draft</w:t>
      </w:r>
      <w:r>
        <w:t xml:space="preserve"> </w:t>
      </w:r>
      <w:r>
        <w:t xml:space="preserve">against the archived results and the cited sources.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Translation.</w:t>
      </w:r>
      <w:r>
        <w:t xml:space="preserve"> </w:t>
      </w:r>
      <w:r>
        <w:t xml:space="preserve">None. The work was written in English throughout.</w:t>
      </w:r>
    </w:p>
    <w:bookmarkStart w:id="83" w:name="fig:power"/>
    <w:p>
      <w:pPr>
        <w:pStyle w:val="CaptionedFigure"/>
      </w:pPr>
      <w:r>
        <w:drawing>
          <wp:inline>
            <wp:extent cx="2514600" cy="163369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s/fig7_pow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33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Approximate MDE for the</w:t>
      </w:r>
      <w:r>
        <w:t xml:space="preserve"> </w:t>
      </w:r>
      <w:r>
        <w:rPr>
          <w:smallCaps/>
        </w:rPr>
        <w:t xml:space="preserve">random</w:t>
      </w:r>
      <w:r>
        <w:t xml:space="preserve">-versus-baseline contrast,</w:t>
      </w:r>
      <w:r>
        <w:t xml:space="preserve"> </w:t>
      </w:r>
      <w:r>
        <w:t xml:space="preserve">using the observed paired standard deviation at each token budget. Markers</w:t>
      </w:r>
      <w:r>
        <w:t xml:space="preserve"> </w:t>
      </w:r>
      <w:r>
        <w:t xml:space="preserve">show the eight seeds actually run; the remaining points extrapolate at fixed</w:t>
      </w:r>
      <w:r>
        <w:t xml:space="preserve"> </w:t>
      </w:r>
      <w:r>
        <w:t xml:space="preserve">variance. Both eight-seed estimates exceed the external reference magnitude</w:t>
      </w:r>
      <w:r>
        <w:t xml:space="preserve"> </w:t>
      </w:r>
      <w:r>
        <w:t xml:space="preserve">of</w:t>
      </w:r>
      <w:r>
        <w:t xml:space="preserve"> </w:t>
      </w:r>
      <m:oMath>
        <m:r>
          <m:t>0.00076</m:t>
        </m:r>
      </m:oMath>
      <w:r>
        <w:t xml:space="preserve"> </w:t>
      </w:r>
      <w:r>
        <w:t xml:space="preserve">nats from the PR #264 comparison described in</w:t>
      </w:r>
      <w:r>
        <w:t xml:space="preserve"> </w:t>
      </w:r>
      <w:r>
        <w:t xml:space="preserve">Figure </w:t>
      </w:r>
      <w:hyperlink w:anchor="fig:paired">
        <w:r>
          <w:rPr>
            <w:rStyle w:val="Hyperlink"/>
          </w:rPr>
          <w:t xml:space="preserve">2</w:t>
        </w:r>
      </w:hyperlink>
      <w:r>
        <w:t xml:space="preserve">.</w:t>
      </w:r>
    </w:p>
    <w:bookmarkEnd w:id="83"/>
    <w:bookmarkStart w:id="87" w:name="fig:generality"/>
    <w:p>
      <w:pPr>
        <w:pStyle w:val="CaptionedFigure"/>
      </w:pPr>
      <w:r>
        <w:drawing>
          <wp:inline>
            <wp:extent cx="2414016" cy="1678003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s/fig4_generality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67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statistics and their respective nulls for two GPT-2</w:t>
      </w:r>
      <w:r>
        <w:t xml:space="preserve"> </w:t>
      </w:r>
      <w:r>
        <w:t xml:space="preserve">diagnostics: attention mass for attention sinks and standard-deviation units</w:t>
      </w:r>
      <w:r>
        <w:t xml:space="preserve"> </w:t>
      </w:r>
      <w:r>
        <w:t xml:space="preserve">for massive activations. Both exceed their nulls. The logarithmic axis</w:t>
      </w:r>
      <w:r>
        <w:t xml:space="preserve"> </w:t>
      </w:r>
      <w:r>
        <w:t xml:space="preserve">accommodates different magnitudes; values across diagnostics have different</w:t>
      </w:r>
      <w:r>
        <w:t xml:space="preserve"> </w:t>
      </w:r>
      <w:r>
        <w:t xml:space="preserve">units. The two blank categories were not run: one requires training matched</w:t>
      </w:r>
      <w:r>
        <w:t xml:space="preserve"> </w:t>
      </w:r>
      <w:r>
        <w:t xml:space="preserve">models, and the other requires a vision-model harness.</w:t>
      </w:r>
    </w:p>
    <w:bookmarkEnd w:id="87"/>
    <w:bookmarkEnd w:id="88"/>
    <w:bookmarkStart w:id="89" w:name="app:arm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Arm Definitions</w:t>
      </w:r>
    </w:p>
    <w:p>
      <w:pPr>
        <w:pStyle w:val="FirstParagraph"/>
      </w:pPr>
      <w:r>
        <w:rPr>
          <w:smallCaps/>
        </w:rPr>
        <w:t xml:space="preserve">baseline</w:t>
      </w:r>
      <w:r>
        <w:t xml:space="preserve"> </w:t>
      </w:r>
      <w:r>
        <w:t xml:space="preserve">leaves the head output unchanged.</w:t>
      </w:r>
      <w:r>
        <w:t xml:space="preserve"> </w:t>
      </w:r>
      <w:r>
        <w:rPr>
          <w:smallCaps/>
        </w:rPr>
        <w:t xml:space="preserve">xsa</w:t>
      </w:r>
      <w:r>
        <w:t xml:space="preserve"> </w:t>
      </w:r>
      <w:r>
        <w:t xml:space="preserve">uses</w:t>
      </w:r>
      <w:r>
        <w:t xml:space="preserve"> </w:t>
      </w:r>
      <w:r>
        <w:t xml:space="preserve">Equation </w:t>
      </w:r>
      <w:hyperlink w:anchor="eq:xsa">
        <w:r>
          <w:rPr>
            <w:rStyle w:val="Hyperlink"/>
          </w:rPr>
          <w:t xml:space="preserve">[eq:xsa]</w:t>
        </w:r>
      </w:hyperlink>
      <w:r>
        <w:t xml:space="preserve">, with a learned gate in the factorial and a unit</w:t>
      </w:r>
      <w:r>
        <w:t xml:space="preserve"> </w:t>
      </w:r>
      <w:r>
        <w:t xml:space="preserve">multiplier in the frozen-head measurements.</w:t>
      </w:r>
      <w:r>
        <w:t xml:space="preserve"> </w:t>
      </w:r>
      <w:r>
        <w:rPr>
          <w:smallCaps/>
        </w:rPr>
        <w:t xml:space="preserve">random</w:t>
      </w:r>
      <w:r>
        <w:t xml:space="preserve"> </w:t>
      </w:r>
      <w:r>
        <w:t xml:space="preserve">substitutes a</w:t>
      </w:r>
      <w:r>
        <w:t xml:space="preserve"> </w:t>
      </w:r>
      <w:r>
        <w:t xml:space="preserve">fixed arbitrary direction per layer and head and learns the same type of gate.</w:t>
      </w:r>
    </w:p>
    <w:p>
      <w:pPr>
        <w:pStyle w:val="BodyText"/>
      </w:pPr>
      <w:r>
        <w:t xml:space="preserve">The two additional harness arms were not evaluated in the primary factorial.</w:t>
      </w:r>
      <w:r>
        <w:t xml:space="preserve"> </w:t>
      </w:r>
      <w:r>
        <w:rPr>
          <w:smallCaps/>
        </w:rPr>
        <w:t xml:space="preserve">meanval</w:t>
      </w:r>
      <w:r>
        <w:t xml:space="preserve"> </w:t>
      </w:r>
      <w:r>
        <w:t xml:space="preserve">uses a detached exponential moving average of the head’s</w:t>
      </w:r>
      <w:r>
        <w:t xml:space="preserve"> </w:t>
      </w:r>
      <w:r>
        <w:t xml:space="preserve">batch-mean value, updated only during training.</w:t>
      </w:r>
      <w:r>
        <w:t xml:space="preserve"> </w:t>
      </w:r>
      <w:r>
        <w:rPr>
          <w:smallCaps/>
        </w:rPr>
        <w:t xml:space="preserve">diagmask</w:t>
      </w:r>
      <w:r>
        <w:t xml:space="preserve"> </w:t>
      </w:r>
      <w:r>
        <w:t xml:space="preserve">operates</w:t>
      </w:r>
      <w:r>
        <w:t xml:space="preserve"> </w:t>
      </w:r>
      <w:r>
        <w:t xml:space="preserve">on logits. Its default gated form subtracts</w:t>
      </w:r>
      <w:r>
        <w:t xml:space="preserve"> </w:t>
      </w:r>
      <m:oMath>
        <m:r>
          <m:t>30</m:t>
        </m:r>
        <m:r>
          <m:rPr>
            <m:sty m:val="p"/>
          </m:rPr>
          <m:t>tanh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from diagonal</w:t>
      </w:r>
      <w:r>
        <w:t xml:space="preserve"> </w:t>
      </w:r>
      <w:r>
        <w:t xml:space="preserve">logits before softmax; the optional hard-mask form sets them to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Both leave the first token unmasked because it has no alternative key.</w:t>
      </w:r>
      <w:r>
        <w:t xml:space="preserve"> </w:t>
      </w:r>
      <w:r>
        <w:t xml:space="preserve">These implementations should not be read as completed experimental arms.</w:t>
      </w:r>
    </w:p>
    <w:bookmarkEnd w:id="89"/>
    <w:bookmarkStart w:id="90" w:name="app:budge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Budget Ledger</w:t>
      </w:r>
    </w:p>
    <w:p>
      <w:pPr>
        <w:pStyle w:val="FirstParagraph"/>
      </w:pPr>
      <w:r>
        <w:t xml:space="preserve">The ledger records completed seed blocks and separates training-cell time</w:t>
      </w:r>
      <w:r>
        <w:t xml:space="preserve"> </w:t>
      </w:r>
      <w:r>
        <w:t xml:space="preserve">from billed pod uptime. Adding cell hours to uptime would count training</w:t>
      </w:r>
      <w:r>
        <w:t xml:space="preserve"> </w:t>
      </w:r>
      <w:r>
        <w:t xml:space="preserve">twice. An earlier forecast of $18.16 made that error; the corrected</w:t>
      </w:r>
      <w:r>
        <w:t xml:space="preserve"> </w:t>
      </w:r>
      <w:r>
        <w:t xml:space="preserve">projection at the same stage was $13.41. The final billed total was</w:t>
      </w:r>
      <w:r>
        <w:t xml:space="preserve"> </w:t>
      </w:r>
      <w:r>
        <w:t xml:space="preserve">$15.58.</w:t>
      </w:r>
    </w:p>
    <w:bookmarkEnd w:id="90"/>
    <w:bookmarkStart w:id="103" w:name="app:deviation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Changes to the Measurement Protocol</w:t>
      </w:r>
    </w:p>
    <w:p>
      <w:pPr>
        <w:pStyle w:val="FirstParagraph"/>
      </w:pPr>
      <w:r>
        <w:t xml:space="preserve">The reliability runs now use a fixed length of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tokens. Earlier runs</w:t>
      </w:r>
      <w:r>
        <w:t xml:space="preserve"> </w:t>
      </w:r>
      <w:r>
        <w:t xml:space="preserve">allowed the common length to depend on the selected documents:</w:t>
      </w:r>
      <w:r>
        <w:t xml:space="preserve"> </w:t>
      </w:r>
      <m:oMath>
        <m:r>
          <m:t>142</m:t>
        </m:r>
      </m:oMath>
      <w:r>
        <w:t xml:space="preserve"> </w:t>
      </w:r>
      <w:r>
        <w:t xml:space="preserve">tokens</w:t>
      </w:r>
      <w:r>
        <w:t xml:space="preserve"> </w:t>
      </w:r>
      <w:r>
        <w:t xml:space="preserve">at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documents per half and</w:t>
      </w:r>
      <w:r>
        <w:t xml:space="preserve"> </w:t>
      </w:r>
      <m:oMath>
        <m:r>
          <m:t>137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64</m:t>
        </m:r>
      </m:oMath>
      <w:r>
        <w:t xml:space="preserve">. This changes the null partner</w:t>
      </w:r>
      <w:r>
        <w:t xml:space="preserve"> </w:t>
      </w:r>
      <w:r>
        <w:t xml:space="preserve">set as well as the measurement budget. The analysis also now pools both</w:t>
      </w:r>
      <w:r>
        <w:t xml:space="preserve"> </w:t>
      </w:r>
      <w:r>
        <w:t xml:space="preserve">halves of the statistic and effect and uses statistic-specific reliability</w:t>
      </w:r>
      <w:r>
        <w:t xml:space="preserve"> </w:t>
      </w:r>
      <w:r>
        <w:t xml:space="preserve">for disattenuation. The earlier Pythia-160M raw excess correlation of</w:t>
      </w:r>
      <w:r>
        <w:t xml:space="preserve"> </w:t>
      </w:r>
      <m:oMath>
        <m:r>
          <m:rPr>
            <m:sty m:val="p"/>
          </m:rPr>
          <m:t>+</m:t>
        </m:r>
        <m:r>
          <m:t>0.487</m:t>
        </m:r>
      </m:oMath>
      <w:r>
        <w:t xml:space="preserve"> </w:t>
      </w:r>
      <w:r>
        <w:t xml:space="preserve">and the current value of</w:t>
      </w:r>
      <w:r>
        <w:t xml:space="preserve"> </w:t>
      </w:r>
      <m:oMath>
        <m:r>
          <m:rPr>
            <m:sty m:val="p"/>
          </m:rPr>
          <m:t>+</m:t>
        </m:r>
        <m:r>
          <m:t>0.189</m:t>
        </m:r>
      </m:oMath>
      <w:r>
        <w:t xml:space="preserve"> </w:t>
      </w:r>
      <w:r>
        <w:t xml:space="preserve">belong to different runs;</w:t>
      </w:r>
      <w:r>
        <w:t xml:space="preserve"> </w:t>
      </w:r>
      <w:r>
        <w:t xml:space="preserve">their difference does not isolate the contribution of any single correction.</w:t>
      </w:r>
      <w:r>
        <w:t xml:space="preserve"> </w:t>
      </w:r>
      <w:r>
        <w:t xml:space="preserve">Earlier outputs are retained for comparison.</w:t>
      </w:r>
    </w:p>
    <w:bookmarkStart w:id="102" w:name="refs"/>
    <w:bookmarkStart w:id="91" w:name="ref-ainslie2023gqa"/>
    <w:p>
      <w:pPr>
        <w:pStyle w:val="Bibliography"/>
      </w:pPr>
      <w:r>
        <w:t xml:space="preserve">Ainslie, Joshua, James Lee-Thorp, Michiel de Jong, Yury Zemlyanskiy, Federico Lebrón, and Sumit Sanghai. 2023.</w:t>
      </w:r>
      <w:r>
        <w:t xml:space="preserve"> </w:t>
      </w:r>
      <w:r>
        <w:t xml:space="preserve">“</w:t>
      </w:r>
      <w:r>
        <w:t xml:space="preserve">GQA</w:t>
      </w:r>
      <w:r>
        <w:t xml:space="preserve">: Training Generalized Multi-Query Transformer Models from Multi-Head Checkpoints.”</w:t>
      </w:r>
      <w:r>
        <w:t xml:space="preserve"> </w:t>
      </w:r>
      <w:r>
        <w:rPr>
          <w:i/>
          <w:iCs/>
        </w:rPr>
        <w:t xml:space="preserve">arXiv Preprint arXiv:2305.13245</w:t>
      </w:r>
      <w:r>
        <w:t xml:space="preserve">.</w:t>
      </w:r>
    </w:p>
    <w:bookmarkEnd w:id="91"/>
    <w:bookmarkStart w:id="92" w:name="ref-biderman2023pythia"/>
    <w:p>
      <w:pPr>
        <w:pStyle w:val="Bibliography"/>
      </w:pPr>
      <w:r>
        <w:t xml:space="preserve">Biderman, Stella, Hailey Schoelkopf, Quentin Anthony, et al. 2023.</w:t>
      </w:r>
      <w:r>
        <w:t xml:space="preserve"> </w:t>
      </w:r>
      <w:r>
        <w:t xml:space="preserve">“Pythia: A Suite for Analyzing Large Language Models Across Training and Scaling.”</w:t>
      </w:r>
      <w:r>
        <w:t xml:space="preserve"> </w:t>
      </w:r>
      <w:r>
        <w:rPr>
          <w:i/>
          <w:iCs/>
        </w:rPr>
        <w:t xml:space="preserve">arXiv Preprint arXiv:2304.01373</w:t>
      </w:r>
      <w:r>
        <w:t xml:space="preserve">.</w:t>
      </w:r>
    </w:p>
    <w:bookmarkEnd w:id="92"/>
    <w:bookmarkStart w:id="93" w:name="ref-elhage2021mathematical"/>
    <w:p>
      <w:pPr>
        <w:pStyle w:val="Bibliography"/>
      </w:pPr>
      <w:r>
        <w:t xml:space="preserve">Elhage, Nelson, Neel Nanda, Catherine Olsson, et al. 2021.</w:t>
      </w:r>
      <w:r>
        <w:t xml:space="preserve"> </w:t>
      </w:r>
      <w:r>
        <w:t xml:space="preserve">“A Mathematical Framework for Transformer Circuits.”</w:t>
      </w:r>
      <w:r>
        <w:t xml:space="preserve"> </w:t>
      </w:r>
      <w:r>
        <w:rPr>
          <w:i/>
          <w:iCs/>
        </w:rPr>
        <w:t xml:space="preserve">Transformer Circuits Thread</w:t>
      </w:r>
      <w:r>
        <w:t xml:space="preserve">.</w:t>
      </w:r>
    </w:p>
    <w:bookmarkEnd w:id="93"/>
    <w:bookmarkStart w:id="94" w:name="ref-ethayarajh2019contextual"/>
    <w:p>
      <w:pPr>
        <w:pStyle w:val="Bibliography"/>
      </w:pPr>
      <w:r>
        <w:t xml:space="preserve">Ethayarajh, Kawin. 2019.</w:t>
      </w:r>
      <w:r>
        <w:t xml:space="preserve"> </w:t>
      </w:r>
      <w:r>
        <w:t xml:space="preserve">“How Contextual Are Contextualized Word Representations? Comparing the Geometry of</w:t>
      </w:r>
      <w:r>
        <w:t xml:space="preserve"> </w:t>
      </w:r>
      <w:r>
        <w:t xml:space="preserve">BERT</w:t>
      </w:r>
      <w:r>
        <w:t xml:space="preserve">,</w:t>
      </w:r>
      <w:r>
        <w:t xml:space="preserve"> </w:t>
      </w:r>
      <w:r>
        <w:t xml:space="preserve">ELMo</w:t>
      </w:r>
      <w:r>
        <w:t xml:space="preserve">, and</w:t>
      </w:r>
      <w:r>
        <w:t xml:space="preserve"> </w:t>
      </w:r>
      <w:r>
        <w:t xml:space="preserve">GPT-2</w:t>
      </w:r>
      <w:r>
        <w:t xml:space="preserve"> </w:t>
      </w:r>
      <w:r>
        <w:t xml:space="preserve">Embeddings.”</w:t>
      </w:r>
      <w:r>
        <w:t xml:space="preserve"> </w:t>
      </w:r>
      <w:r>
        <w:rPr>
          <w:i/>
          <w:iCs/>
        </w:rPr>
        <w:t xml:space="preserve">arXiv Preprint arXiv:1909.00512</w:t>
      </w:r>
      <w:r>
        <w:t xml:space="preserve">.</w:t>
      </w:r>
    </w:p>
    <w:bookmarkEnd w:id="94"/>
    <w:bookmarkStart w:id="9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5"/>
    <w:bookmarkStart w:id="96" w:name="ref-michel2019sixteen"/>
    <w:p>
      <w:pPr>
        <w:pStyle w:val="Bibliography"/>
      </w:pPr>
      <w:r>
        <w:t xml:space="preserve">Michel, Paul, Omer Levy, and Graham Neubig. 2019.</w:t>
      </w:r>
      <w:r>
        <w:t xml:space="preserve"> </w:t>
      </w:r>
      <w:r>
        <w:t xml:space="preserve">“Are Sixteen Heads Really Better Than One?”</w:t>
      </w:r>
      <w:r>
        <w:t xml:space="preserve"> 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</w:t>
      </w:r>
    </w:p>
    <w:bookmarkEnd w:id="96"/>
    <w:bookmarkStart w:id="97" w:name="ref-radford2019language"/>
    <w:p>
      <w:pPr>
        <w:pStyle w:val="Bibliography"/>
      </w:pPr>
      <w:r>
        <w:t xml:space="preserve">Radford, Alec, Jeffrey Wu, Rewon Child, David Luan, Dario Amodei, and Ilya Sutskever. 2019.</w:t>
      </w:r>
      <w:r>
        <w:t xml:space="preserve"> </w:t>
      </w:r>
      <w:r>
        <w:t xml:space="preserve">“Language Models Are Unsupervised Multitask Learners.”</w:t>
      </w:r>
      <w:r>
        <w:t xml:space="preserve"> </w:t>
      </w:r>
      <w:r>
        <w:rPr>
          <w:i/>
          <w:iCs/>
        </w:rPr>
        <w:t xml:space="preserve">OpenAI Technical Report</w:t>
      </w:r>
      <w:r>
        <w:t xml:space="preserve">.</w:t>
      </w:r>
    </w:p>
    <w:bookmarkEnd w:id="97"/>
    <w:bookmarkStart w:id="98" w:name="ref-vaswani2017attention"/>
    <w:p>
      <w:pPr>
        <w:pStyle w:val="Bibliography"/>
      </w:pPr>
      <w:r>
        <w:t xml:space="preserve">Vaswani, Ashish, Noam Shazeer, Niki Parmar, Jakob Uszkoreit, Llion Jones, Aidan N Gomez, Lukasz Kaiser, and Illia Polosukhin. 2017.</w:t>
      </w:r>
      <w:r>
        <w:t xml:space="preserve"> </w:t>
      </w:r>
      <w:r>
        <w:t xml:space="preserve">“Attention Is All You Need.”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</w:t>
      </w:r>
    </w:p>
    <w:bookmarkEnd w:id="98"/>
    <w:bookmarkStart w:id="99" w:name="ref-voita2019analyzing"/>
    <w:p>
      <w:pPr>
        <w:pStyle w:val="Bibliography"/>
      </w:pPr>
      <w:r>
        <w:t xml:space="preserve">Voita, Elena, David Talbot, Fedor Moiseev, Rico Sennrich, and Ivan Titov. 2019.</w:t>
      </w:r>
      <w:r>
        <w:t xml:space="preserve"> </w:t>
      </w:r>
      <w:r>
        <w:t xml:space="preserve">“Analyzing Multi-Head Self-Attention: Specialized Heads Do the Heavy Lifting, the Rest Can Be Pruned.”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57th Annual Meeting of the Association for Computational Linguistics</w:t>
      </w:r>
      <w:r>
        <w:t xml:space="preserve">.</w:t>
      </w:r>
    </w:p>
    <w:bookmarkEnd w:id="99"/>
    <w:bookmarkStart w:id="101" w:name="ref-zhai2026xsa"/>
    <w:p>
      <w:pPr>
        <w:pStyle w:val="Bibliography"/>
      </w:pPr>
      <w:r>
        <w:t xml:space="preserve">Zhai, Shuangfei. 2026.</w:t>
      </w:r>
      <w:r>
        <w:t xml:space="preserve"> </w:t>
      </w:r>
      <w:r>
        <w:t xml:space="preserve">“Exclusive Self Attention.”</w:t>
      </w:r>
      <w:r>
        <w:t xml:space="preserve"> </w:t>
      </w:r>
      <w:r>
        <w:rPr>
          <w:i/>
          <w:iCs/>
        </w:rPr>
        <w:t xml:space="preserve">arXiv Preprint arXiv:2603.09078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https://arxiv.org/abs/2603.09078</w:t>
        </w:r>
      </w:hyperlink>
      <w:r>
        <w:t xml:space="preserve">.</w:t>
      </w:r>
    </w:p>
    <w:bookmarkEnd w:id="101"/>
    <w:bookmarkEnd w:id="102"/>
    <w:bookmarkEnd w:id="103"/>
    <w:sectPr w:rsidR="00FC693F" w:rsidRPr="0006063C" w:rsidSect="00034616">
      <w:headerReference r:id="rId9" w:type="default"/>
      <w:footerReference r:id="rId10" w:type="default"/>
      <w:pgSz w:h="15840" w:w="12240"/>
      <w:pgMar w:bottom="1440" w:footer="648" w:gutter="0" w:header="556" w:left="2160" w:right="2160" w:top="168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20"/>
      </w:rPr>
      <w:t>Under review as a conference paper at ICLR 2027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20" w:lineRule="exact"/>
    </w:pPr>
    <w:rPr>
      <w:rFonts w:ascii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 w:val="0"/>
      <w:bCs/>
      <w:i w:val="0"/>
      <w:smallCaps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Theme="majorEastAsia" w:hAnsi="Times New Roman" w:hAnsiTheme="majorHAnsi"/>
      <w:b w:val="0"/>
      <w:bCs/>
      <w:i w:val="0"/>
      <w:smallCaps/>
      <w:sz w:val="2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Times New Roman" w:asciiTheme="majorHAnsi" w:cstheme="majorBidi" w:eastAsiaTheme="majorEastAsia" w:hAnsi="Times New Roman" w:hAnsiTheme="majorHAnsi"/>
      <w:b w:val="0"/>
      <w:bCs/>
      <w:i w:val="0"/>
      <w:smallCaps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outlineLvl w:val="3"/>
    </w:pPr>
    <w:rPr>
      <w:rFonts w:ascii="Times New Roman" w:asciiTheme="majorHAnsi" w:cstheme="majorBidi" w:eastAsiaTheme="majorEastAsia" w:hAnsi="Times New Roman" w:hAnsiTheme="majorHAnsi"/>
      <w:b/>
      <w:bCs/>
      <w:i w:val="0"/>
      <w:iCs/>
      <w:smallCaps w:val="0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 w:val="0"/>
      <w:color w:themeColor="text2" w:themeShade="BF" w:val="17365D"/>
      <w:spacing w:val="5"/>
      <w:kern w:val="28"/>
      <w:sz w:val="3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asciiTheme="majorHAnsi" w:cstheme="majorBidi" w:eastAsiaTheme="majorEastAsia" w:hAnsi="Times New Roman" w:hAnsiTheme="majorHAnsi"/>
      <w:b w:val="0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 w:val="0"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3" Type="http://schemas.openxmlformats.org/officeDocument/2006/relationships/image" Target="media/rId53.png"/><Relationship Id="rId48" Type="http://schemas.openxmlformats.org/officeDocument/2006/relationships/image" Target="media/rId48.png"/><Relationship Id="rId57" Type="http://schemas.openxmlformats.org/officeDocument/2006/relationships/image" Target="media/rId57.png"/><Relationship Id="rId84" Type="http://schemas.openxmlformats.org/officeDocument/2006/relationships/image" Target="media/rId84.png"/><Relationship Id="rId61" Type="http://schemas.openxmlformats.org/officeDocument/2006/relationships/image" Target="media/rId61.png"/><Relationship Id="rId44" Type="http://schemas.openxmlformats.org/officeDocument/2006/relationships/image" Target="media/rId44.png"/><Relationship Id="rId80" Type="http://schemas.openxmlformats.org/officeDocument/2006/relationships/image" Target="media/rId80.png"/><Relationship Id="rId100" Type="http://schemas.openxmlformats.org/officeDocument/2006/relationships/hyperlink" Target="https://arxiv.org/abs/2603.09078" TargetMode="External"/><Relationship Id="rId51" Type="http://schemas.openxmlformats.org/officeDocument/2006/relationships/hyperlink" Target="https://github.com/KellerJordan/modded-nanogpt/pull/264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arxiv.org/abs/2603.09078" TargetMode="External"/><Relationship Id="rId51" Type="http://schemas.openxmlformats.org/officeDocument/2006/relationships/hyperlink" Target="https://github.com/KellerJordan/modded-nanogpt/pull/2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Sanity Checks for Attention Surgery: Null Models and Matched Interventions for Representation-Motivated Design</dc:title>
  <dc:creator>Anonymous Author Anonymous Institution Anonymous City, Country anon@example.invalid</dc:creator>
  <cp:keywords/>
  <dcterms:created xsi:type="dcterms:W3CDTF">2026-09-07T13:57:02Z</dcterms:created>
  <dcterms:modified xsi:type="dcterms:W3CDTF">2026-09-07T13:57:02Z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attention head’s output can align with its own value vector because of both self-attention and shared representation geometry. This alignment alone does not establish that the aligned component is redundant. We examine it with three checks: split-half reliability of structural statistics and intervention effects, a null using values from earlier positions, and paired training runs with a fixed arbitrary-direction control. We measure geometry in twelve pretrained models and intervention reliability in three. The behavioural effect meets the reliable threshold only in GPT-2, whereas the structural statistics are highly reliable in all three models. The null-adjusted statistic has raw rank correlations of 0.189 to 0.279 with the intervention effect. In an eight-seed factorial at 4.0\times10^{8} tokens per run, learned self-directed removal lowers validation loss by 0.00292 nats (Holm-corrected p=0.0023). The arbitrary-direction arm has no statistically detectable difference from baseline (+0.00106 nats, p=0.197). These results support a benefit from learned self-directed removal at the tested scale, but do not establish that the component is dispensable in a frozen model or that its cosine alignment is a reliable guide to intervention effects.</vt:lpwstr>
  </property>
  <property fmtid="{D5CDD505-2E9C-101B-9397-08002B2CF9AE}" pid="3" name="bibliography">
    <vt:lpwstr>C:\Users\rohan\xsa-controls\paper\iclr2027\references.bib</vt:lpwstr>
  </property>
</Properties>
</file>