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200"/>
        <w:jc w:val="center"/>
      </w:pPr>
      <w:r>
        <w:rPr>
          <w:rFonts w:ascii="Arial" w:cs="Arial" w:eastAsia="Arial" w:hAnsi="Arial"/>
          <w:b/>
          <w:bCs/>
          <w:color w:val="1F4E79"/>
          <w:sz w:val="48"/>
          <w:szCs w:val="48"/>
        </w:rPr>
        <w:t xml:space="preserve">ODOO 19</w:t>
      </w:r>
    </w:p>
    <w:p>
      <w:pPr>
        <w:spacing w:after="100"/>
        <w:jc w:val="center"/>
      </w:pPr>
      <w:r>
        <w:rPr>
          <w:rFonts w:ascii="Arial" w:cs="Arial" w:eastAsia="Arial" w:hAnsi="Arial"/>
          <w:b/>
          <w:bCs/>
          <w:color w:val="2E75B6"/>
          <w:sz w:val="36"/>
          <w:szCs w:val="36"/>
        </w:rPr>
        <w:t xml:space="preserve">Payment Registration &amp;</w:t>
      </w:r>
    </w:p>
    <w:p>
      <w:pPr>
        <w:spacing w:after="60"/>
        <w:jc w:val="center"/>
      </w:pPr>
      <w:r>
        <w:rPr>
          <w:rFonts w:ascii="Arial" w:cs="Arial" w:eastAsia="Arial" w:hAnsi="Arial"/>
          <w:b/>
          <w:bCs/>
          <w:color w:val="2E75B6"/>
          <w:sz w:val="36"/>
          <w:szCs w:val="36"/>
        </w:rPr>
        <w:t xml:space="preserve">Bank Reconciliation in Inter-Company Transactions</w:t>
      </w:r>
    </w:p>
    <w:p>
      <w:pPr>
        <w:pBdr>
          <w:bottom w:val="single" w:color="2E75B6" w:sz="6" w:space="1"/>
        </w:pBdr>
        <w:spacing w:after="300"/>
        <w:jc w:val="center"/>
      </w:pPr>
    </w:p>
    <w:p>
      <w:pPr>
        <w:spacing w:after="80"/>
      </w:pPr>
    </w:p>
    <w:p>
      <w:pPr>
        <w:spacing w:after="80"/>
        <w:jc w:val="center"/>
      </w:pPr>
      <w:r>
        <w:rPr>
          <w:rFonts w:ascii="Arial" w:cs="Arial" w:eastAsia="Arial" w:hAnsi="Arial"/>
          <w:color w:val="333333"/>
          <w:sz w:val="24"/>
          <w:szCs w:val="24"/>
        </w:rPr>
        <w:t xml:space="preserve">Prepared by: Rohan Raj</w:t>
      </w:r>
    </w:p>
    <w:p>
      <w:pPr>
        <w:spacing w:after="80"/>
        <w:jc w:val="center"/>
      </w:pPr>
      <w:r>
        <w:rPr>
          <w:rFonts w:ascii="Arial" w:cs="Arial" w:eastAsia="Arial" w:hAnsi="Arial"/>
          <w:color w:val="666666"/>
          <w:sz w:val="22"/>
          <w:szCs w:val="22"/>
        </w:rPr>
        <w:t xml:space="preserve">Business Analyst Intern — Infintor Solutions, Kochi</w:t>
      </w:r>
    </w:p>
    <w:p>
      <w:pPr>
        <w:spacing w:after="80"/>
        <w:jc w:val="center"/>
      </w:pPr>
      <w:r>
        <w:rPr>
          <w:rFonts w:ascii="Arial" w:cs="Arial" w:eastAsia="Arial" w:hAnsi="Arial"/>
          <w:color w:val="666666"/>
          <w:sz w:val="22"/>
          <w:szCs w:val="22"/>
        </w:rPr>
        <w:t xml:space="preserve">March 2026</w:t>
      </w:r>
    </w:p>
    <w:p>
      <w:r>
        <w:br w:type="page"/>
      </w:r>
    </w:p>
    <w:p>
      <w:pPr>
        <w:pStyle w:val="Heading1"/>
        <w:spacing w:after="200" w:before="360"/>
      </w:pPr>
      <w:r>
        <w:rPr>
          <w:rFonts w:ascii="Arial" w:cs="Arial" w:eastAsia="Arial" w:hAnsi="Arial"/>
          <w:b/>
          <w:bCs/>
          <w:color w:val="1F4E79"/>
          <w:sz w:val="32"/>
          <w:szCs w:val="32"/>
        </w:rPr>
        <w:t xml:space="preserve">1. Key Finding: Payments Do NOT Auto-Sync Between Companies</w:t>
      </w:r>
    </w:p>
    <w:p>
      <w:pPr>
        <w:spacing w:after="120"/>
      </w:pPr>
      <w:r>
        <w:rPr>
          <w:rFonts w:ascii="Arial" w:cs="Arial" w:eastAsia="Arial" w:hAnsi="Arial"/>
          <w:sz w:val="21"/>
          <w:szCs w:val="21"/>
        </w:rPr>
        <w:t xml:space="preserve">During verification of inter-company transaction workflows in Odoo 19, it was discovered that while invoices, bills, sales orders, purchase orders, and stock moves can all be automatically synchronized between companies, payments are NOT automatically synchronized.</w:t>
      </w:r>
    </w:p>
    <w:p>
      <w:pPr>
        <w:spacing w:after="80"/>
      </w:pPr>
    </w:p>
    <w:p>
      <w:pPr>
        <w:pStyle w:val="Heading2"/>
        <w:spacing w:after="160" w:before="280"/>
      </w:pPr>
      <w:r>
        <w:rPr>
          <w:rFonts w:ascii="Arial" w:cs="Arial" w:eastAsia="Arial" w:hAnsi="Arial"/>
          <w:b/>
          <w:bCs/>
          <w:color w:val="2E75B6"/>
          <w:sz w:val="26"/>
          <w:szCs w:val="26"/>
        </w:rPr>
        <w:t xml:space="preserve">1.1 What Auto-Syncs vs. What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 Type</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Auto-Synced?</w:t>
            </w:r>
          </w:p>
        </w:tc>
        <w:tc>
          <w:tcPr>
            <w:tcW w:type="dxa" w:w="4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Setting Required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Invoice → Vendor Bill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Vendor Bills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Sales Order → Purchase Order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Create Sales Orders / Create Purchase Orders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Delivery Order → Receipt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Synchronize Stock Moves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Payment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 — Never</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 such setting exists in Odoo 19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Verified Against Live Database</w:t>
            </w:r>
          </w:p>
          <w:p>
            <w:r>
              <w:rPr>
                <w:rFonts w:ascii="Arial" w:cs="Arial" w:eastAsia="Arial" w:hAnsi="Arial"/>
                <w:sz w:val="20"/>
                <w:szCs w:val="20"/>
              </w:rPr>
              <w:t xml:space="preserve">XML-RPC inspection of the res.config.settings and account.payment models on Odoo 19 (saas-19.1+e) confirms zero inter-company payment synchronization fields exist. There is no intercompany_payment or payment_sync field anywhere in the system.</w:t>
            </w:r>
          </w:p>
        </w:tc>
      </w:tr>
    </w:tbl>
    <w:p>
      <w:r>
        <w:br w:type="page"/>
      </w:r>
    </w:p>
    <w:p>
      <w:pPr>
        <w:pStyle w:val="Heading1"/>
        <w:spacing w:after="200" w:before="360"/>
      </w:pPr>
      <w:r>
        <w:rPr>
          <w:rFonts w:ascii="Arial" w:cs="Arial" w:eastAsia="Arial" w:hAnsi="Arial"/>
          <w:b/>
          <w:bCs/>
          <w:color w:val="1F4E79"/>
          <w:sz w:val="32"/>
          <w:szCs w:val="32"/>
        </w:rPr>
        <w:t xml:space="preserve">2. How Payments Work in Odoo 19</w:t>
      </w:r>
    </w:p>
    <w:p>
      <w:pPr>
        <w:pStyle w:val="Heading2"/>
        <w:spacing w:after="160" w:before="280"/>
      </w:pPr>
      <w:r>
        <w:rPr>
          <w:rFonts w:ascii="Arial" w:cs="Arial" w:eastAsia="Arial" w:hAnsi="Arial"/>
          <w:b/>
          <w:bCs/>
          <w:color w:val="2E75B6"/>
          <w:sz w:val="26"/>
          <w:szCs w:val="26"/>
        </w:rPr>
        <w:t xml:space="preserve">2.1 Payment Registration</w:t>
      </w:r>
    </w:p>
    <w:p>
      <w:pPr>
        <w:spacing w:after="120"/>
      </w:pPr>
      <w:r>
        <w:rPr>
          <w:rFonts w:ascii="Arial" w:cs="Arial" w:eastAsia="Arial" w:hAnsi="Arial"/>
          <w:sz w:val="21"/>
          <w:szCs w:val="21"/>
        </w:rPr>
        <w:t xml:space="preserve">When you click “Pay” on an invoice or bill, Odoo creates a payment record. This does NOT mean the money has moved — it means the intent to pay has been recorded.</w:t>
      </w:r>
    </w:p>
    <w:p>
      <w:pPr>
        <w:spacing w:after="80"/>
      </w:pPr>
    </w:p>
    <w:p>
      <w:pPr>
        <w:pStyle w:val="Heading3"/>
        <w:spacing w:after="120" w:before="200"/>
      </w:pPr>
      <w:r>
        <w:rPr>
          <w:rFonts w:ascii="Arial" w:cs="Arial" w:eastAsia="Arial" w:hAnsi="Arial"/>
          <w:b/>
          <w:bCs/>
          <w:color w:val="404040"/>
          <w:sz w:val="22"/>
          <w:szCs w:val="22"/>
        </w:rPr>
        <w:t xml:space="preserve">Journal Entry Created (with Outstanding Accounts)</w:t>
      </w:r>
    </w:p>
    <w:p>
      <w:pPr>
        <w:spacing w:after="120"/>
      </w:pPr>
      <w:r>
        <w:rPr>
          <w:rFonts w:ascii="Arial" w:cs="Arial" w:eastAsia="Arial" w:hAnsi="Arial"/>
          <w:sz w:val="21"/>
          <w:szCs w:val="21"/>
        </w:rPr>
        <w:t xml:space="preserve">Example: Company A receives payment of ₹11,800 from Company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Debit (₹)</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Credit (₹)</w:t>
            </w:r>
          </w:p>
        </w:tc>
      </w:tr>
      <w:tr>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Outstanding Receipts Account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Accounts Receivable (Company B)</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11,800</w:t>
            </w:r>
          </w:p>
        </w:tc>
      </w:tr>
    </w:tbl>
    <w:p>
      <w:pPr>
        <w:spacing w:after="80"/>
      </w:pPr>
    </w:p>
    <w:p>
      <w:pPr>
        <w:spacing w:after="120"/>
      </w:pPr>
      <w:r>
        <w:rPr>
          <w:rFonts w:ascii="Arial" w:cs="Arial" w:eastAsia="Arial" w:hAnsi="Arial"/>
          <w:b/>
          <w:bCs/>
          <w:sz w:val="21"/>
          <w:szCs w:val="21"/>
        </w:rPr>
        <w:t xml:space="preserve">Invoice status changes to: </w:t>
      </w:r>
      <w:r>
        <w:rPr>
          <w:rFonts w:ascii="Arial" w:cs="Arial" w:eastAsia="Arial" w:hAnsi="Arial"/>
          <w:sz w:val="21"/>
          <w:szCs w:val="21"/>
        </w:rPr>
        <w:t xml:space="preserve">“In Payment” (not “Paid” yet)</w:t>
      </w:r>
    </w:p>
    <w:p>
      <w:pPr>
        <w:spacing w:after="80"/>
      </w:pPr>
    </w:p>
    <w:p>
      <w:pPr>
        <w:pStyle w:val="Heading2"/>
        <w:spacing w:after="160" w:before="280"/>
      </w:pPr>
      <w:r>
        <w:rPr>
          <w:rFonts w:ascii="Arial" w:cs="Arial" w:eastAsia="Arial" w:hAnsi="Arial"/>
          <w:b/>
          <w:bCs/>
          <w:color w:val="2E75B6"/>
          <w:sz w:val="26"/>
          <w:szCs w:val="26"/>
        </w:rPr>
        <w:t xml:space="preserve">2.2 Why the Bank Journal Is Empty</w:t>
      </w:r>
    </w:p>
    <w:p>
      <w:pPr>
        <w:spacing w:after="120"/>
      </w:pPr>
      <w:r>
        <w:rPr>
          <w:rFonts w:ascii="Arial" w:cs="Arial" w:eastAsia="Arial" w:hAnsi="Arial"/>
          <w:sz w:val="21"/>
          <w:szCs w:val="21"/>
        </w:rPr>
        <w:t xml:space="preserve">After registering a payment, the Bank journal appears empty because:</w:t>
      </w:r>
    </w:p>
    <w:p>
      <w:pPr>
        <w:pStyle w:val="ListParagraph"/>
        <w:numPr>
          <w:ilvl w:val="0"/>
          <w:numId w:val="2"/>
        </w:numPr>
        <w:spacing w:after="80"/>
      </w:pPr>
      <w:r>
        <w:rPr>
          <w:rFonts w:ascii="Arial" w:cs="Arial" w:eastAsia="Arial" w:hAnsi="Arial"/>
          <w:sz w:val="21"/>
          <w:szCs w:val="21"/>
        </w:rPr>
        <w:t xml:space="preserve">The payment entry debits/credits the Outstanding Receipts/Payments account</w:t>
      </w:r>
    </w:p>
    <w:p>
      <w:pPr>
        <w:pStyle w:val="ListParagraph"/>
        <w:numPr>
          <w:ilvl w:val="0"/>
          <w:numId w:val="2"/>
        </w:numPr>
        <w:spacing w:after="80"/>
      </w:pPr>
      <w:r>
        <w:rPr>
          <w:rFonts w:ascii="Arial" w:cs="Arial" w:eastAsia="Arial" w:hAnsi="Arial"/>
          <w:sz w:val="21"/>
          <w:szCs w:val="21"/>
        </w:rPr>
        <w:t xml:space="preserve">The actual Bank account is only affected when a bank transaction is recorded</w:t>
      </w:r>
    </w:p>
    <w:p>
      <w:pPr>
        <w:pStyle w:val="ListParagraph"/>
        <w:numPr>
          <w:ilvl w:val="0"/>
          <w:numId w:val="2"/>
        </w:numPr>
        <w:spacing w:after="80"/>
      </w:pPr>
      <w:r>
        <w:rPr>
          <w:rFonts w:ascii="Arial" w:cs="Arial" w:eastAsia="Arial" w:hAnsi="Arial"/>
          <w:sz w:val="21"/>
          <w:szCs w:val="21"/>
        </w:rPr>
        <w:t xml:space="preserve">Odoo treats these as two separate events: intent to pay vs. money actually received</w:t>
      </w:r>
    </w:p>
    <w:p>
      <w:pPr>
        <w:pStyle w:val="ListParagraph"/>
        <w:numPr>
          <w:ilvl w:val="0"/>
          <w:numId w:val="2"/>
        </w:numPr>
        <w:spacing w:after="80"/>
      </w:pPr>
      <w:r>
        <w:rPr>
          <w:rFonts w:ascii="Arial" w:cs="Arial" w:eastAsia="Arial" w:hAnsi="Arial"/>
          <w:sz w:val="21"/>
          <w:szCs w:val="21"/>
        </w:rPr>
        <w:t xml:space="preserve">The bank journal shows real bank transactions, not payment records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Design Principle</w:t>
            </w:r>
          </w:p>
          <w:p>
            <w:r>
              <w:rPr>
                <w:rFonts w:ascii="Arial" w:cs="Arial" w:eastAsia="Arial" w:hAnsi="Arial"/>
                <w:sz w:val="20"/>
                <w:szCs w:val="20"/>
              </w:rPr>
              <w:t xml:space="preserve">Odoo separates payment registration from bank confirmation by design. This ensures the books only show “Paid” when money has actually arrived in the bank, providing accurate cash flow visibility and auditability.</w:t>
            </w:r>
          </w:p>
        </w:tc>
      </w:tr>
    </w:tbl>
    <w:p>
      <w:r>
        <w:br w:type="page"/>
      </w:r>
    </w:p>
    <w:p>
      <w:pPr>
        <w:pStyle w:val="Heading1"/>
        <w:spacing w:after="200" w:before="360"/>
      </w:pPr>
      <w:r>
        <w:rPr>
          <w:rFonts w:ascii="Arial" w:cs="Arial" w:eastAsia="Arial" w:hAnsi="Arial"/>
          <w:b/>
          <w:bCs/>
          <w:color w:val="1F4E79"/>
          <w:sz w:val="32"/>
          <w:szCs w:val="32"/>
        </w:rPr>
        <w:t xml:space="preserve">3. How Bank Transactions Get Created</w:t>
      </w:r>
    </w:p>
    <w:p>
      <w:pPr>
        <w:spacing w:after="120"/>
      </w:pPr>
      <w:r>
        <w:rPr>
          <w:rFonts w:ascii="Arial" w:cs="Arial" w:eastAsia="Arial" w:hAnsi="Arial"/>
          <w:sz w:val="21"/>
          <w:szCs w:val="21"/>
        </w:rPr>
        <w:t xml:space="preserve">There are three methods to bring bank transactions into Odoo, from most automated to fully manual: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500"/>
        <w:gridCol w:w="250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How It Works</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Automation Level</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Bank Synchronization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Odoo connects directly to your bank via API. Transactions auto-imported every 12 hours.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Fully Automatic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Production environments with supported banks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Import Bank Statement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Download CSV/OFX/CAMT file from bank website, import via Accounting Dashboard → Bank → Import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Semi-Automatic</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Banks not supported by sync, or periodic imports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 Entry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transactions by hand in the Bank journal from the Accounting Dashboard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Testing, demo databases, or one-off transactions</w:t>
            </w:r>
          </w:p>
        </w:tc>
      </w:tr>
    </w:tbl>
    <w:p>
      <w:pPr>
        <w:spacing w:after="80"/>
      </w:pPr>
    </w:p>
    <w:p>
      <w:pPr>
        <w:pStyle w:val="Heading2"/>
        <w:spacing w:after="160" w:before="280"/>
      </w:pPr>
      <w:r>
        <w:rPr>
          <w:rFonts w:ascii="Arial" w:cs="Arial" w:eastAsia="Arial" w:hAnsi="Arial"/>
          <w:b/>
          <w:bCs/>
          <w:color w:val="2E75B6"/>
          <w:sz w:val="26"/>
          <w:szCs w:val="26"/>
        </w:rPr>
        <w:t xml:space="preserve">3.1 Bank Synchronization (Recommended for Production)</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Dashboard → Bank journal → ⋮ (vertical ellipsis) → Connect Bank</w:t>
      </w:r>
    </w:p>
    <w:p>
      <w:pPr>
        <w:pStyle w:val="ListParagraph"/>
        <w:numPr>
          <w:ilvl w:val="0"/>
          <w:numId w:val="2"/>
        </w:numPr>
        <w:spacing w:after="80"/>
      </w:pPr>
      <w:r>
        <w:rPr>
          <w:rFonts w:ascii="Arial" w:cs="Arial" w:eastAsia="Arial" w:hAnsi="Arial"/>
          <w:sz w:val="21"/>
          <w:szCs w:val="21"/>
        </w:rPr>
        <w:t xml:space="preserve">Supports 26,000+ financial institutions worldwide</w:t>
      </w:r>
    </w:p>
    <w:p>
      <w:pPr>
        <w:pStyle w:val="ListParagraph"/>
        <w:numPr>
          <w:ilvl w:val="0"/>
          <w:numId w:val="2"/>
        </w:numPr>
        <w:spacing w:after="80"/>
      </w:pPr>
      <w:r>
        <w:rPr>
          <w:rFonts w:ascii="Arial" w:cs="Arial" w:eastAsia="Arial" w:hAnsi="Arial"/>
          <w:sz w:val="21"/>
          <w:szCs w:val="21"/>
        </w:rPr>
        <w:t xml:space="preserve">Requires Odoo Enterprise subscription</w:t>
      </w:r>
    </w:p>
    <w:p>
      <w:pPr>
        <w:pStyle w:val="ListParagraph"/>
        <w:numPr>
          <w:ilvl w:val="0"/>
          <w:numId w:val="2"/>
        </w:numPr>
        <w:spacing w:after="80"/>
      </w:pPr>
      <w:r>
        <w:rPr>
          <w:rFonts w:ascii="Arial" w:cs="Arial" w:eastAsia="Arial" w:hAnsi="Arial"/>
          <w:sz w:val="21"/>
          <w:szCs w:val="21"/>
        </w:rPr>
        <w:t xml:space="preserve">After setup, transactions sync every 12 hours automatically</w:t>
      </w:r>
    </w:p>
    <w:p>
      <w:pPr>
        <w:pStyle w:val="ListParagraph"/>
        <w:numPr>
          <w:ilvl w:val="0"/>
          <w:numId w:val="2"/>
        </w:numPr>
        <w:spacing w:after="80"/>
      </w:pPr>
      <w:r>
        <w:rPr>
          <w:rFonts w:ascii="Arial" w:cs="Arial" w:eastAsia="Arial" w:hAnsi="Arial"/>
          <w:sz w:val="21"/>
          <w:szCs w:val="21"/>
        </w:rPr>
        <w:t xml:space="preserve">Manual sync: click “Fetch Transactions” on the Bank journal card</w:t>
      </w:r>
    </w:p>
    <w:p>
      <w:pPr>
        <w:spacing w:after="80"/>
      </w:pPr>
    </w:p>
    <w:p>
      <w:pPr>
        <w:pStyle w:val="Heading2"/>
        <w:spacing w:after="160" w:before="280"/>
      </w:pPr>
      <w:r>
        <w:rPr>
          <w:rFonts w:ascii="Arial" w:cs="Arial" w:eastAsia="Arial" w:hAnsi="Arial"/>
          <w:b/>
          <w:bCs/>
          <w:color w:val="2E75B6"/>
          <w:sz w:val="26"/>
          <w:szCs w:val="26"/>
        </w:rPr>
        <w:t xml:space="preserve">3.2 Import Bank Statement File</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Dashboard → Bank journal → ⋮ → Import</w:t>
      </w:r>
    </w:p>
    <w:p>
      <w:pPr>
        <w:pStyle w:val="ListParagraph"/>
        <w:numPr>
          <w:ilvl w:val="0"/>
          <w:numId w:val="2"/>
        </w:numPr>
        <w:spacing w:after="80"/>
      </w:pPr>
      <w:r>
        <w:rPr>
          <w:rFonts w:ascii="Arial" w:cs="Arial" w:eastAsia="Arial" w:hAnsi="Arial"/>
          <w:sz w:val="21"/>
          <w:szCs w:val="21"/>
        </w:rPr>
        <w:t xml:space="preserve">Supported file formats: CSV, OFX, QIF, CAMT.053 (XML)</w:t>
      </w:r>
    </w:p>
    <w:p>
      <w:pPr>
        <w:pStyle w:val="ListParagraph"/>
        <w:numPr>
          <w:ilvl w:val="0"/>
          <w:numId w:val="2"/>
        </w:numPr>
        <w:spacing w:after="80"/>
      </w:pPr>
      <w:r>
        <w:rPr>
          <w:rFonts w:ascii="Arial" w:cs="Arial" w:eastAsia="Arial" w:hAnsi="Arial"/>
          <w:sz w:val="21"/>
          <w:szCs w:val="21"/>
        </w:rPr>
        <w:t xml:space="preserve">Download the statement file from your bank’s website</w:t>
      </w:r>
    </w:p>
    <w:p>
      <w:pPr>
        <w:pStyle w:val="ListParagraph"/>
        <w:numPr>
          <w:ilvl w:val="0"/>
          <w:numId w:val="2"/>
        </w:numPr>
        <w:spacing w:after="80"/>
      </w:pPr>
      <w:r>
        <w:rPr>
          <w:rFonts w:ascii="Arial" w:cs="Arial" w:eastAsia="Arial" w:hAnsi="Arial"/>
          <w:sz w:val="21"/>
          <w:szCs w:val="21"/>
        </w:rPr>
        <w:t xml:space="preserve">Upload it to Odoo; transactions appear immediately</w:t>
      </w:r>
    </w:p>
    <w:p>
      <w:pPr>
        <w:spacing w:after="80"/>
      </w:pPr>
    </w:p>
    <w:p>
      <w:pPr>
        <w:pStyle w:val="Heading2"/>
        <w:spacing w:after="160" w:before="280"/>
      </w:pPr>
      <w:r>
        <w:rPr>
          <w:rFonts w:ascii="Arial" w:cs="Arial" w:eastAsia="Arial" w:hAnsi="Arial"/>
          <w:b/>
          <w:bCs/>
          <w:color w:val="2E75B6"/>
          <w:sz w:val="26"/>
          <w:szCs w:val="26"/>
        </w:rPr>
        <w:t xml:space="preserve">3.3 Manual Transaction Entry</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Dashboard → click Bank journal name → New Transaction</w:t>
      </w:r>
    </w:p>
    <w:p>
      <w:pPr>
        <w:pStyle w:val="ListParagraph"/>
        <w:numPr>
          <w:ilvl w:val="0"/>
          <w:numId w:val="2"/>
        </w:numPr>
        <w:spacing w:after="80"/>
      </w:pPr>
      <w:r>
        <w:rPr>
          <w:rFonts w:ascii="Arial" w:cs="Arial" w:eastAsia="Arial" w:hAnsi="Arial"/>
          <w:sz w:val="21"/>
          <w:szCs w:val="21"/>
        </w:rPr>
        <w:t xml:space="preserve">Enter: Date, Label/Reference, Partner, Amount</w:t>
      </w:r>
    </w:p>
    <w:p>
      <w:pPr>
        <w:pStyle w:val="ListParagraph"/>
        <w:numPr>
          <w:ilvl w:val="0"/>
          <w:numId w:val="2"/>
        </w:numPr>
        <w:spacing w:after="80"/>
      </w:pPr>
      <w:r>
        <w:rPr>
          <w:rFonts w:ascii="Arial" w:cs="Arial" w:eastAsia="Arial" w:hAnsi="Arial"/>
          <w:sz w:val="21"/>
          <w:szCs w:val="21"/>
        </w:rPr>
        <w:t xml:space="preserve">Click Validate to save the transaction</w:t>
      </w:r>
    </w:p>
    <w:p>
      <w:pPr>
        <w:pStyle w:val="ListParagraph"/>
        <w:numPr>
          <w:ilvl w:val="0"/>
          <w:numId w:val="2"/>
        </w:numPr>
        <w:spacing w:after="80"/>
      </w:pPr>
      <w:r>
        <w:rPr>
          <w:rFonts w:ascii="Arial" w:cs="Arial" w:eastAsia="Arial" w:hAnsi="Arial"/>
          <w:sz w:val="21"/>
          <w:szCs w:val="21"/>
        </w:rPr>
        <w:t xml:space="preserve">The transaction then appears in the Bank Matching view for reconciliation</w:t>
      </w:r>
    </w:p>
    <w:p>
      <w:r>
        <w:br w:type="page"/>
      </w:r>
    </w:p>
    <w:p>
      <w:pPr>
        <w:pStyle w:val="Heading1"/>
        <w:spacing w:after="200" w:before="360"/>
      </w:pPr>
      <w:r>
        <w:rPr>
          <w:rFonts w:ascii="Arial" w:cs="Arial" w:eastAsia="Arial" w:hAnsi="Arial"/>
          <w:b/>
          <w:bCs/>
          <w:color w:val="1F4E79"/>
          <w:sz w:val="32"/>
          <w:szCs w:val="32"/>
        </w:rPr>
        <w:t xml:space="preserve">4. Bank Reconciliation</w:t>
      </w:r>
    </w:p>
    <w:p>
      <w:pPr>
        <w:pStyle w:val="Heading2"/>
        <w:spacing w:after="160" w:before="280"/>
      </w:pPr>
      <w:r>
        <w:rPr>
          <w:rFonts w:ascii="Arial" w:cs="Arial" w:eastAsia="Arial" w:hAnsi="Arial"/>
          <w:b/>
          <w:bCs/>
          <w:color w:val="2E75B6"/>
          <w:sz w:val="26"/>
          <w:szCs w:val="26"/>
        </w:rPr>
        <w:t xml:space="preserve">4.1 The Complete Payment Lifecycle</w:t>
      </w:r>
    </w:p>
    <w:p>
      <w:pPr>
        <w:spacing w:after="120"/>
      </w:pPr>
      <w:r>
        <w:rPr>
          <w:rFonts w:ascii="Arial" w:cs="Arial" w:eastAsia="Arial" w:hAnsi="Arial"/>
          <w:sz w:val="21"/>
          <w:szCs w:val="21"/>
        </w:rPr>
        <w:t xml:space="preserve">The full lifecycle of a payment in Odoo 19:</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Invoice Status</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Bank 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Invoice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Click “Pay” → Register Payment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 Payment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Outstanding Receipts account debited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Bank transaction arrives (sync/import/manual)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Transaction appears in Bank Matching view</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Reconcile payment with bank transaction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Paid ✓</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Outstanding account cleared, Bank account updated</w:t>
            </w:r>
          </w:p>
        </w:tc>
      </w:tr>
    </w:tbl>
    <w:p>
      <w:pPr>
        <w:spacing w:after="80"/>
      </w:pPr>
    </w:p>
    <w:p>
      <w:pPr>
        <w:pStyle w:val="Heading2"/>
        <w:spacing w:after="160" w:before="280"/>
      </w:pPr>
      <w:r>
        <w:rPr>
          <w:rFonts w:ascii="Arial" w:cs="Arial" w:eastAsia="Arial" w:hAnsi="Arial"/>
          <w:b/>
          <w:bCs/>
          <w:color w:val="2E75B6"/>
          <w:sz w:val="26"/>
          <w:szCs w:val="26"/>
        </w:rPr>
        <w:t xml:space="preserve">4.2 How to Reconcile</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Dashboard → Bank journal → “x to reconcile” button</w:t>
      </w:r>
    </w:p>
    <w:p>
      <w:pPr>
        <w:pStyle w:val="ListParagraph"/>
        <w:numPr>
          <w:ilvl w:val="0"/>
          <w:numId w:val="3"/>
        </w:numPr>
        <w:spacing w:after="80"/>
      </w:pPr>
      <w:r>
        <w:rPr>
          <w:rFonts w:ascii="Arial" w:cs="Arial" w:eastAsia="Arial" w:hAnsi="Arial"/>
          <w:sz w:val="21"/>
          <w:szCs w:val="21"/>
        </w:rPr>
        <w:t xml:space="preserve">Open the Bank Matching view</w:t>
      </w:r>
    </w:p>
    <w:p>
      <w:pPr>
        <w:pStyle w:val="ListParagraph"/>
        <w:numPr>
          <w:ilvl w:val="0"/>
          <w:numId w:val="3"/>
        </w:numPr>
        <w:spacing w:after="80"/>
      </w:pPr>
      <w:r>
        <w:rPr>
          <w:rFonts w:ascii="Arial" w:cs="Arial" w:eastAsia="Arial" w:hAnsi="Arial"/>
          <w:sz w:val="21"/>
          <w:szCs w:val="21"/>
        </w:rPr>
        <w:t xml:space="preserve">Odoo auto-suggests matching payments based on amount, partner, and reference</w:t>
      </w:r>
    </w:p>
    <w:p>
      <w:pPr>
        <w:pStyle w:val="ListParagraph"/>
        <w:numPr>
          <w:ilvl w:val="0"/>
          <w:numId w:val="3"/>
        </w:numPr>
        <w:spacing w:after="80"/>
      </w:pPr>
      <w:r>
        <w:rPr>
          <w:rFonts w:ascii="Arial" w:cs="Arial" w:eastAsia="Arial" w:hAnsi="Arial"/>
          <w:sz w:val="21"/>
          <w:szCs w:val="21"/>
        </w:rPr>
        <w:t xml:space="preserve">If the match is correct, click Validate to reconcile</w:t>
      </w:r>
    </w:p>
    <w:p>
      <w:pPr>
        <w:pStyle w:val="ListParagraph"/>
        <w:numPr>
          <w:ilvl w:val="0"/>
          <w:numId w:val="3"/>
        </w:numPr>
        <w:spacing w:after="80"/>
      </w:pPr>
      <w:r>
        <w:rPr>
          <w:rFonts w:ascii="Arial" w:cs="Arial" w:eastAsia="Arial" w:hAnsi="Arial"/>
          <w:sz w:val="21"/>
          <w:szCs w:val="21"/>
        </w:rPr>
        <w:t xml:space="preserve">The invoice/bill status changes from “In Payment” to “Paid”</w:t>
      </w:r>
    </w:p>
    <w:p>
      <w:pPr>
        <w:spacing w:after="80"/>
      </w:pPr>
    </w:p>
    <w:p>
      <w:pPr>
        <w:pStyle w:val="Heading2"/>
        <w:spacing w:after="160" w:before="280"/>
      </w:pPr>
      <w:r>
        <w:rPr>
          <w:rFonts w:ascii="Arial" w:cs="Arial" w:eastAsia="Arial" w:hAnsi="Arial"/>
          <w:b/>
          <w:bCs/>
          <w:color w:val="2E75B6"/>
          <w:sz w:val="26"/>
          <w:szCs w:val="26"/>
        </w:rPr>
        <w:t xml:space="preserve">4.3 Shortcut: Skip Reconciliation (Demo/Testing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Not Recommended for Production</w:t>
            </w:r>
          </w:p>
          <w:p>
            <w:r>
              <w:rPr>
                <w:rFonts w:ascii="Arial" w:cs="Arial" w:eastAsia="Arial" w:hAnsi="Arial"/>
                <w:sz w:val="20"/>
                <w:szCs w:val="20"/>
              </w:rPr>
              <w:t xml:space="preserve">This shortcut bypasses the bank confirmation step. Use only for demo or testing databases.</w:t>
            </w:r>
          </w:p>
        </w:tc>
      </w:tr>
    </w:tbl>
    <w:p>
      <w:pPr>
        <w:spacing w:after="80"/>
      </w:pP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 Configuration → Journals → Bank → Payment Methods tab</w:t>
      </w:r>
    </w:p>
    <w:p>
      <w:pPr>
        <w:spacing w:after="120"/>
      </w:pPr>
      <w:r>
        <w:rPr>
          <w:rFonts w:ascii="Arial" w:cs="Arial" w:eastAsia="Arial" w:hAnsi="Arial"/>
          <w:sz w:val="21"/>
          <w:szCs w:val="21"/>
        </w:rPr>
        <w:t xml:space="preserve">Set the Outstanding Receipts/Payments account to the bank’s main account (e.g., 1021 Bank). With this setting, clicking “Pay” on an invoice immediately marks it as “Paid” without needing bank reconciliation.</w:t>
      </w:r>
    </w:p>
    <w:p>
      <w:r>
        <w:br w:type="page"/>
      </w:r>
    </w:p>
    <w:p>
      <w:pPr>
        <w:pStyle w:val="Heading1"/>
        <w:spacing w:after="200" w:before="360"/>
      </w:pPr>
      <w:r>
        <w:rPr>
          <w:rFonts w:ascii="Arial" w:cs="Arial" w:eastAsia="Arial" w:hAnsi="Arial"/>
          <w:b/>
          <w:bCs/>
          <w:color w:val="1F4E79"/>
          <w:sz w:val="32"/>
          <w:szCs w:val="32"/>
        </w:rPr>
        <w:t xml:space="preserve">5. Inter-Company Payment Workflow</w:t>
      </w:r>
    </w:p>
    <w:p>
      <w:pPr>
        <w:pStyle w:val="Heading2"/>
        <w:spacing w:after="160" w:before="280"/>
      </w:pPr>
      <w:r>
        <w:rPr>
          <w:rFonts w:ascii="Arial" w:cs="Arial" w:eastAsia="Arial" w:hAnsi="Arial"/>
          <w:b/>
          <w:bCs/>
          <w:color w:val="2E75B6"/>
          <w:sz w:val="26"/>
          <w:szCs w:val="26"/>
        </w:rPr>
        <w:t xml:space="preserve">5.1 Manual Payment in Both Companies</w:t>
      </w:r>
    </w:p>
    <w:p>
      <w:pPr>
        <w:spacing w:after="120"/>
      </w:pPr>
      <w:r>
        <w:rPr>
          <w:rFonts w:ascii="Arial" w:cs="Arial" w:eastAsia="Arial" w:hAnsi="Arial"/>
          <w:sz w:val="21"/>
          <w:szCs w:val="21"/>
        </w:rPr>
        <w:t xml:space="preserve">Since payments don’t auto-sync, you must register payment separately in each company:</w:t>
      </w:r>
    </w:p>
    <w:p>
      <w:pPr>
        <w:spacing w:after="80"/>
      </w:pPr>
    </w:p>
    <w:p>
      <w:pPr>
        <w:pStyle w:val="Heading3"/>
        <w:spacing w:after="120" w:before="200"/>
      </w:pPr>
      <w:r>
        <w:rPr>
          <w:rFonts w:ascii="Arial" w:cs="Arial" w:eastAsia="Arial" w:hAnsi="Arial"/>
          <w:b/>
          <w:bCs/>
          <w:color w:val="404040"/>
          <w:sz w:val="22"/>
          <w:szCs w:val="22"/>
        </w:rPr>
        <w:t xml:space="preserve">In Company A (Seller — Receiving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Debit (₹)</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Credit (₹)</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Outstanding Receipts /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Money received from Company B</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Accounts Receivable (Company 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Clears what Company B owes</w:t>
            </w:r>
          </w:p>
        </w:tc>
      </w:tr>
    </w:tbl>
    <w:p>
      <w:pPr>
        <w:spacing w:after="80"/>
      </w:pPr>
    </w:p>
    <w:p>
      <w:pPr>
        <w:pStyle w:val="Heading3"/>
        <w:spacing w:after="120" w:before="200"/>
      </w:pPr>
      <w:r>
        <w:rPr>
          <w:rFonts w:ascii="Arial" w:cs="Arial" w:eastAsia="Arial" w:hAnsi="Arial"/>
          <w:b/>
          <w:bCs/>
          <w:color w:val="404040"/>
          <w:sz w:val="22"/>
          <w:szCs w:val="22"/>
        </w:rPr>
        <w:t xml:space="preserve">In Company B (Buyer — Making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Debit (₹)</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Credit (₹)</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Accounts Payable (Company 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Clears what is owed to Company A</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Outstanding Payments / Bank</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Money sent to Company A</w:t>
            </w:r>
          </w:p>
        </w:tc>
      </w:tr>
    </w:tbl>
    <w:p>
      <w:pPr>
        <w:spacing w:after="80"/>
      </w:pPr>
    </w:p>
    <w:p>
      <w:pPr>
        <w:pStyle w:val="Heading2"/>
        <w:spacing w:after="160" w:before="280"/>
      </w:pPr>
      <w:r>
        <w:rPr>
          <w:rFonts w:ascii="Arial" w:cs="Arial" w:eastAsia="Arial" w:hAnsi="Arial"/>
          <w:b/>
          <w:bCs/>
          <w:color w:val="2E75B6"/>
          <w:sz w:val="26"/>
          <w:szCs w:val="26"/>
        </w:rPr>
        <w:t xml:space="preserve">5.2 Verifying Inter-Company Balances After Payment</w:t>
      </w:r>
    </w:p>
    <w:p>
      <w:pPr>
        <w:spacing w:after="120"/>
      </w:pPr>
      <w:r>
        <w:rPr>
          <w:rFonts w:ascii="Arial" w:cs="Arial" w:eastAsia="Arial" w:hAnsi="Arial"/>
          <w:sz w:val="21"/>
          <w:szCs w:val="21"/>
        </w:rPr>
        <w:t xml:space="preserve">After registering payments in both companies, verify that the balances match: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Report</w:t>
            </w:r>
          </w:p>
        </w:tc>
        <w:tc>
          <w:tcPr>
            <w:tcW w:type="dxa" w:w="3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Path</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to Check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Partner Ledger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Accounting → Reporting → Partner Reports → Partner Ledger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Filter by other company’s name. AR balance in Company A should mirror AP balance in Company B.</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Aged Receivable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Accounting → Reporting → Partner Reports → Aged Receivable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 Company A: check outstanding receivable from Company B. Should be zero after payment.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Aged Payable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Accounting → Reporting → Partner Reports → Aged Payable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 Company B: check outstanding payable to Company A. Should be zero after payment.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Journal Entries</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Accounting → Accounting → Transactions → Journal Entries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Filter by partner to see all payment journal entries.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Reconciliation Best Practice</w:t>
            </w:r>
          </w:p>
          <w:p>
            <w:r>
              <w:rPr>
                <w:rFonts w:ascii="Arial" w:cs="Arial" w:eastAsia="Arial" w:hAnsi="Arial"/>
                <w:sz w:val="20"/>
                <w:szCs w:val="20"/>
              </w:rPr>
              <w:t xml:space="preserve">Monthly, verify that Accounts Receivable for Company B in Company A’s books equals Accounts Payable for Company A in Company B’s books. If they don’t match, a payment entry is missing in one of the companies.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Rohan Raj | Infintor Solutions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i/>
        <w:iCs/>
        <w:color w:val="999999"/>
        <w:sz w:val="18"/>
        <w:szCs w:val="18"/>
      </w:rPr>
      <w:t xml:space="preserve">Odoo 19 — Payment &amp; Bank Reconciliation in IC Transactions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2026-03-05T10:45:27.476Z</dcterms:created>
  <dcterms:modified xsi:type="dcterms:W3CDTF">2026-03-05T10:45:27.476Z</dcterms:modified>
</cp:coreProperties>
</file>

<file path=docProps/custom.xml><?xml version="1.0" encoding="utf-8"?>
<Properties xmlns="http://schemas.openxmlformats.org/officeDocument/2006/custom-properties" xmlns:vt="http://schemas.openxmlformats.org/officeDocument/2006/docPropsVTypes"/>
</file>