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636" w:rsidRDefault="00322636" w:rsidP="00322636">
      <w:r>
        <w:rPr>
          <w:b/>
          <w:sz w:val="24"/>
        </w:rPr>
        <w:t xml:space="preserve">71. </w:t>
      </w:r>
      <w:r>
        <w:rPr>
          <w:b/>
          <w:sz w:val="24"/>
        </w:rPr>
        <w:tab/>
      </w:r>
      <w:proofErr w:type="gramStart"/>
      <w:r>
        <w:rPr>
          <w:b/>
          <w:sz w:val="24"/>
        </w:rPr>
        <w:t>Promulgation</w:t>
      </w:r>
      <w:r>
        <w:t>.—</w:t>
      </w:r>
      <w:proofErr w:type="gramEnd"/>
      <w:r>
        <w:tab/>
        <w:t xml:space="preserve">The charge, finding, and sentence, and any recommendation to mercy shall, together with the confirmation or non-confirmation of the proceedings, be promulgated in such manner as the confirming authority may direct; and if no direction is given, according to the custom of the service. Until promulgation has been </w:t>
      </w:r>
      <w:proofErr w:type="gramStart"/>
      <w:r>
        <w:t>effected</w:t>
      </w:r>
      <w:proofErr w:type="gramEnd"/>
      <w:r>
        <w:t>, confirmation is not complete and the finding and sentence shall not be held to have been confirmed until they have been promulgated.</w:t>
      </w:r>
    </w:p>
    <w:p w:rsidR="00322636" w:rsidRDefault="00322636" w:rsidP="00322636"/>
    <w:p w:rsidR="00322636" w:rsidRDefault="00322636" w:rsidP="00322636">
      <w:pPr>
        <w:pStyle w:val="Heading3"/>
      </w:pPr>
      <w:r>
        <w:t>NOTES</w:t>
      </w:r>
    </w:p>
    <w:p w:rsidR="00322636" w:rsidRDefault="00322636" w:rsidP="00322636"/>
    <w:p w:rsidR="00322636" w:rsidRDefault="00322636" w:rsidP="00322636">
      <w:pPr>
        <w:ind w:left="720"/>
        <w:jc w:val="both"/>
        <w:rPr>
          <w:i/>
          <w:sz w:val="20"/>
        </w:rPr>
      </w:pPr>
      <w:r>
        <w:rPr>
          <w:i/>
          <w:sz w:val="20"/>
        </w:rPr>
        <w:t xml:space="preserve">1. </w:t>
      </w:r>
      <w:r>
        <w:rPr>
          <w:i/>
          <w:sz w:val="20"/>
        </w:rPr>
        <w:tab/>
        <w:t xml:space="preserve">For the date from which a sentence of cashiering or dismissal takes effect, see </w:t>
      </w:r>
      <w:hyperlink r:id="rId4" w:anchor="AR168" w:history="1">
        <w:r>
          <w:rPr>
            <w:rStyle w:val="Hyperlink"/>
            <w:i/>
            <w:sz w:val="20"/>
          </w:rPr>
          <w:t>AR 168</w:t>
        </w:r>
      </w:hyperlink>
      <w:r>
        <w:rPr>
          <w:i/>
          <w:sz w:val="20"/>
        </w:rPr>
        <w:t>.</w:t>
      </w:r>
    </w:p>
    <w:p w:rsidR="00322636" w:rsidRDefault="00322636" w:rsidP="00322636">
      <w:pPr>
        <w:ind w:left="720"/>
        <w:jc w:val="both"/>
        <w:rPr>
          <w:i/>
          <w:sz w:val="20"/>
        </w:rPr>
      </w:pPr>
      <w:r>
        <w:rPr>
          <w:i/>
          <w:sz w:val="20"/>
        </w:rPr>
        <w:t xml:space="preserve">2. </w:t>
      </w:r>
      <w:r>
        <w:rPr>
          <w:i/>
          <w:sz w:val="20"/>
        </w:rPr>
        <w:tab/>
        <w:t xml:space="preserve">In the absence of any direction by the confirming authority, the usual custom of the service as to promulgation will be followed, but a written notice to the offender of the charge, etc., will be </w:t>
      </w:r>
      <w:proofErr w:type="gramStart"/>
      <w:r>
        <w:rPr>
          <w:i/>
          <w:sz w:val="20"/>
        </w:rPr>
        <w:t>sufficient</w:t>
      </w:r>
      <w:proofErr w:type="gram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promulation</w:t>
      </w:r>
      <w:proofErr w:type="spellEnd"/>
      <w:r>
        <w:rPr>
          <w:i/>
          <w:sz w:val="20"/>
        </w:rPr>
        <w:t xml:space="preserve"> under this rule. Also see </w:t>
      </w:r>
      <w:hyperlink r:id="rId5" w:anchor="472" w:history="1">
        <w:r>
          <w:rPr>
            <w:rStyle w:val="Hyperlink"/>
            <w:i/>
            <w:sz w:val="20"/>
          </w:rPr>
          <w:t>Regs Army para 472.</w:t>
        </w:r>
      </w:hyperlink>
    </w:p>
    <w:p w:rsidR="00322636" w:rsidRDefault="00322636" w:rsidP="00322636">
      <w:pPr>
        <w:ind w:left="720"/>
        <w:jc w:val="both"/>
        <w:rPr>
          <w:i/>
          <w:sz w:val="20"/>
        </w:rPr>
      </w:pPr>
      <w:r>
        <w:rPr>
          <w:i/>
          <w:sz w:val="20"/>
        </w:rPr>
        <w:t xml:space="preserve">3. </w:t>
      </w:r>
      <w:r>
        <w:rPr>
          <w:i/>
          <w:sz w:val="20"/>
        </w:rPr>
        <w:tab/>
        <w:t xml:space="preserve">As to committal to a civil prison or to military custody of persons sentenced to imprisonment, see </w:t>
      </w:r>
      <w:hyperlink r:id="rId6" w:anchor="AA169" w:history="1">
        <w:r>
          <w:rPr>
            <w:rStyle w:val="Hyperlink"/>
            <w:i/>
            <w:sz w:val="20"/>
          </w:rPr>
          <w:t>AA.s.169</w:t>
        </w:r>
      </w:hyperlink>
      <w:r>
        <w:rPr>
          <w:i/>
          <w:sz w:val="20"/>
        </w:rPr>
        <w:t xml:space="preserve">; as to action in exceptional cases, see </w:t>
      </w:r>
      <w:hyperlink r:id="rId7" w:anchor="AR171" w:history="1">
        <w:r>
          <w:rPr>
            <w:rStyle w:val="Hyperlink"/>
            <w:i/>
            <w:sz w:val="20"/>
          </w:rPr>
          <w:t>AA.s.171</w:t>
        </w:r>
      </w:hyperlink>
      <w:r>
        <w:rPr>
          <w:i/>
          <w:sz w:val="20"/>
        </w:rPr>
        <w:t>.</w:t>
      </w:r>
    </w:p>
    <w:p w:rsidR="00322636" w:rsidRDefault="00322636" w:rsidP="00322636">
      <w:pPr>
        <w:ind w:left="720"/>
        <w:jc w:val="both"/>
        <w:rPr>
          <w:i/>
          <w:sz w:val="20"/>
        </w:rPr>
      </w:pPr>
      <w:r>
        <w:rPr>
          <w:i/>
          <w:sz w:val="20"/>
        </w:rPr>
        <w:t xml:space="preserve">4. </w:t>
      </w:r>
      <w:r>
        <w:rPr>
          <w:i/>
          <w:sz w:val="20"/>
        </w:rPr>
        <w:tab/>
        <w:t>For forms of committal warrants, see Appendix IV, Part 11 to AR.</w:t>
      </w:r>
    </w:p>
    <w:p w:rsidR="00322636" w:rsidRDefault="00322636" w:rsidP="00322636">
      <w:pPr>
        <w:ind w:left="720"/>
        <w:jc w:val="both"/>
        <w:rPr>
          <w:i/>
          <w:sz w:val="20"/>
        </w:rPr>
      </w:pPr>
      <w:r>
        <w:rPr>
          <w:i/>
          <w:sz w:val="20"/>
        </w:rPr>
        <w:t>5.</w:t>
      </w:r>
      <w:r>
        <w:rPr>
          <w:i/>
          <w:sz w:val="20"/>
        </w:rPr>
        <w:tab/>
        <w:t xml:space="preserve">As to the suspension of sentences of imprisonment see </w:t>
      </w:r>
      <w:hyperlink r:id="rId8" w:anchor="AA182" w:history="1">
        <w:r>
          <w:rPr>
            <w:rStyle w:val="Hyperlink"/>
            <w:i/>
            <w:sz w:val="20"/>
          </w:rPr>
          <w:t>AA.ss.182</w:t>
        </w:r>
      </w:hyperlink>
      <w:r>
        <w:rPr>
          <w:i/>
          <w:sz w:val="20"/>
        </w:rPr>
        <w:t xml:space="preserve"> to </w:t>
      </w:r>
      <w:hyperlink r:id="rId9" w:anchor="AA190" w:history="1">
        <w:r>
          <w:rPr>
            <w:rStyle w:val="Hyperlink"/>
            <w:i/>
            <w:sz w:val="20"/>
          </w:rPr>
          <w:t>190</w:t>
        </w:r>
      </w:hyperlink>
      <w:r>
        <w:rPr>
          <w:i/>
          <w:sz w:val="20"/>
        </w:rPr>
        <w:t>.</w:t>
      </w:r>
    </w:p>
    <w:p w:rsidR="003D0A7D" w:rsidRDefault="003D0A7D">
      <w:bookmarkStart w:id="0" w:name="_GoBack"/>
      <w:bookmarkEnd w:id="0"/>
    </w:p>
    <w:sectPr w:rsidR="003D0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77"/>
    <w:rsid w:val="00322636"/>
    <w:rsid w:val="003D0A7D"/>
    <w:rsid w:val="00AA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00DA6-297D-4A28-81ED-CF42CA87F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2636"/>
    <w:p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322636"/>
    <w:pPr>
      <w:keepNext/>
      <w:ind w:left="720"/>
      <w:outlineLvl w:val="2"/>
    </w:pPr>
    <w:rPr>
      <w:i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22636"/>
    <w:rPr>
      <w:rFonts w:ascii="Arial" w:eastAsia="Times New Roman" w:hAnsi="Arial" w:cs="Times New Roman"/>
      <w:i/>
      <w:szCs w:val="20"/>
      <w:u w:val="single"/>
      <w:lang w:val="en-US"/>
    </w:rPr>
  </w:style>
  <w:style w:type="character" w:styleId="Hyperlink">
    <w:name w:val="Hyperlink"/>
    <w:rsid w:val="003226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F:\ARMY_ACT_1950_WITH_NOTES\CHAPTER-14\240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F:\work_on_nlp\Downloads_nlp\349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F:\ARMY_ACT_1950_WITH_NOTES\CHAPTER-13\236.htm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F:\DSR_VOLUME_1\CHAPTER_10\169.htm" TargetMode="External"/><Relationship Id="rId10" Type="http://schemas.openxmlformats.org/officeDocument/2006/relationships/fontTable" Target="fontTable.xml"/><Relationship Id="rId4" Type="http://schemas.openxmlformats.org/officeDocument/2006/relationships/hyperlink" Target="file:///F:\work_on_nlp\Downloads_nlp\348.htm" TargetMode="External"/><Relationship Id="rId9" Type="http://schemas.openxmlformats.org/officeDocument/2006/relationships/hyperlink" Target="file:///F:\ARMY_ACT_1950_WITH_NOTES\CHAPTER-14\243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Celebal</dc:creator>
  <cp:keywords/>
  <dc:description/>
  <cp:lastModifiedBy>Celebal</cp:lastModifiedBy>
  <cp:revision>2</cp:revision>
  <dcterms:created xsi:type="dcterms:W3CDTF">2020-01-11T12:09:00Z</dcterms:created>
  <dcterms:modified xsi:type="dcterms:W3CDTF">2020-01-11T12:09:00Z</dcterms:modified>
</cp:coreProperties>
</file>