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4A0" w:rsidRPr="00A23203" w:rsidRDefault="00F234A0" w:rsidP="00F234A0">
      <w:pPr>
        <w:spacing w:line="360" w:lineRule="auto"/>
        <w:jc w:val="center"/>
        <w:rPr>
          <w:rFonts w:cs="Arial"/>
          <w:b/>
        </w:rPr>
      </w:pPr>
    </w:p>
    <w:p w:rsidR="00F234A0" w:rsidRPr="00A23203" w:rsidRDefault="00F234A0" w:rsidP="00F234A0">
      <w:pPr>
        <w:tabs>
          <w:tab w:val="left" w:pos="6480"/>
        </w:tabs>
        <w:ind w:left="6480"/>
        <w:rPr>
          <w:rFonts w:cs="Arial"/>
          <w:b/>
          <w:bCs/>
        </w:rPr>
      </w:pPr>
      <w:bookmarkStart w:id="0" w:name="_GoBack"/>
      <w:r w:rsidRPr="00A23203">
        <w:rPr>
          <w:rFonts w:cs="Arial"/>
          <w:b/>
          <w:bCs/>
          <w:u w:val="single"/>
        </w:rPr>
        <w:t xml:space="preserve">Appendix </w:t>
      </w:r>
      <w:bookmarkEnd w:id="0"/>
      <w:r w:rsidRPr="00A23203">
        <w:rPr>
          <w:rFonts w:cs="Arial"/>
          <w:b/>
          <w:bCs/>
          <w:u w:val="single"/>
        </w:rPr>
        <w:t>‘B’</w:t>
      </w:r>
    </w:p>
    <w:p w:rsidR="00F234A0" w:rsidRPr="00A23203" w:rsidRDefault="00F234A0" w:rsidP="00F234A0">
      <w:pPr>
        <w:tabs>
          <w:tab w:val="left" w:pos="6480"/>
        </w:tabs>
        <w:ind w:left="6480"/>
        <w:rPr>
          <w:rFonts w:cs="Arial"/>
          <w:bCs/>
          <w:sz w:val="22"/>
          <w:szCs w:val="22"/>
        </w:rPr>
      </w:pPr>
      <w:r w:rsidRPr="00A23203">
        <w:rPr>
          <w:rFonts w:cs="Arial"/>
          <w:b/>
          <w:bCs/>
        </w:rPr>
        <w:t xml:space="preserve">{Ref to para 2 of Sec </w:t>
      </w:r>
      <w:proofErr w:type="gramStart"/>
      <w:r w:rsidRPr="00A23203">
        <w:rPr>
          <w:rFonts w:cs="Arial"/>
          <w:b/>
          <w:bCs/>
        </w:rPr>
        <w:t>3 }</w:t>
      </w:r>
      <w:proofErr w:type="gramEnd"/>
    </w:p>
    <w:p w:rsidR="00F234A0" w:rsidRPr="00A23203" w:rsidRDefault="00F234A0" w:rsidP="00F234A0">
      <w:pPr>
        <w:jc w:val="right"/>
        <w:rPr>
          <w:rFonts w:cs="Arial"/>
          <w:b/>
          <w:bCs/>
          <w:u w:val="single"/>
        </w:rPr>
      </w:pPr>
    </w:p>
    <w:p w:rsidR="00F234A0" w:rsidRPr="00A23203" w:rsidRDefault="00F234A0" w:rsidP="00F234A0">
      <w:pPr>
        <w:spacing w:line="360" w:lineRule="auto"/>
        <w:ind w:left="1440"/>
        <w:jc w:val="center"/>
        <w:rPr>
          <w:rFonts w:cs="Arial"/>
          <w:b/>
          <w:bCs/>
          <w:u w:val="single"/>
        </w:rPr>
      </w:pPr>
      <w:r w:rsidRPr="00A23203">
        <w:rPr>
          <w:rFonts w:cs="Arial"/>
          <w:b/>
          <w:bCs/>
          <w:u w:val="single"/>
        </w:rPr>
        <w:t xml:space="preserve">C OF </w:t>
      </w:r>
      <w:proofErr w:type="gramStart"/>
      <w:r w:rsidRPr="00A23203">
        <w:rPr>
          <w:rFonts w:cs="Arial"/>
          <w:b/>
          <w:bCs/>
          <w:u w:val="single"/>
        </w:rPr>
        <w:t>I :</w:t>
      </w:r>
      <w:proofErr w:type="gramEnd"/>
      <w:r w:rsidRPr="00A23203">
        <w:rPr>
          <w:rFonts w:cs="Arial"/>
          <w:b/>
          <w:bCs/>
          <w:u w:val="single"/>
        </w:rPr>
        <w:t xml:space="preserve"> WHEN MANDATORY</w:t>
      </w:r>
    </w:p>
    <w:p w:rsidR="00F234A0" w:rsidRPr="00A23203" w:rsidRDefault="00F234A0" w:rsidP="00F234A0">
      <w:pPr>
        <w:spacing w:line="360" w:lineRule="auto"/>
        <w:ind w:left="1440"/>
        <w:rPr>
          <w:rFonts w:cs="Arial"/>
        </w:rPr>
      </w:pP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AWL/OSL beyond 30 days    </w:t>
      </w:r>
      <w:proofErr w:type="gramStart"/>
      <w:r w:rsidRPr="00A23203">
        <w:rPr>
          <w:rFonts w:cs="Arial"/>
          <w:bCs/>
        </w:rPr>
        <w:tab/>
        <w:t xml:space="preserve">  -</w:t>
      </w:r>
      <w:proofErr w:type="gramEnd"/>
      <w:r w:rsidRPr="00A23203">
        <w:rPr>
          <w:rFonts w:cs="Arial"/>
          <w:bCs/>
        </w:rPr>
        <w:tab/>
        <w:t>AA Sec 106 AR 183.</w:t>
      </w: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POW </w:t>
      </w:r>
      <w:r w:rsidRPr="00A23203">
        <w:rPr>
          <w:rFonts w:cs="Arial"/>
          <w:bCs/>
        </w:rPr>
        <w:tab/>
        <w:t xml:space="preserve">    </w:t>
      </w:r>
      <w:r w:rsidRPr="00A23203">
        <w:rPr>
          <w:rFonts w:cs="Arial"/>
          <w:bCs/>
        </w:rPr>
        <w:tab/>
        <w:t xml:space="preserve"> </w:t>
      </w:r>
      <w:r w:rsidRPr="00A23203">
        <w:rPr>
          <w:rFonts w:cs="Arial"/>
          <w:bCs/>
        </w:rPr>
        <w:tab/>
        <w:t xml:space="preserve">     </w:t>
      </w:r>
      <w:r w:rsidRPr="00A23203">
        <w:rPr>
          <w:rFonts w:cs="Arial"/>
          <w:bCs/>
        </w:rPr>
        <w:tab/>
      </w:r>
      <w:proofErr w:type="gramStart"/>
      <w:r w:rsidRPr="00A23203">
        <w:rPr>
          <w:rFonts w:cs="Arial"/>
          <w:bCs/>
        </w:rPr>
        <w:tab/>
        <w:t xml:space="preserve">  -</w:t>
      </w:r>
      <w:proofErr w:type="gramEnd"/>
      <w:r w:rsidRPr="00A23203">
        <w:rPr>
          <w:rFonts w:cs="Arial"/>
          <w:bCs/>
        </w:rPr>
        <w:t xml:space="preserve"> </w:t>
      </w:r>
      <w:r w:rsidRPr="00A23203">
        <w:rPr>
          <w:rFonts w:cs="Arial"/>
          <w:bCs/>
        </w:rPr>
        <w:tab/>
        <w:t>ARs 178, 181 and RA 524.</w:t>
      </w: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Collective Fine </w:t>
      </w:r>
      <w:r w:rsidRPr="00A23203">
        <w:rPr>
          <w:rFonts w:cs="Arial"/>
          <w:bCs/>
        </w:rPr>
        <w:tab/>
        <w:t xml:space="preserve"> </w:t>
      </w:r>
      <w:r w:rsidRPr="00A23203">
        <w:rPr>
          <w:rFonts w:cs="Arial"/>
          <w:bCs/>
        </w:rPr>
        <w:tab/>
        <w:t xml:space="preserve"> </w:t>
      </w:r>
      <w:proofErr w:type="gramStart"/>
      <w:r w:rsidRPr="00A23203">
        <w:rPr>
          <w:rFonts w:cs="Arial"/>
          <w:bCs/>
        </w:rPr>
        <w:tab/>
        <w:t xml:space="preserve">  -</w:t>
      </w:r>
      <w:proofErr w:type="gramEnd"/>
      <w:r w:rsidRPr="00A23203">
        <w:rPr>
          <w:rFonts w:cs="Arial"/>
          <w:bCs/>
        </w:rPr>
        <w:t xml:space="preserve"> </w:t>
      </w:r>
      <w:r w:rsidRPr="00A23203">
        <w:rPr>
          <w:rFonts w:cs="Arial"/>
          <w:bCs/>
        </w:rPr>
        <w:tab/>
        <w:t xml:space="preserve">AA Sec 89 r/w ARs 185, 186. </w:t>
      </w: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Cases of Financial Irregularities     -        RA Para 519</w:t>
      </w: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Fatal/Grievous injuries to Mil </w:t>
      </w:r>
      <w:proofErr w:type="gramStart"/>
      <w:r w:rsidRPr="00A23203">
        <w:rPr>
          <w:rFonts w:cs="Arial"/>
          <w:bCs/>
        </w:rPr>
        <w:t>Pers  -</w:t>
      </w:r>
      <w:proofErr w:type="gramEnd"/>
      <w:r w:rsidRPr="00A23203">
        <w:rPr>
          <w:rFonts w:cs="Arial"/>
          <w:bCs/>
        </w:rPr>
        <w:tab/>
        <w:t>RA Para 520</w:t>
      </w: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Injury </w:t>
      </w:r>
      <w:proofErr w:type="gramStart"/>
      <w:r w:rsidRPr="00A23203">
        <w:rPr>
          <w:rFonts w:cs="Arial"/>
          <w:bCs/>
        </w:rPr>
        <w:t>to  Civilians</w:t>
      </w:r>
      <w:proofErr w:type="gramEnd"/>
      <w:r w:rsidRPr="00A23203">
        <w:rPr>
          <w:rFonts w:cs="Arial"/>
          <w:bCs/>
        </w:rPr>
        <w:t xml:space="preserve">              </w:t>
      </w:r>
      <w:r w:rsidRPr="00A23203">
        <w:rPr>
          <w:rFonts w:cs="Arial"/>
          <w:bCs/>
        </w:rPr>
        <w:tab/>
        <w:t xml:space="preserve">    </w:t>
      </w:r>
      <w:r w:rsidRPr="00A23203">
        <w:rPr>
          <w:rFonts w:cs="Arial"/>
          <w:bCs/>
        </w:rPr>
        <w:tab/>
        <w:t xml:space="preserve">  -</w:t>
      </w:r>
      <w:r w:rsidRPr="00A23203">
        <w:rPr>
          <w:rFonts w:cs="Arial"/>
          <w:bCs/>
        </w:rPr>
        <w:tab/>
        <w:t>RA Para 521</w:t>
      </w: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Assault and Affray </w:t>
      </w:r>
      <w:r w:rsidRPr="00A23203">
        <w:rPr>
          <w:rFonts w:cs="Arial"/>
          <w:bCs/>
        </w:rPr>
        <w:tab/>
        <w:t xml:space="preserve"> </w:t>
      </w:r>
      <w:proofErr w:type="gramStart"/>
      <w:r w:rsidRPr="00A23203">
        <w:rPr>
          <w:rFonts w:cs="Arial"/>
          <w:bCs/>
        </w:rPr>
        <w:tab/>
        <w:t xml:space="preserve">  </w:t>
      </w:r>
      <w:r w:rsidRPr="00A23203">
        <w:rPr>
          <w:rFonts w:cs="Arial"/>
          <w:bCs/>
        </w:rPr>
        <w:tab/>
      </w:r>
      <w:proofErr w:type="gramEnd"/>
      <w:r w:rsidRPr="00A23203">
        <w:rPr>
          <w:rFonts w:cs="Arial"/>
          <w:bCs/>
        </w:rPr>
        <w:t xml:space="preserve">  -</w:t>
      </w:r>
      <w:r w:rsidRPr="00A23203">
        <w:rPr>
          <w:rFonts w:cs="Arial"/>
          <w:bCs/>
        </w:rPr>
        <w:tab/>
        <w:t>RA Para 522</w:t>
      </w:r>
    </w:p>
    <w:p w:rsidR="00F234A0" w:rsidRPr="00A23203" w:rsidRDefault="00F234A0" w:rsidP="00F234A0">
      <w:pPr>
        <w:numPr>
          <w:ilvl w:val="0"/>
          <w:numId w:val="1"/>
        </w:numPr>
        <w:tabs>
          <w:tab w:val="clear" w:pos="360"/>
        </w:tabs>
        <w:spacing w:line="360" w:lineRule="auto"/>
        <w:rPr>
          <w:rFonts w:cs="Arial"/>
          <w:bCs/>
        </w:rPr>
      </w:pPr>
      <w:r w:rsidRPr="00A23203">
        <w:rPr>
          <w:rFonts w:cs="Arial"/>
          <w:bCs/>
        </w:rPr>
        <w:t xml:space="preserve">     Unnatural Death </w:t>
      </w:r>
      <w:r w:rsidRPr="00A23203">
        <w:rPr>
          <w:rFonts w:cs="Arial"/>
          <w:bCs/>
        </w:rPr>
        <w:tab/>
        <w:t xml:space="preserve"> </w:t>
      </w:r>
      <w:r w:rsidRPr="00A23203">
        <w:rPr>
          <w:rFonts w:cs="Arial"/>
          <w:bCs/>
        </w:rPr>
        <w:tab/>
      </w:r>
      <w:proofErr w:type="gramStart"/>
      <w:r w:rsidRPr="00A23203">
        <w:rPr>
          <w:rFonts w:cs="Arial"/>
          <w:bCs/>
        </w:rPr>
        <w:tab/>
        <w:t xml:space="preserve">  -</w:t>
      </w:r>
      <w:proofErr w:type="gramEnd"/>
      <w:r w:rsidRPr="00A23203">
        <w:rPr>
          <w:rFonts w:cs="Arial"/>
          <w:bCs/>
        </w:rPr>
        <w:tab/>
        <w:t xml:space="preserve">RA Para 522 </w:t>
      </w:r>
    </w:p>
    <w:p w:rsidR="00F234A0" w:rsidRPr="00A23203" w:rsidRDefault="00F234A0" w:rsidP="00F234A0">
      <w:pPr>
        <w:numPr>
          <w:ilvl w:val="0"/>
          <w:numId w:val="1"/>
        </w:numPr>
        <w:spacing w:line="360" w:lineRule="auto"/>
        <w:rPr>
          <w:rFonts w:cs="Arial"/>
          <w:bCs/>
        </w:rPr>
      </w:pPr>
      <w:r w:rsidRPr="00A23203">
        <w:rPr>
          <w:rFonts w:cs="Arial"/>
          <w:bCs/>
        </w:rPr>
        <w:t xml:space="preserve">     Breaches of Discipline </w:t>
      </w:r>
      <w:r w:rsidRPr="00A23203">
        <w:rPr>
          <w:rFonts w:cs="Arial"/>
          <w:bCs/>
        </w:rPr>
        <w:tab/>
      </w:r>
      <w:proofErr w:type="gramStart"/>
      <w:r w:rsidRPr="00A23203">
        <w:rPr>
          <w:rFonts w:cs="Arial"/>
          <w:bCs/>
        </w:rPr>
        <w:tab/>
        <w:t xml:space="preserve">  -</w:t>
      </w:r>
      <w:proofErr w:type="gramEnd"/>
      <w:r w:rsidRPr="00A23203">
        <w:rPr>
          <w:rFonts w:cs="Arial"/>
          <w:bCs/>
        </w:rPr>
        <w:tab/>
        <w:t>RA Para 522</w:t>
      </w:r>
    </w:p>
    <w:p w:rsidR="00F234A0" w:rsidRPr="00A23203" w:rsidRDefault="00F234A0" w:rsidP="00F234A0">
      <w:pPr>
        <w:rPr>
          <w:rFonts w:cs="Arial"/>
          <w:bCs/>
        </w:rPr>
      </w:pPr>
      <w:r w:rsidRPr="00A23203">
        <w:rPr>
          <w:rFonts w:cs="Arial"/>
          <w:bCs/>
        </w:rPr>
        <w:t xml:space="preserve">          (a)  Collective Insubordination.</w:t>
      </w:r>
    </w:p>
    <w:p w:rsidR="00F234A0" w:rsidRPr="00A23203" w:rsidRDefault="00F234A0" w:rsidP="00F234A0">
      <w:pPr>
        <w:rPr>
          <w:rFonts w:cs="Arial"/>
          <w:bCs/>
        </w:rPr>
      </w:pPr>
      <w:r w:rsidRPr="00A23203">
        <w:rPr>
          <w:rFonts w:cs="Arial"/>
          <w:bCs/>
        </w:rPr>
        <w:t xml:space="preserve">          (b)  MT accidents resulting in death/</w:t>
      </w:r>
    </w:p>
    <w:p w:rsidR="00F234A0" w:rsidRPr="00A23203" w:rsidRDefault="00F234A0" w:rsidP="00F234A0">
      <w:pPr>
        <w:rPr>
          <w:rFonts w:cs="Arial"/>
          <w:bCs/>
        </w:rPr>
      </w:pPr>
      <w:r w:rsidRPr="00A23203">
        <w:rPr>
          <w:rFonts w:cs="Arial"/>
          <w:bCs/>
        </w:rPr>
        <w:t xml:space="preserve">                serious injury.</w:t>
      </w:r>
    </w:p>
    <w:p w:rsidR="00F234A0" w:rsidRPr="00A23203" w:rsidRDefault="00F234A0" w:rsidP="00F234A0">
      <w:pPr>
        <w:numPr>
          <w:ilvl w:val="0"/>
          <w:numId w:val="2"/>
        </w:numPr>
        <w:rPr>
          <w:rFonts w:cs="Arial"/>
          <w:bCs/>
        </w:rPr>
      </w:pPr>
      <w:r w:rsidRPr="00A23203">
        <w:rPr>
          <w:rFonts w:cs="Arial"/>
          <w:bCs/>
        </w:rPr>
        <w:t>Suicide, attempted or suspected</w:t>
      </w:r>
    </w:p>
    <w:p w:rsidR="00F234A0" w:rsidRPr="00A23203" w:rsidRDefault="00F234A0" w:rsidP="00F234A0">
      <w:pPr>
        <w:ind w:left="1065"/>
        <w:rPr>
          <w:rFonts w:cs="Arial"/>
          <w:bCs/>
        </w:rPr>
      </w:pPr>
      <w:r w:rsidRPr="00A23203">
        <w:rPr>
          <w:rFonts w:cs="Arial"/>
          <w:bCs/>
        </w:rPr>
        <w:t xml:space="preserve">suicide. </w:t>
      </w:r>
    </w:p>
    <w:p w:rsidR="00F234A0" w:rsidRPr="00A23203" w:rsidRDefault="00F234A0" w:rsidP="00F234A0">
      <w:pPr>
        <w:numPr>
          <w:ilvl w:val="0"/>
          <w:numId w:val="2"/>
        </w:numPr>
        <w:ind w:right="5249"/>
        <w:jc w:val="both"/>
        <w:rPr>
          <w:rFonts w:cs="Arial"/>
          <w:bCs/>
        </w:rPr>
      </w:pPr>
      <w:r w:rsidRPr="00A23203">
        <w:rPr>
          <w:rFonts w:cs="Arial"/>
          <w:bCs/>
        </w:rPr>
        <w:t>Murder and rape, only when the offence has been committed against a person subject to the Army Act, Navy Act or Air Force Act, or in any of the circumstances mentioned in classes (a), (b) and (c) of Section 70 of the Army Act.</w:t>
      </w:r>
    </w:p>
    <w:p w:rsidR="00F234A0" w:rsidRPr="00A23203" w:rsidRDefault="00F234A0" w:rsidP="00F234A0">
      <w:pPr>
        <w:ind w:left="660"/>
        <w:rPr>
          <w:rFonts w:cs="Arial"/>
          <w:bCs/>
        </w:rPr>
      </w:pPr>
    </w:p>
    <w:p w:rsidR="00F234A0" w:rsidRPr="00A23203" w:rsidRDefault="00F234A0" w:rsidP="00F234A0">
      <w:pPr>
        <w:numPr>
          <w:ilvl w:val="0"/>
          <w:numId w:val="1"/>
        </w:numPr>
        <w:spacing w:line="360" w:lineRule="auto"/>
        <w:rPr>
          <w:rFonts w:cs="Arial"/>
          <w:bCs/>
        </w:rPr>
      </w:pPr>
      <w:r w:rsidRPr="00A23203">
        <w:rPr>
          <w:rFonts w:cs="Arial"/>
          <w:bCs/>
        </w:rPr>
        <w:t xml:space="preserve">     Loss of Secret and Conf </w:t>
      </w:r>
      <w:proofErr w:type="spellStart"/>
      <w:r w:rsidRPr="00A23203">
        <w:rPr>
          <w:rFonts w:cs="Arial"/>
          <w:bCs/>
        </w:rPr>
        <w:t>Docus</w:t>
      </w:r>
      <w:proofErr w:type="spellEnd"/>
      <w:proofErr w:type="gramStart"/>
      <w:r w:rsidRPr="00A23203">
        <w:rPr>
          <w:rFonts w:cs="Arial"/>
          <w:bCs/>
        </w:rPr>
        <w:tab/>
        <w:t xml:space="preserve">  -</w:t>
      </w:r>
      <w:proofErr w:type="gramEnd"/>
      <w:r w:rsidRPr="00A23203">
        <w:rPr>
          <w:rFonts w:cs="Arial"/>
          <w:bCs/>
        </w:rPr>
        <w:t xml:space="preserve">        RA Para 525</w:t>
      </w:r>
    </w:p>
    <w:p w:rsidR="00F234A0" w:rsidRPr="00A23203" w:rsidRDefault="00F234A0" w:rsidP="00F234A0">
      <w:pPr>
        <w:numPr>
          <w:ilvl w:val="0"/>
          <w:numId w:val="1"/>
        </w:numPr>
        <w:spacing w:line="360" w:lineRule="auto"/>
        <w:rPr>
          <w:rFonts w:cs="Arial"/>
          <w:bCs/>
        </w:rPr>
      </w:pPr>
      <w:r w:rsidRPr="00A23203">
        <w:rPr>
          <w:rFonts w:cs="Arial"/>
          <w:bCs/>
        </w:rPr>
        <w:t xml:space="preserve">     Loss of I-Card </w:t>
      </w:r>
      <w:r w:rsidRPr="00A23203">
        <w:rPr>
          <w:rFonts w:cs="Arial"/>
          <w:bCs/>
        </w:rPr>
        <w:tab/>
      </w:r>
      <w:r w:rsidRPr="00A23203">
        <w:rPr>
          <w:rFonts w:cs="Arial"/>
          <w:bCs/>
        </w:rPr>
        <w:tab/>
      </w:r>
      <w:proofErr w:type="gramStart"/>
      <w:r w:rsidRPr="00A23203">
        <w:rPr>
          <w:rFonts w:cs="Arial"/>
          <w:bCs/>
        </w:rPr>
        <w:tab/>
        <w:t xml:space="preserve">  -</w:t>
      </w:r>
      <w:proofErr w:type="gramEnd"/>
      <w:r w:rsidRPr="00A23203">
        <w:rPr>
          <w:rFonts w:cs="Arial"/>
          <w:bCs/>
        </w:rPr>
        <w:tab/>
        <w:t>SAO – 12/2000</w:t>
      </w:r>
    </w:p>
    <w:p w:rsidR="00F234A0" w:rsidRPr="00A23203" w:rsidRDefault="00F234A0" w:rsidP="00F234A0">
      <w:pPr>
        <w:numPr>
          <w:ilvl w:val="0"/>
          <w:numId w:val="1"/>
        </w:numPr>
        <w:spacing w:line="360" w:lineRule="auto"/>
        <w:rPr>
          <w:rFonts w:cs="Arial"/>
          <w:bCs/>
        </w:rPr>
      </w:pPr>
      <w:r w:rsidRPr="00A23203">
        <w:rPr>
          <w:rFonts w:cs="Arial"/>
          <w:bCs/>
        </w:rPr>
        <w:t xml:space="preserve">     Death of Animal </w:t>
      </w:r>
      <w:r w:rsidRPr="00A23203">
        <w:rPr>
          <w:rFonts w:cs="Arial"/>
          <w:bCs/>
        </w:rPr>
        <w:tab/>
      </w:r>
      <w:r w:rsidRPr="00A23203">
        <w:rPr>
          <w:rFonts w:cs="Arial"/>
          <w:bCs/>
        </w:rPr>
        <w:tab/>
      </w:r>
      <w:proofErr w:type="gramStart"/>
      <w:r w:rsidRPr="00A23203">
        <w:rPr>
          <w:rFonts w:cs="Arial"/>
          <w:bCs/>
        </w:rPr>
        <w:tab/>
        <w:t xml:space="preserve">  -</w:t>
      </w:r>
      <w:proofErr w:type="gramEnd"/>
      <w:r w:rsidRPr="00A23203">
        <w:rPr>
          <w:rFonts w:cs="Arial"/>
          <w:bCs/>
        </w:rPr>
        <w:t xml:space="preserve">     </w:t>
      </w:r>
      <w:r w:rsidRPr="00A23203">
        <w:rPr>
          <w:rFonts w:cs="Arial"/>
          <w:bCs/>
        </w:rPr>
        <w:tab/>
        <w:t>RA Para 957</w:t>
      </w:r>
    </w:p>
    <w:p w:rsidR="00F234A0" w:rsidRPr="00A23203" w:rsidRDefault="00F234A0" w:rsidP="00F234A0">
      <w:pPr>
        <w:numPr>
          <w:ilvl w:val="0"/>
          <w:numId w:val="1"/>
        </w:numPr>
        <w:spacing w:line="360" w:lineRule="auto"/>
        <w:rPr>
          <w:rFonts w:cs="Arial"/>
          <w:bCs/>
        </w:rPr>
      </w:pPr>
      <w:r w:rsidRPr="00A23203">
        <w:rPr>
          <w:rFonts w:cs="Arial"/>
          <w:bCs/>
        </w:rPr>
        <w:t xml:space="preserve">     Destruction by Fire </w:t>
      </w:r>
      <w:r w:rsidRPr="00A23203">
        <w:rPr>
          <w:rFonts w:cs="Arial"/>
          <w:bCs/>
        </w:rPr>
        <w:tab/>
      </w:r>
      <w:proofErr w:type="gramStart"/>
      <w:r w:rsidRPr="00A23203">
        <w:rPr>
          <w:rFonts w:cs="Arial"/>
          <w:bCs/>
        </w:rPr>
        <w:tab/>
        <w:t xml:space="preserve">  </w:t>
      </w:r>
      <w:r w:rsidRPr="00A23203">
        <w:rPr>
          <w:rFonts w:cs="Arial"/>
          <w:bCs/>
        </w:rPr>
        <w:tab/>
      </w:r>
      <w:proofErr w:type="gramEnd"/>
      <w:r w:rsidRPr="00A23203">
        <w:rPr>
          <w:rFonts w:cs="Arial"/>
          <w:bCs/>
        </w:rPr>
        <w:t xml:space="preserve">  -</w:t>
      </w:r>
      <w:r w:rsidRPr="00A23203">
        <w:rPr>
          <w:rFonts w:cs="Arial"/>
          <w:bCs/>
        </w:rPr>
        <w:tab/>
        <w:t>RA Para 435, 1195</w:t>
      </w:r>
    </w:p>
    <w:p w:rsidR="00F234A0" w:rsidRPr="00A23203" w:rsidRDefault="00F234A0" w:rsidP="00F234A0">
      <w:pPr>
        <w:numPr>
          <w:ilvl w:val="0"/>
          <w:numId w:val="1"/>
        </w:numPr>
        <w:spacing w:line="360" w:lineRule="auto"/>
        <w:rPr>
          <w:rFonts w:cs="Arial"/>
          <w:bCs/>
        </w:rPr>
      </w:pPr>
      <w:r w:rsidRPr="00A23203">
        <w:rPr>
          <w:rFonts w:cs="Arial"/>
          <w:bCs/>
        </w:rPr>
        <w:t xml:space="preserve">     Loss of Stores and Public Money </w:t>
      </w:r>
      <w:proofErr w:type="gramStart"/>
      <w:r w:rsidRPr="00A23203">
        <w:rPr>
          <w:rFonts w:cs="Arial"/>
          <w:bCs/>
        </w:rPr>
        <w:tab/>
        <w:t xml:space="preserve">  -</w:t>
      </w:r>
      <w:proofErr w:type="gramEnd"/>
      <w:r w:rsidRPr="00A23203">
        <w:rPr>
          <w:rFonts w:cs="Arial"/>
          <w:bCs/>
        </w:rPr>
        <w:t xml:space="preserve">  </w:t>
      </w:r>
      <w:r w:rsidRPr="00A23203">
        <w:rPr>
          <w:rFonts w:cs="Arial"/>
          <w:bCs/>
        </w:rPr>
        <w:tab/>
        <w:t>RA Para 903</w:t>
      </w:r>
    </w:p>
    <w:p w:rsidR="00F234A0" w:rsidRPr="00A23203" w:rsidRDefault="00F234A0" w:rsidP="00F234A0">
      <w:pPr>
        <w:numPr>
          <w:ilvl w:val="0"/>
          <w:numId w:val="1"/>
        </w:numPr>
        <w:rPr>
          <w:rFonts w:cs="Arial"/>
          <w:bCs/>
        </w:rPr>
      </w:pPr>
      <w:r w:rsidRPr="00A23203">
        <w:rPr>
          <w:rFonts w:cs="Arial"/>
          <w:bCs/>
        </w:rPr>
        <w:t xml:space="preserve">     Losses and recovery of </w:t>
      </w:r>
      <w:proofErr w:type="gramStart"/>
      <w:r w:rsidRPr="00A23203">
        <w:rPr>
          <w:rFonts w:cs="Arial"/>
          <w:bCs/>
        </w:rPr>
        <w:t xml:space="preserve">Arms,   </w:t>
      </w:r>
      <w:proofErr w:type="gramEnd"/>
      <w:r w:rsidRPr="00A23203">
        <w:rPr>
          <w:rFonts w:cs="Arial"/>
          <w:bCs/>
        </w:rPr>
        <w:t xml:space="preserve">      -       RA Para 602</w:t>
      </w:r>
    </w:p>
    <w:p w:rsidR="00F234A0" w:rsidRPr="00A23203" w:rsidRDefault="00F234A0" w:rsidP="00F234A0">
      <w:pPr>
        <w:spacing w:line="360" w:lineRule="auto"/>
        <w:rPr>
          <w:rFonts w:cs="Arial"/>
          <w:bCs/>
        </w:rPr>
      </w:pPr>
      <w:r w:rsidRPr="00A23203">
        <w:rPr>
          <w:rFonts w:cs="Arial"/>
          <w:bCs/>
        </w:rPr>
        <w:t xml:space="preserve">          Ammunition and Explosives  </w:t>
      </w:r>
    </w:p>
    <w:p w:rsidR="00F234A0" w:rsidRPr="00A23203" w:rsidRDefault="00F234A0" w:rsidP="00F234A0">
      <w:pPr>
        <w:numPr>
          <w:ilvl w:val="0"/>
          <w:numId w:val="1"/>
        </w:numPr>
        <w:spacing w:line="360" w:lineRule="auto"/>
        <w:rPr>
          <w:rFonts w:cs="Arial"/>
          <w:bCs/>
        </w:rPr>
      </w:pPr>
      <w:r w:rsidRPr="00A23203">
        <w:rPr>
          <w:rFonts w:cs="Arial"/>
          <w:bCs/>
        </w:rPr>
        <w:t xml:space="preserve">     </w:t>
      </w:r>
      <w:proofErr w:type="gramStart"/>
      <w:r w:rsidRPr="00A23203">
        <w:rPr>
          <w:rFonts w:cs="Arial"/>
          <w:bCs/>
        </w:rPr>
        <w:t>Explosions  and</w:t>
      </w:r>
      <w:proofErr w:type="gramEnd"/>
      <w:r w:rsidRPr="00A23203">
        <w:rPr>
          <w:rFonts w:cs="Arial"/>
          <w:bCs/>
        </w:rPr>
        <w:t xml:space="preserve"> Accidents </w:t>
      </w:r>
      <w:r w:rsidRPr="00A23203">
        <w:rPr>
          <w:rFonts w:cs="Arial"/>
          <w:bCs/>
        </w:rPr>
        <w:tab/>
        <w:t xml:space="preserve">  </w:t>
      </w:r>
      <w:r w:rsidRPr="00A23203">
        <w:rPr>
          <w:rFonts w:cs="Arial"/>
          <w:bCs/>
        </w:rPr>
        <w:tab/>
        <w:t xml:space="preserve">  -</w:t>
      </w:r>
      <w:r w:rsidRPr="00A23203">
        <w:rPr>
          <w:rFonts w:cs="Arial"/>
          <w:bCs/>
        </w:rPr>
        <w:tab/>
        <w:t xml:space="preserve">RA Para 603 </w:t>
      </w:r>
    </w:p>
    <w:p w:rsidR="003D0A7D" w:rsidRPr="00F234A0" w:rsidRDefault="00F234A0" w:rsidP="00F234A0">
      <w:pPr>
        <w:numPr>
          <w:ilvl w:val="0"/>
          <w:numId w:val="1"/>
        </w:numPr>
        <w:spacing w:line="360" w:lineRule="auto"/>
        <w:rPr>
          <w:rFonts w:cs="Arial"/>
          <w:bCs/>
        </w:rPr>
      </w:pPr>
      <w:r w:rsidRPr="00A23203">
        <w:rPr>
          <w:rFonts w:cs="Arial"/>
          <w:bCs/>
        </w:rPr>
        <w:t xml:space="preserve">     Loss of </w:t>
      </w:r>
      <w:proofErr w:type="spellStart"/>
      <w:r w:rsidRPr="00A23203">
        <w:rPr>
          <w:rFonts w:cs="Arial"/>
          <w:bCs/>
        </w:rPr>
        <w:t>Docus</w:t>
      </w:r>
      <w:proofErr w:type="spellEnd"/>
      <w:r w:rsidRPr="00A23203">
        <w:rPr>
          <w:rFonts w:cs="Arial"/>
          <w:bCs/>
        </w:rPr>
        <w:t xml:space="preserve"> of JCOs/WOs </w:t>
      </w:r>
      <w:proofErr w:type="spellStart"/>
      <w:r w:rsidRPr="00A23203">
        <w:rPr>
          <w:rFonts w:cs="Arial"/>
          <w:bCs/>
        </w:rPr>
        <w:t>andOR</w:t>
      </w:r>
      <w:proofErr w:type="spellEnd"/>
      <w:r w:rsidRPr="00A23203">
        <w:rPr>
          <w:rFonts w:cs="Arial"/>
          <w:bCs/>
        </w:rPr>
        <w:t xml:space="preserve"> -     RA Para 623</w:t>
      </w:r>
    </w:p>
    <w:sectPr w:rsidR="003D0A7D" w:rsidRPr="00F2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54079"/>
    <w:multiLevelType w:val="hybridMultilevel"/>
    <w:tmpl w:val="83B41910"/>
    <w:lvl w:ilvl="0" w:tplc="0046D81E">
      <w:start w:val="3"/>
      <w:numFmt w:val="lowerLetter"/>
      <w:lvlText w:val="(%1)"/>
      <w:lvlJc w:val="left"/>
      <w:pPr>
        <w:tabs>
          <w:tab w:val="num" w:pos="1065"/>
        </w:tabs>
        <w:ind w:left="1065" w:hanging="405"/>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 w15:restartNumberingAfterBreak="0">
    <w:nsid w:val="60E20ABE"/>
    <w:multiLevelType w:val="hybridMultilevel"/>
    <w:tmpl w:val="9C06208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A0"/>
    <w:rsid w:val="003D0A7D"/>
    <w:rsid w:val="00F23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4860"/>
  <w15:chartTrackingRefBased/>
  <w15:docId w15:val="{142E6212-4984-4126-BB6D-2CD7EBCF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4A0"/>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2020-01-11T11:36:00Z</dcterms:created>
  <dcterms:modified xsi:type="dcterms:W3CDTF">2020-01-11T11:36:00Z</dcterms:modified>
</cp:coreProperties>
</file>