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F7E87">
      <w:pPr>
        <w:jc w:val="center"/>
      </w:pPr>
      <w:r>
        <w:rPr>
          <w:b/>
          <w:sz w:val="36"/>
        </w:rPr>
        <w:t>KNOWX: A Hybrid Retrieval-Augmented Generation Framework for Enterprise Knowledge Management</w:t>
      </w:r>
    </w:p>
    <w:p w14:paraId="2772AA97">
      <w:pPr>
        <w:jc w:val="center"/>
      </w:pPr>
      <w:r>
        <w:rPr>
          <w:b/>
          <w:sz w:val="24"/>
        </w:rPr>
        <w:t>ROUGH RESEARCH PAPER DRAFT</w:t>
      </w:r>
    </w:p>
    <w:p w14:paraId="7E5E059F">
      <w:pPr>
        <w:jc w:val="center"/>
      </w:pPr>
      <w:r>
        <w:rPr>
          <w:b/>
          <w:sz w:val="28"/>
        </w:rPr>
        <w:t>TEAM MEMBERS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41E1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34F50359">
            <w:pPr>
              <w:spacing w:line="240" w:lineRule="auto"/>
            </w:pPr>
            <w:r>
              <w:t>S.No.</w:t>
            </w:r>
          </w:p>
        </w:tc>
        <w:tc>
          <w:tcPr>
            <w:tcW w:w="3264" w:type="dxa"/>
          </w:tcPr>
          <w:p w14:paraId="6EDFFC65">
            <w:pPr>
              <w:spacing w:line="240" w:lineRule="auto"/>
            </w:pPr>
            <w:r>
              <w:t>Roll Number</w:t>
            </w:r>
          </w:p>
        </w:tc>
        <w:tc>
          <w:tcPr>
            <w:tcW w:w="3264" w:type="dxa"/>
          </w:tcPr>
          <w:p w14:paraId="43B5F1D5">
            <w:pPr>
              <w:spacing w:line="240" w:lineRule="auto"/>
            </w:pPr>
            <w:r>
              <w:t>Student</w:t>
            </w:r>
          </w:p>
        </w:tc>
      </w:tr>
      <w:tr w14:paraId="5119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577F45E0">
            <w:pPr>
              <w:spacing w:line="240" w:lineRule="auto"/>
            </w:pPr>
            <w:r>
              <w:t>1.</w:t>
            </w:r>
          </w:p>
        </w:tc>
        <w:tc>
          <w:tcPr>
            <w:tcW w:w="3264" w:type="dxa"/>
          </w:tcPr>
          <w:p w14:paraId="32E3943C">
            <w:pPr>
              <w:spacing w:line="240" w:lineRule="auto"/>
            </w:pPr>
            <w:r>
              <w:t>2420080029</w:t>
            </w:r>
          </w:p>
        </w:tc>
        <w:tc>
          <w:tcPr>
            <w:tcW w:w="3264" w:type="dxa"/>
          </w:tcPr>
          <w:p w14:paraId="06D7A80F">
            <w:pPr>
              <w:spacing w:line="240" w:lineRule="auto"/>
            </w:pPr>
            <w:r>
              <w:t>Battula Manaswini</w:t>
            </w:r>
          </w:p>
        </w:tc>
      </w:tr>
      <w:tr w14:paraId="0DCE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496DD0AD">
            <w:pPr>
              <w:spacing w:line="240" w:lineRule="auto"/>
            </w:pPr>
            <w:r>
              <w:t>2.</w:t>
            </w:r>
          </w:p>
        </w:tc>
        <w:tc>
          <w:tcPr>
            <w:tcW w:w="3264" w:type="dxa"/>
          </w:tcPr>
          <w:p w14:paraId="556A8232">
            <w:pPr>
              <w:spacing w:line="240" w:lineRule="auto"/>
            </w:pPr>
            <w:r>
              <w:t>2420080069</w:t>
            </w:r>
          </w:p>
        </w:tc>
        <w:tc>
          <w:tcPr>
            <w:tcW w:w="3264" w:type="dxa"/>
          </w:tcPr>
          <w:p w14:paraId="56397BFB">
            <w:pPr>
              <w:spacing w:line="240" w:lineRule="auto"/>
            </w:pPr>
            <w:r>
              <w:t>Gandikota Babitha</w:t>
            </w:r>
          </w:p>
        </w:tc>
      </w:tr>
      <w:tr w14:paraId="1B8A4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04292E1F">
            <w:pPr>
              <w:spacing w:line="240" w:lineRule="auto"/>
            </w:pPr>
            <w:r>
              <w:t>3.</w:t>
            </w:r>
          </w:p>
        </w:tc>
        <w:tc>
          <w:tcPr>
            <w:tcW w:w="3264" w:type="dxa"/>
          </w:tcPr>
          <w:p w14:paraId="65490E29">
            <w:pPr>
              <w:spacing w:line="240" w:lineRule="auto"/>
            </w:pPr>
            <w:r>
              <w:t>2420030564</w:t>
            </w:r>
          </w:p>
        </w:tc>
        <w:tc>
          <w:tcPr>
            <w:tcW w:w="3264" w:type="dxa"/>
          </w:tcPr>
          <w:p w14:paraId="138B73EB">
            <w:pPr>
              <w:spacing w:line="240" w:lineRule="auto"/>
            </w:pPr>
            <w:r>
              <w:t>Gaddam Rohan</w:t>
            </w:r>
          </w:p>
        </w:tc>
      </w:tr>
      <w:tr w14:paraId="2C1E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Pr>
          <w:p w14:paraId="7E65E6BD">
            <w:pPr>
              <w:spacing w:line="240" w:lineRule="auto"/>
            </w:pPr>
            <w:r>
              <w:t>4.</w:t>
            </w:r>
          </w:p>
        </w:tc>
        <w:tc>
          <w:tcPr>
            <w:tcW w:w="3264" w:type="dxa"/>
          </w:tcPr>
          <w:p w14:paraId="393B852A">
            <w:pPr>
              <w:spacing w:line="240" w:lineRule="auto"/>
            </w:pPr>
            <w:r>
              <w:t>2420030383</w:t>
            </w:r>
          </w:p>
        </w:tc>
        <w:tc>
          <w:tcPr>
            <w:tcW w:w="3264" w:type="dxa"/>
          </w:tcPr>
          <w:p w14:paraId="43C15BF2">
            <w:pPr>
              <w:spacing w:line="240" w:lineRule="auto"/>
            </w:pPr>
            <w:r>
              <w:t>Adithya Ram</w:t>
            </w:r>
          </w:p>
        </w:tc>
      </w:tr>
    </w:tbl>
    <w:p w14:paraId="65B974A9">
      <w:pPr>
        <w:jc w:val="center"/>
      </w:pPr>
      <w:r>
        <w:t>Department of Artificial Intelligence and Data Science</w:t>
      </w:r>
      <w:r>
        <w:rPr>
          <w:rFonts w:hint="default"/>
          <w:lang w:val="en-US"/>
        </w:rPr>
        <w:t xml:space="preserve"> and Computer Science</w:t>
      </w:r>
      <w:r>
        <w:br w:type="textWrapping"/>
      </w:r>
      <w:r>
        <w:t>[</w:t>
      </w:r>
      <w:r>
        <w:rPr>
          <w:rFonts w:hint="default"/>
          <w:lang w:val="en-US"/>
        </w:rPr>
        <w:t>kL UNIVERSITY</w:t>
      </w:r>
      <w:r>
        <w:t>], India</w:t>
      </w:r>
    </w:p>
    <w:p w14:paraId="4B6D5458">
      <w:pPr>
        <w:pStyle w:val="2"/>
      </w:pPr>
      <w:r>
        <w:t>Abstract</w:t>
      </w:r>
    </w:p>
    <w:p w14:paraId="231BC7BB">
      <w:r>
        <w:t>Enterprise organizations generate large volumes of information through annual reports, financial documents, sustainability reports, presentations, technical documents, and other knowledge resources. Although large language models can generate natural-language responses, relying only on model parameters can result in outdated information, unsupported statements, and limited source traceability. Retrieval-Augmented Generation (RAG) addresses this limitation by retrieving relevant information from an external knowledge source before generating an answer. Enterprise document collections introduce additional challenges because relevant information may be expressed using either exact terminology or semantically related language, while duplicate and noisy passages can affect retrieval quality.</w:t>
      </w:r>
    </w:p>
    <w:p w14:paraId="71E62D67">
      <w:r>
        <w:t>This paper presents KNOWX, a hybrid retrieval-augmented generation framework designed for enterprise knowledge management. KNOWX combines dense semantic retrieval using Sentence Transformers and FAISS with lexical retrieval using BM25. The outputs of the two retrieval mechanisms are combined using Reciprocal Rank Fusion (RRF), followed by cross-encoder reranking. The selected context is then provided to a Llama 3 8B language model for grounded answer generation. Document and organization metadata are preserved to support source-aware responses and organization-level knowledge separation.</w:t>
      </w:r>
    </w:p>
    <w:p w14:paraId="3EBB6DA6">
      <w:r>
        <w:t>The current prototype contains 9 processed enterprise documents, approximately 5,000,829 extracted characters, and 6,256 indexed chunks from Microsoft, Infosys, and NVIDIA. Final precision, recall, F1-score, accuracy, faithfulness, and latency results will be inserted after controlled experiments. No performance values are fabricated in this draft.</w:t>
      </w:r>
    </w:p>
    <w:p w14:paraId="344514DC">
      <w:pPr>
        <w:pStyle w:val="2"/>
      </w:pPr>
      <w:r>
        <w:t>1. Introduction</w:t>
      </w:r>
    </w:p>
    <w:p w14:paraId="2D19F72E">
      <w:r>
        <w:t>Organizations increasingly depend on large collections of digital documents to store operational, financial, technical, and strategic information. Annual reports, sustainability reports, internal documentation, presentations, policy documents, and technical records contain information that employees may need to retrieve quickly. Conventional keyword-based search can identify documents containing specific terms, but it may fail when users express questions using terminology that differs from the source documents.</w:t>
      </w:r>
    </w:p>
    <w:p w14:paraId="5629CBE1">
      <w:r>
        <w:t>Large language models provide a natural interface for asking questions about organizational knowledge. However, a model without access to an external knowledge source depends strongly on information encoded during training. This is problematic when information is domain-specific, frequently updated, or absent from the model's training data.</w:t>
      </w:r>
    </w:p>
    <w:p w14:paraId="67842013">
      <w:r>
        <w:t>RAG connects language generation with external knowledge. A query is used to retrieve relevant passages, and those passages are supplied to a language model as context. KNOWX extends this idea for enterprise documents by combining semantic and lexical retrieval, rank fusion, reranking, and grounded generation.</w:t>
      </w:r>
    </w:p>
    <w:p w14:paraId="6AB38FF2">
      <w:r>
        <w:t>The main contributions of KNOWX are: (1) a hybrid enterprise retrieval pipeline; (2) semantic retrieval using Sentence Transformers and FAISS; (3) lexical retrieval using BM25; (4) Reciprocal Rank Fusion and cross-encoder reranking; (5) source-aware grounded generation; (6) organization-level retrieval filtering; and (7) an evaluation design covering retrieval, answer quality, faithfulness, and latency.</w:t>
      </w:r>
    </w:p>
    <w:p w14:paraId="606B3DF3">
      <w:pPr>
        <w:pStyle w:val="2"/>
      </w:pPr>
      <w:r>
        <w:t>2. Problem Statement</w:t>
      </w:r>
    </w:p>
    <w:p w14:paraId="69C5F088">
      <w:r>
        <w:t>Enterprise knowledge is distributed across documents with different structures, terminology, and levels of detail. A user may ask a question using natural language while the answer exists in a document using different wording. Purely lexical retrieval may miss semantically related passages, while semantic retrieval can underemphasize exact terms, names, identifiers, and numerical expressions. KNOWX therefore investigates how complementary retrieval methods can be combined with reranking and grounded generation for enterprise question answering while preserving source traceability and organization-level knowledge separation.</w:t>
      </w:r>
    </w:p>
    <w:p w14:paraId="7C158E32">
      <w:pPr>
        <w:pStyle w:val="2"/>
      </w:pPr>
      <w:r>
        <w:t>3. Research Objectives</w:t>
      </w:r>
    </w:p>
    <w:p w14:paraId="26F71CB5">
      <w:pPr>
        <w:pStyle w:val="29"/>
      </w:pPr>
      <w:r>
        <w:t>Develop an ingestion and structure-preserving chunking pipeline for heterogeneous enterprise documents.</w:t>
      </w:r>
    </w:p>
    <w:p w14:paraId="61E0505D">
      <w:pPr>
        <w:pStyle w:val="29"/>
      </w:pPr>
      <w:r>
        <w:t>Implement semantic retrieval using Sentence Transformers and FAISS.</w:t>
      </w:r>
    </w:p>
    <w:p w14:paraId="38E78011">
      <w:pPr>
        <w:pStyle w:val="29"/>
      </w:pPr>
      <w:r>
        <w:t>Implement lexical retrieval using BM25.</w:t>
      </w:r>
    </w:p>
    <w:p w14:paraId="311A1C09">
      <w:pPr>
        <w:pStyle w:val="29"/>
      </w:pPr>
      <w:r>
        <w:t>Combine semantic and lexical retrieval using Reciprocal Rank Fusion and improve candidate ordering using reranking.</w:t>
      </w:r>
    </w:p>
    <w:p w14:paraId="0D840A10">
      <w:pPr>
        <w:pStyle w:val="29"/>
      </w:pPr>
      <w:r>
        <w:t>Generate grounded responses using Llama 3 8B and retrieved enterprise context.</w:t>
      </w:r>
    </w:p>
    <w:p w14:paraId="2C3CC882">
      <w:pPr>
        <w:pStyle w:val="29"/>
      </w:pPr>
      <w:r>
        <w:t>Preserve document and chunk metadata for source traceability.</w:t>
      </w:r>
    </w:p>
    <w:p w14:paraId="0885E277">
      <w:pPr>
        <w:pStyle w:val="29"/>
      </w:pPr>
      <w:r>
        <w:t>Evaluate KNOWX against appropriate baseline configurations.</w:t>
      </w:r>
    </w:p>
    <w:p w14:paraId="432071C1">
      <w:pPr>
        <w:pStyle w:val="29"/>
      </w:pPr>
      <w:r>
        <w:t>Analyze precision, recall, F1-score, accuracy, relevance, faithfulness, latency, and retrieval efficiency.</w:t>
      </w:r>
    </w:p>
    <w:p w14:paraId="17EA2124">
      <w:pPr>
        <w:pStyle w:val="2"/>
      </w:pPr>
      <w:r>
        <w:t>4. Related Work</w:t>
      </w:r>
    </w:p>
    <w:p w14:paraId="4D016A18">
      <w:pPr>
        <w:pStyle w:val="3"/>
      </w:pPr>
      <w:r>
        <w:t>4.1 Retrieval-Augmented Generation</w:t>
      </w:r>
    </w:p>
    <w:p w14:paraId="18DE9067">
      <w:r>
        <w:t>Lewis et al. introduced Retrieval-Augmented Generation as a framework combining a parametric language model with a non-parametric memory accessed through retrieval. This provides the foundation for using external evidence during generation.</w:t>
      </w:r>
    </w:p>
    <w:p w14:paraId="4AFEE7BC">
      <w:pPr>
        <w:pStyle w:val="3"/>
      </w:pPr>
      <w:r>
        <w:t>4.2 Dense Retrieval</w:t>
      </w:r>
    </w:p>
    <w:p w14:paraId="15CAE4E1">
      <w:r>
        <w:t>Dense retrieval represents queries and passages as vectors and retrieves semantically related passages. It is useful when the wording of a query differs from the wording of the source.</w:t>
      </w:r>
    </w:p>
    <w:p w14:paraId="47D42E1A">
      <w:pPr>
        <w:pStyle w:val="3"/>
      </w:pPr>
      <w:r>
        <w:t>4.3 Enterprise RAG</w:t>
      </w:r>
    </w:p>
    <w:p w14:paraId="2194153F">
      <w:r>
        <w:t>Recent enterprise-oriented RAG research emphasizes heterogeneous corporate knowledge, including financial reports, technical information, and other organization-specific content. This motivates enterprise-specific retrieval and evaluation.</w:t>
      </w:r>
    </w:p>
    <w:p w14:paraId="2920D2B8">
      <w:pPr>
        <w:pStyle w:val="3"/>
      </w:pPr>
      <w:r>
        <w:t>4.4 Hybrid Retrieval and Reranking</w:t>
      </w:r>
    </w:p>
    <w:p w14:paraId="168A1579">
      <w:r>
        <w:t>Hybrid retrieval combines complementary signals. BM25 emphasizes lexical overlap, while dense retrieval captures semantic similarity. RRF can combine their rankings, and a cross-encoder can subsequently assess query-passage relevance more deeply.</w:t>
      </w:r>
    </w:p>
    <w:p w14:paraId="38210745">
      <w:pPr>
        <w:pStyle w:val="3"/>
      </w:pPr>
      <w:r>
        <w:t>4.5 RAG Evaluation</w:t>
      </w:r>
    </w:p>
    <w:p w14:paraId="784A4C40">
      <w:r>
        <w:t>RAG evaluation should consider more than fluency. Retrieval quality, answer relevance, and faithfulness to retrieved evidence are important dimensions for evaluating grounded question answering.</w:t>
      </w:r>
    </w:p>
    <w:p w14:paraId="638C4FEC">
      <w:pPr>
        <w:pStyle w:val="2"/>
      </w:pPr>
      <w:r>
        <w:t>5. Research Gap</w:t>
      </w:r>
    </w:p>
    <w:p w14:paraId="0E2FD2E9">
      <w:pPr>
        <w:pStyle w:val="23"/>
      </w:pPr>
      <w:r>
        <w:t>Enterprise document heterogeneity: enterprise collections contain different formats, structures, terminology, repeated content, and versions.</w:t>
      </w:r>
    </w:p>
    <w:p w14:paraId="3F93A932">
      <w:pPr>
        <w:pStyle w:val="23"/>
      </w:pPr>
      <w:r>
        <w:t>Complementary retrieval signals: semantic and lexical retrieval capture different forms of relevance.</w:t>
      </w:r>
    </w:p>
    <w:p w14:paraId="2E548BDF">
      <w:pPr>
        <w:pStyle w:val="23"/>
      </w:pPr>
      <w:r>
        <w:t>Candidate ranking: initial retrieval can return noisy or duplicate passages, motivating reranking.</w:t>
      </w:r>
    </w:p>
    <w:p w14:paraId="04C98860">
      <w:pPr>
        <w:pStyle w:val="23"/>
      </w:pPr>
      <w:r>
        <w:t>Source traceability: enterprise users may need to verify where information originated.</w:t>
      </w:r>
    </w:p>
    <w:p w14:paraId="4B403EBD">
      <w:pPr>
        <w:pStyle w:val="23"/>
      </w:pPr>
      <w:r>
        <w:t>Organization-level knowledge separation: retrieval should be constrained to the relevant organization's knowledge.</w:t>
      </w:r>
    </w:p>
    <w:p w14:paraId="04CA76C6">
      <w:pPr>
        <w:pStyle w:val="23"/>
      </w:pPr>
      <w:r>
        <w:t>Joint evaluation: a complete RAG evaluation should consider retrieval, answer quality, faithfulness, and computational cost.</w:t>
      </w:r>
    </w:p>
    <w:p w14:paraId="75E44FC0">
      <w:pPr>
        <w:pStyle w:val="2"/>
      </w:pPr>
      <w:r>
        <w:t>6. Proposed KNOWX Framework</w:t>
      </w:r>
    </w:p>
    <w:p w14:paraId="7D64D59D">
      <w:r>
        <w:t>The KNOWX workflow is: Enterprise Documents → Ingestion → Chunking → Semantic Retrieval (FAISS) + Lexical Retrieval (BM25) → Reciprocal Rank Fusion → Cross-Encoder Reranking → Retrieved Context → Llama 3 8B → Grounded Answer + Sources.</w:t>
      </w:r>
    </w:p>
    <w:p w14:paraId="7ABB63E0">
      <w:r>
        <w:t>The design separates fast candidate retrieval from more expensive relevance scoring. Semantic and BM25 retrieval generate candidates, RRF combines their rankings, and the cross-encoder selects the strongest evidence before generation.</w:t>
      </w:r>
    </w:p>
    <w:p w14:paraId="07B51D38">
      <w:pPr>
        <w:pStyle w:val="2"/>
      </w:pPr>
      <w:r>
        <w:t>7. System Implementation</w:t>
      </w:r>
    </w:p>
    <w:p w14:paraId="4C1FD753">
      <w:pPr>
        <w:pStyle w:val="3"/>
      </w:pPr>
      <w:r>
        <w:t>7.1 Document Ingestion and Chunking</w:t>
      </w:r>
    </w:p>
    <w:p w14:paraId="33E8EEC6">
      <w:r>
        <w:t>The current prototype processes enterprise reports from Microsoft, Infosys, and NVIDIA. The ingestion stage extracts text and stores metadata including organization, filename, file type, and chunk information. The current corpus contains 9 documents and approximately 5,000,829 extracted characters.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203D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01B8262">
            <w:pPr>
              <w:spacing w:line="240" w:lineRule="auto"/>
            </w:pPr>
            <w:r>
              <w:t>Organization</w:t>
            </w:r>
          </w:p>
        </w:tc>
        <w:tc>
          <w:tcPr>
            <w:tcW w:w="4896" w:type="dxa"/>
          </w:tcPr>
          <w:p w14:paraId="104C3D1B">
            <w:pPr>
              <w:spacing w:line="240" w:lineRule="auto"/>
            </w:pPr>
            <w:r>
              <w:t>Indexed Chunks</w:t>
            </w:r>
          </w:p>
        </w:tc>
      </w:tr>
      <w:tr w14:paraId="16FD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2F2AAD5">
            <w:pPr>
              <w:spacing w:line="240" w:lineRule="auto"/>
            </w:pPr>
            <w:r>
              <w:t>Infosys</w:t>
            </w:r>
          </w:p>
        </w:tc>
        <w:tc>
          <w:tcPr>
            <w:tcW w:w="4896" w:type="dxa"/>
          </w:tcPr>
          <w:p w14:paraId="3A32B7BE">
            <w:pPr>
              <w:spacing w:line="240" w:lineRule="auto"/>
            </w:pPr>
            <w:r>
              <w:t>2,910</w:t>
            </w:r>
          </w:p>
        </w:tc>
      </w:tr>
      <w:tr w14:paraId="32CB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67AB2C7">
            <w:pPr>
              <w:spacing w:line="240" w:lineRule="auto"/>
            </w:pPr>
            <w:r>
              <w:t>Microsoft</w:t>
            </w:r>
          </w:p>
        </w:tc>
        <w:tc>
          <w:tcPr>
            <w:tcW w:w="4896" w:type="dxa"/>
          </w:tcPr>
          <w:p w14:paraId="39489E55">
            <w:pPr>
              <w:spacing w:line="240" w:lineRule="auto"/>
            </w:pPr>
            <w:r>
              <w:t>893</w:t>
            </w:r>
          </w:p>
        </w:tc>
      </w:tr>
      <w:tr w14:paraId="73C5A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5F6E4B2">
            <w:pPr>
              <w:spacing w:line="240" w:lineRule="auto"/>
            </w:pPr>
            <w:r>
              <w:t>NVIDIA</w:t>
            </w:r>
          </w:p>
        </w:tc>
        <w:tc>
          <w:tcPr>
            <w:tcW w:w="4896" w:type="dxa"/>
          </w:tcPr>
          <w:p w14:paraId="6B56E30D">
            <w:pPr>
              <w:spacing w:line="240" w:lineRule="auto"/>
            </w:pPr>
            <w:r>
              <w:t>2,453</w:t>
            </w:r>
          </w:p>
        </w:tc>
      </w:tr>
      <w:tr w14:paraId="5CDA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5EFE8682">
            <w:pPr>
              <w:spacing w:line="240" w:lineRule="auto"/>
            </w:pPr>
            <w:r>
              <w:t>Total</w:t>
            </w:r>
          </w:p>
        </w:tc>
        <w:tc>
          <w:tcPr>
            <w:tcW w:w="4896" w:type="dxa"/>
          </w:tcPr>
          <w:p w14:paraId="24237EF2">
            <w:pPr>
              <w:spacing w:line="240" w:lineRule="auto"/>
            </w:pPr>
            <w:r>
              <w:t>6,256</w:t>
            </w:r>
          </w:p>
        </w:tc>
      </w:tr>
    </w:tbl>
    <w:p w14:paraId="56891441">
      <w:pPr>
        <w:pStyle w:val="3"/>
      </w:pPr>
      <w:r>
        <w:t>7.2 Semantic Retrieval</w:t>
      </w:r>
    </w:p>
    <w:p w14:paraId="27E4ED95">
      <w:r>
        <w:t>KNOWX uses the all-MiniLM-L6-v2 Sentence Transformer. The current semantic embeddings have 384 dimensions and are stored in a FAISS index containing 6,256 vectors.</w:t>
      </w:r>
    </w:p>
    <w:p w14:paraId="1CACB1C8">
      <w:pPr>
        <w:pStyle w:val="3"/>
      </w:pPr>
      <w:r>
        <w:t>7.3 Lexical Retrieval</w:t>
      </w:r>
    </w:p>
    <w:p w14:paraId="318C8ABC">
      <w:r>
        <w:t>BM25 retrieves passages according to lexical evidence and complements dense retrieval by emphasizing exact terms and expressions.</w:t>
      </w:r>
    </w:p>
    <w:p w14:paraId="7CC411C9">
      <w:pPr>
        <w:pStyle w:val="3"/>
      </w:pPr>
      <w:r>
        <w:t>7.4 Reciprocal Rank Fusion</w:t>
      </w:r>
    </w:p>
    <w:p w14:paraId="15932E58">
      <w:r>
        <w:t>For a document d, the RRF score is calculated as RRF(d) = Σ 1/(k + rank(d)), summed across retrieval rankings. The fused ranking provides a unified candidate set.</w:t>
      </w:r>
    </w:p>
    <w:p w14:paraId="7A2819B6">
      <w:pPr>
        <w:pStyle w:val="3"/>
      </w:pPr>
      <w:r>
        <w:t>7.5 Cross-Encoder Reranking</w:t>
      </w:r>
    </w:p>
    <w:p w14:paraId="337FC942">
      <w:r>
        <w:t>The current reranker is cross-encoder/ms-marco-MiniLM-L-6-v2. Query-passage pairs are scored jointly and candidates are sorted by relevance.</w:t>
      </w:r>
    </w:p>
    <w:p w14:paraId="7627B94E">
      <w:pPr>
        <w:pStyle w:val="3"/>
      </w:pPr>
      <w:r>
        <w:t>7.6 Grounded Generation</w:t>
      </w:r>
    </w:p>
    <w:p w14:paraId="4501B230">
      <w:r>
        <w:t>The selected context is provided to Llama 3 8B. The generation instructions require the model to use the supplied enterprise context, avoid unsupported facts, and state when the documents do not provide sufficient information.</w:t>
      </w:r>
    </w:p>
    <w:p w14:paraId="218991BE">
      <w:pPr>
        <w:pStyle w:val="3"/>
      </w:pPr>
      <w:r>
        <w:t>7.7 Organization-Level Retrieval</w:t>
      </w:r>
    </w:p>
    <w:p w14:paraId="175C8571">
      <w:r>
        <w:t>The prototype supports Microsoft, Infosys, and NVIDIA as separate knowledge collections. Retrieval is filtered by organization before final context construction. This is a prototype tenant-filtering mechanism, not production authentication; production deployment should use verified identity and server-side authorization.</w:t>
      </w:r>
    </w:p>
    <w:p w14:paraId="612B7530">
      <w:pPr>
        <w:pStyle w:val="2"/>
      </w:pPr>
      <w:r>
        <w:t>8. Experimental Setup</w:t>
      </w:r>
    </w:p>
    <w:p w14:paraId="3A7F4FB1">
      <w:r>
        <w:t>The evaluation will use a manually curated question set covering factual, numerical, comparative, paraphrased, source-specific, and intentionally unanswerable questions. Each question will be associated with its organization and expected evidence or answer.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96"/>
        <w:gridCol w:w="4896"/>
      </w:tblGrid>
      <w:tr w14:paraId="49D3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72E030C">
            <w:pPr>
              <w:spacing w:line="240" w:lineRule="auto"/>
            </w:pPr>
            <w:r>
              <w:t>Component</w:t>
            </w:r>
          </w:p>
        </w:tc>
        <w:tc>
          <w:tcPr>
            <w:tcW w:w="4896" w:type="dxa"/>
          </w:tcPr>
          <w:p w14:paraId="1D0720CD">
            <w:pPr>
              <w:spacing w:line="240" w:lineRule="auto"/>
            </w:pPr>
            <w:r>
              <w:t>Current Configuration</w:t>
            </w:r>
          </w:p>
        </w:tc>
      </w:tr>
      <w:tr w14:paraId="474E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7A210C4">
            <w:pPr>
              <w:spacing w:line="240" w:lineRule="auto"/>
            </w:pPr>
            <w:r>
              <w:t>Embedding model</w:t>
            </w:r>
          </w:p>
        </w:tc>
        <w:tc>
          <w:tcPr>
            <w:tcW w:w="4896" w:type="dxa"/>
          </w:tcPr>
          <w:p w14:paraId="65468C63">
            <w:pPr>
              <w:spacing w:line="240" w:lineRule="auto"/>
            </w:pPr>
            <w:r>
              <w:t>all-MiniLM-L6-v2</w:t>
            </w:r>
          </w:p>
        </w:tc>
      </w:tr>
      <w:tr w14:paraId="1905E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D5E2B9A">
            <w:pPr>
              <w:spacing w:line="240" w:lineRule="auto"/>
            </w:pPr>
            <w:r>
              <w:t>Vector index</w:t>
            </w:r>
          </w:p>
        </w:tc>
        <w:tc>
          <w:tcPr>
            <w:tcW w:w="4896" w:type="dxa"/>
          </w:tcPr>
          <w:p w14:paraId="5A903C97">
            <w:pPr>
              <w:spacing w:line="240" w:lineRule="auto"/>
            </w:pPr>
            <w:r>
              <w:t>FAISS</w:t>
            </w:r>
          </w:p>
        </w:tc>
      </w:tr>
      <w:tr w14:paraId="4A0C2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74EAC76C">
            <w:pPr>
              <w:spacing w:line="240" w:lineRule="auto"/>
            </w:pPr>
            <w:r>
              <w:t>Embedding dimension</w:t>
            </w:r>
          </w:p>
        </w:tc>
        <w:tc>
          <w:tcPr>
            <w:tcW w:w="4896" w:type="dxa"/>
          </w:tcPr>
          <w:p w14:paraId="3BDA669F">
            <w:pPr>
              <w:spacing w:line="240" w:lineRule="auto"/>
            </w:pPr>
            <w:r>
              <w:t>384</w:t>
            </w:r>
          </w:p>
        </w:tc>
      </w:tr>
      <w:tr w14:paraId="0DB2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3D79211">
            <w:pPr>
              <w:spacing w:line="240" w:lineRule="auto"/>
            </w:pPr>
            <w:r>
              <w:t>Lexical retrieval</w:t>
            </w:r>
          </w:p>
        </w:tc>
        <w:tc>
          <w:tcPr>
            <w:tcW w:w="4896" w:type="dxa"/>
          </w:tcPr>
          <w:p w14:paraId="4A5785BE">
            <w:pPr>
              <w:spacing w:line="240" w:lineRule="auto"/>
            </w:pPr>
            <w:r>
              <w:t>BM25</w:t>
            </w:r>
          </w:p>
        </w:tc>
      </w:tr>
      <w:tr w14:paraId="4ACB0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3A52ECB4">
            <w:pPr>
              <w:spacing w:line="240" w:lineRule="auto"/>
            </w:pPr>
            <w:r>
              <w:t>Semantic candidates</w:t>
            </w:r>
          </w:p>
        </w:tc>
        <w:tc>
          <w:tcPr>
            <w:tcW w:w="4896" w:type="dxa"/>
          </w:tcPr>
          <w:p w14:paraId="0EC64EFF">
            <w:pPr>
              <w:spacing w:line="240" w:lineRule="auto"/>
            </w:pPr>
            <w:r>
              <w:t>10</w:t>
            </w:r>
          </w:p>
        </w:tc>
      </w:tr>
      <w:tr w14:paraId="1E26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6B986E7D">
            <w:pPr>
              <w:spacing w:line="240" w:lineRule="auto"/>
            </w:pPr>
            <w:r>
              <w:t>BM25 candidates</w:t>
            </w:r>
          </w:p>
        </w:tc>
        <w:tc>
          <w:tcPr>
            <w:tcW w:w="4896" w:type="dxa"/>
          </w:tcPr>
          <w:p w14:paraId="0E9A8B7A">
            <w:pPr>
              <w:spacing w:line="240" w:lineRule="auto"/>
            </w:pPr>
            <w:r>
              <w:t>10</w:t>
            </w:r>
          </w:p>
        </w:tc>
      </w:tr>
      <w:tr w14:paraId="3EE6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24477DF3">
            <w:pPr>
              <w:spacing w:line="240" w:lineRule="auto"/>
            </w:pPr>
            <w:r>
              <w:t>Fusion</w:t>
            </w:r>
          </w:p>
        </w:tc>
        <w:tc>
          <w:tcPr>
            <w:tcW w:w="4896" w:type="dxa"/>
          </w:tcPr>
          <w:p w14:paraId="46302910">
            <w:pPr>
              <w:spacing w:line="240" w:lineRule="auto"/>
            </w:pPr>
            <w:r>
              <w:t>Reciprocal Rank Fusion</w:t>
            </w:r>
          </w:p>
        </w:tc>
      </w:tr>
      <w:tr w14:paraId="2C72E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63E568E">
            <w:pPr>
              <w:spacing w:line="240" w:lineRule="auto"/>
            </w:pPr>
            <w:r>
              <w:t>Reranker</w:t>
            </w:r>
          </w:p>
        </w:tc>
        <w:tc>
          <w:tcPr>
            <w:tcW w:w="4896" w:type="dxa"/>
          </w:tcPr>
          <w:p w14:paraId="24096DEC">
            <w:pPr>
              <w:spacing w:line="240" w:lineRule="auto"/>
            </w:pPr>
            <w:r>
              <w:t>cross-encoder/ms-marco-MiniLM-L-6-v2</w:t>
            </w:r>
          </w:p>
        </w:tc>
      </w:tr>
      <w:tr w14:paraId="13C0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16C963C9">
            <w:pPr>
              <w:spacing w:line="240" w:lineRule="auto"/>
            </w:pPr>
            <w:r>
              <w:t>Final sources</w:t>
            </w:r>
          </w:p>
        </w:tc>
        <w:tc>
          <w:tcPr>
            <w:tcW w:w="4896" w:type="dxa"/>
          </w:tcPr>
          <w:p w14:paraId="3CC282E3">
            <w:pPr>
              <w:spacing w:line="240" w:lineRule="auto"/>
            </w:pPr>
            <w:r>
              <w:t>Top 5</w:t>
            </w:r>
          </w:p>
        </w:tc>
      </w:tr>
      <w:tr w14:paraId="7D952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96" w:type="dxa"/>
          </w:tcPr>
          <w:p w14:paraId="0CB84B2B">
            <w:pPr>
              <w:spacing w:line="240" w:lineRule="auto"/>
            </w:pPr>
            <w:r>
              <w:t>Generator</w:t>
            </w:r>
          </w:p>
        </w:tc>
        <w:tc>
          <w:tcPr>
            <w:tcW w:w="4896" w:type="dxa"/>
          </w:tcPr>
          <w:p w14:paraId="53C7F035">
            <w:pPr>
              <w:spacing w:line="240" w:lineRule="auto"/>
            </w:pPr>
            <w:r>
              <w:t>Llama 3 8B</w:t>
            </w:r>
          </w:p>
        </w:tc>
      </w:tr>
    </w:tbl>
    <w:p w14:paraId="2EA29B06">
      <w:pPr>
        <w:pStyle w:val="2"/>
      </w:pPr>
      <w:r>
        <w:t>9. Evaluation Metrics</w:t>
      </w:r>
    </w:p>
    <w:p w14:paraId="25E50F11">
      <w:r>
        <w:t>Precision = TP / (TP + FP)</w:t>
      </w:r>
    </w:p>
    <w:p w14:paraId="57E75F19">
      <w:r>
        <w:t>Recall = TP / (TP + FN)</w:t>
      </w:r>
    </w:p>
    <w:p w14:paraId="3B8BDAA7">
      <w:r>
        <w:t>F1 = 2 × (Precision × Recall) / (Precision + Recall)</w:t>
      </w:r>
    </w:p>
    <w:p w14:paraId="1880FF59">
      <w:r>
        <w:t>Accuracy = correctly answered questions / total evaluated questions. The exact definition and annotation procedure should be stated with the final test set.</w:t>
      </w:r>
    </w:p>
    <w:p w14:paraId="2FB929E5">
      <w:r>
        <w:t>Retrieval Recall@K, Mean Reciprocal Rank (MRR), answer relevance, faithfulness, and end-to-end response latency will also be measured.</w:t>
      </w:r>
    </w:p>
    <w:p w14:paraId="262F16BF">
      <w:pPr>
        <w:pStyle w:val="2"/>
      </w:pPr>
      <w:r>
        <w:t>10. Baseline Systems</w:t>
      </w:r>
    </w:p>
    <w:p w14:paraId="4B46985B">
      <w:pPr>
        <w:pStyle w:val="23"/>
      </w:pPr>
      <w:r>
        <w:t>BM25-only RAG: Query → BM25 → Context → Llama 3 8B.</w:t>
      </w:r>
    </w:p>
    <w:p w14:paraId="5278B55B">
      <w:pPr>
        <w:pStyle w:val="23"/>
      </w:pPr>
      <w:r>
        <w:t>Semantic-only RAG: Query → Sentence Transformer → FAISS → Context → Llama 3 8B.</w:t>
      </w:r>
    </w:p>
    <w:p w14:paraId="62F97CBB">
      <w:pPr>
        <w:pStyle w:val="23"/>
      </w:pPr>
      <w:r>
        <w:t>Hybrid RRF RAG without reranking: Query → FAISS + BM25 → RRF → Context → Llama 3 8B.</w:t>
      </w:r>
    </w:p>
    <w:p w14:paraId="2BD52845">
      <w:pPr>
        <w:pStyle w:val="23"/>
      </w:pPr>
      <w:r>
        <w:t>Proposed KNOWX: Query → FAISS + BM25 → RRF → Cross-Encoder → Context → Llama 3 8B.</w:t>
      </w:r>
    </w:p>
    <w:p w14:paraId="28587FC3">
      <w:pPr>
        <w:pStyle w:val="2"/>
      </w:pPr>
      <w:r>
        <w:t>11. Results</w:t>
      </w:r>
    </w:p>
    <w:p w14:paraId="65FC16D0">
      <w:r>
        <w:t>The numerical results will be inserted after the controlled evaluation is completed. Estimated or fabricated performance values should not be reported.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224"/>
        <w:gridCol w:w="1224"/>
        <w:gridCol w:w="1224"/>
        <w:gridCol w:w="1224"/>
        <w:gridCol w:w="1224"/>
        <w:gridCol w:w="1292"/>
        <w:gridCol w:w="1224"/>
      </w:tblGrid>
      <w:tr w14:paraId="0F2B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51C8E437">
            <w:pPr>
              <w:spacing w:line="240" w:lineRule="auto"/>
            </w:pPr>
            <w:r>
              <w:t>System</w:t>
            </w:r>
          </w:p>
        </w:tc>
        <w:tc>
          <w:tcPr>
            <w:tcW w:w="1224" w:type="dxa"/>
          </w:tcPr>
          <w:p w14:paraId="21A5FDE8">
            <w:pPr>
              <w:spacing w:line="240" w:lineRule="auto"/>
            </w:pPr>
            <w:r>
              <w:t>Precision</w:t>
            </w:r>
          </w:p>
        </w:tc>
        <w:tc>
          <w:tcPr>
            <w:tcW w:w="1224" w:type="dxa"/>
          </w:tcPr>
          <w:p w14:paraId="4D792B76">
            <w:pPr>
              <w:spacing w:line="240" w:lineRule="auto"/>
            </w:pPr>
            <w:r>
              <w:t>Recall</w:t>
            </w:r>
          </w:p>
        </w:tc>
        <w:tc>
          <w:tcPr>
            <w:tcW w:w="1224" w:type="dxa"/>
          </w:tcPr>
          <w:p w14:paraId="39556BB0">
            <w:pPr>
              <w:spacing w:line="240" w:lineRule="auto"/>
            </w:pPr>
            <w:r>
              <w:t>F1</w:t>
            </w:r>
          </w:p>
        </w:tc>
        <w:tc>
          <w:tcPr>
            <w:tcW w:w="1224" w:type="dxa"/>
          </w:tcPr>
          <w:p w14:paraId="6EC0BCAB">
            <w:pPr>
              <w:spacing w:line="240" w:lineRule="auto"/>
            </w:pPr>
            <w:r>
              <w:t>Recall@5</w:t>
            </w:r>
          </w:p>
        </w:tc>
        <w:tc>
          <w:tcPr>
            <w:tcW w:w="1224" w:type="dxa"/>
          </w:tcPr>
          <w:p w14:paraId="34DDB07B">
            <w:pPr>
              <w:spacing w:line="240" w:lineRule="auto"/>
            </w:pPr>
            <w:r>
              <w:t>MRR</w:t>
            </w:r>
          </w:p>
        </w:tc>
        <w:tc>
          <w:tcPr>
            <w:tcW w:w="1224" w:type="dxa"/>
          </w:tcPr>
          <w:p w14:paraId="711B0072">
            <w:pPr>
              <w:spacing w:line="240" w:lineRule="auto"/>
            </w:pPr>
            <w:r>
              <w:t>Faithfulness</w:t>
            </w:r>
          </w:p>
        </w:tc>
        <w:tc>
          <w:tcPr>
            <w:tcW w:w="1224" w:type="dxa"/>
          </w:tcPr>
          <w:p w14:paraId="1B5BBB24">
            <w:pPr>
              <w:spacing w:line="240" w:lineRule="auto"/>
            </w:pPr>
            <w:r>
              <w:t>Latency</w:t>
            </w:r>
          </w:p>
        </w:tc>
      </w:tr>
      <w:tr w14:paraId="3EA4B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3FF40937">
            <w:pPr>
              <w:spacing w:line="240" w:lineRule="auto"/>
            </w:pPr>
            <w:r>
              <w:t>BM25 RAG</w:t>
            </w:r>
          </w:p>
        </w:tc>
        <w:tc>
          <w:tcPr>
            <w:tcW w:w="1224" w:type="dxa"/>
          </w:tcPr>
          <w:p w14:paraId="08B5F948">
            <w:pPr>
              <w:spacing w:line="240" w:lineRule="auto"/>
            </w:pPr>
            <w:r>
              <w:t>TBD</w:t>
            </w:r>
          </w:p>
        </w:tc>
        <w:tc>
          <w:tcPr>
            <w:tcW w:w="1224" w:type="dxa"/>
          </w:tcPr>
          <w:p w14:paraId="60FE91B9">
            <w:pPr>
              <w:spacing w:line="240" w:lineRule="auto"/>
            </w:pPr>
            <w:r>
              <w:t>TBD</w:t>
            </w:r>
          </w:p>
        </w:tc>
        <w:tc>
          <w:tcPr>
            <w:tcW w:w="1224" w:type="dxa"/>
          </w:tcPr>
          <w:p w14:paraId="61109B67">
            <w:pPr>
              <w:spacing w:line="240" w:lineRule="auto"/>
            </w:pPr>
            <w:r>
              <w:t>TBD</w:t>
            </w:r>
          </w:p>
        </w:tc>
        <w:tc>
          <w:tcPr>
            <w:tcW w:w="1224" w:type="dxa"/>
          </w:tcPr>
          <w:p w14:paraId="73784886">
            <w:pPr>
              <w:spacing w:line="240" w:lineRule="auto"/>
            </w:pPr>
            <w:r>
              <w:t>TBD</w:t>
            </w:r>
          </w:p>
        </w:tc>
        <w:tc>
          <w:tcPr>
            <w:tcW w:w="1224" w:type="dxa"/>
          </w:tcPr>
          <w:p w14:paraId="5B51EEDD">
            <w:pPr>
              <w:spacing w:line="240" w:lineRule="auto"/>
            </w:pPr>
            <w:r>
              <w:t>TBD</w:t>
            </w:r>
          </w:p>
        </w:tc>
        <w:tc>
          <w:tcPr>
            <w:tcW w:w="1224" w:type="dxa"/>
          </w:tcPr>
          <w:p w14:paraId="2F65EF5B">
            <w:pPr>
              <w:spacing w:line="240" w:lineRule="auto"/>
            </w:pPr>
            <w:r>
              <w:t>TBD</w:t>
            </w:r>
          </w:p>
        </w:tc>
        <w:tc>
          <w:tcPr>
            <w:tcW w:w="1224" w:type="dxa"/>
          </w:tcPr>
          <w:p w14:paraId="78E8822B">
            <w:pPr>
              <w:spacing w:line="240" w:lineRule="auto"/>
            </w:pPr>
            <w:r>
              <w:t>TBD</w:t>
            </w:r>
          </w:p>
        </w:tc>
      </w:tr>
      <w:tr w14:paraId="55C4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2414F817">
            <w:pPr>
              <w:spacing w:line="240" w:lineRule="auto"/>
            </w:pPr>
            <w:r>
              <w:t>Semantic RAG</w:t>
            </w:r>
          </w:p>
        </w:tc>
        <w:tc>
          <w:tcPr>
            <w:tcW w:w="1224" w:type="dxa"/>
          </w:tcPr>
          <w:p w14:paraId="7B206ABC">
            <w:pPr>
              <w:spacing w:line="240" w:lineRule="auto"/>
            </w:pPr>
            <w:r>
              <w:t>TBD</w:t>
            </w:r>
          </w:p>
        </w:tc>
        <w:tc>
          <w:tcPr>
            <w:tcW w:w="1224" w:type="dxa"/>
          </w:tcPr>
          <w:p w14:paraId="5ED0E892">
            <w:pPr>
              <w:spacing w:line="240" w:lineRule="auto"/>
            </w:pPr>
            <w:r>
              <w:t>TBD</w:t>
            </w:r>
          </w:p>
        </w:tc>
        <w:tc>
          <w:tcPr>
            <w:tcW w:w="1224" w:type="dxa"/>
          </w:tcPr>
          <w:p w14:paraId="768085AC">
            <w:pPr>
              <w:spacing w:line="240" w:lineRule="auto"/>
            </w:pPr>
            <w:r>
              <w:t>TBD</w:t>
            </w:r>
          </w:p>
        </w:tc>
        <w:tc>
          <w:tcPr>
            <w:tcW w:w="1224" w:type="dxa"/>
          </w:tcPr>
          <w:p w14:paraId="09FBAA70">
            <w:pPr>
              <w:spacing w:line="240" w:lineRule="auto"/>
            </w:pPr>
            <w:r>
              <w:t>TBD</w:t>
            </w:r>
          </w:p>
        </w:tc>
        <w:tc>
          <w:tcPr>
            <w:tcW w:w="1224" w:type="dxa"/>
          </w:tcPr>
          <w:p w14:paraId="3FB06E19">
            <w:pPr>
              <w:spacing w:line="240" w:lineRule="auto"/>
            </w:pPr>
            <w:r>
              <w:t>TBD</w:t>
            </w:r>
          </w:p>
        </w:tc>
        <w:tc>
          <w:tcPr>
            <w:tcW w:w="1224" w:type="dxa"/>
          </w:tcPr>
          <w:p w14:paraId="6523AF07">
            <w:pPr>
              <w:spacing w:line="240" w:lineRule="auto"/>
            </w:pPr>
            <w:r>
              <w:t>TBD</w:t>
            </w:r>
          </w:p>
        </w:tc>
        <w:tc>
          <w:tcPr>
            <w:tcW w:w="1224" w:type="dxa"/>
          </w:tcPr>
          <w:p w14:paraId="5E7698E9">
            <w:pPr>
              <w:spacing w:line="240" w:lineRule="auto"/>
            </w:pPr>
            <w:r>
              <w:t>TBD</w:t>
            </w:r>
          </w:p>
        </w:tc>
      </w:tr>
      <w:tr w14:paraId="58F0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50D1D0D0">
            <w:pPr>
              <w:spacing w:line="240" w:lineRule="auto"/>
            </w:pPr>
            <w:r>
              <w:t>Hybrid RRF RAG</w:t>
            </w:r>
          </w:p>
        </w:tc>
        <w:tc>
          <w:tcPr>
            <w:tcW w:w="1224" w:type="dxa"/>
          </w:tcPr>
          <w:p w14:paraId="14446828">
            <w:pPr>
              <w:spacing w:line="240" w:lineRule="auto"/>
            </w:pPr>
            <w:r>
              <w:t>TBD</w:t>
            </w:r>
          </w:p>
        </w:tc>
        <w:tc>
          <w:tcPr>
            <w:tcW w:w="1224" w:type="dxa"/>
          </w:tcPr>
          <w:p w14:paraId="4451EC1B">
            <w:pPr>
              <w:spacing w:line="240" w:lineRule="auto"/>
            </w:pPr>
            <w:r>
              <w:t>TBD</w:t>
            </w:r>
          </w:p>
        </w:tc>
        <w:tc>
          <w:tcPr>
            <w:tcW w:w="1224" w:type="dxa"/>
          </w:tcPr>
          <w:p w14:paraId="5F2EE944">
            <w:pPr>
              <w:spacing w:line="240" w:lineRule="auto"/>
            </w:pPr>
            <w:r>
              <w:t>TBD</w:t>
            </w:r>
          </w:p>
        </w:tc>
        <w:tc>
          <w:tcPr>
            <w:tcW w:w="1224" w:type="dxa"/>
          </w:tcPr>
          <w:p w14:paraId="3F6C1CA4">
            <w:pPr>
              <w:spacing w:line="240" w:lineRule="auto"/>
            </w:pPr>
            <w:r>
              <w:t>TBD</w:t>
            </w:r>
          </w:p>
        </w:tc>
        <w:tc>
          <w:tcPr>
            <w:tcW w:w="1224" w:type="dxa"/>
          </w:tcPr>
          <w:p w14:paraId="63586964">
            <w:pPr>
              <w:spacing w:line="240" w:lineRule="auto"/>
            </w:pPr>
            <w:r>
              <w:t>TBD</w:t>
            </w:r>
          </w:p>
        </w:tc>
        <w:tc>
          <w:tcPr>
            <w:tcW w:w="1224" w:type="dxa"/>
          </w:tcPr>
          <w:p w14:paraId="45B36FAB">
            <w:pPr>
              <w:spacing w:line="240" w:lineRule="auto"/>
            </w:pPr>
            <w:r>
              <w:t>TBD</w:t>
            </w:r>
          </w:p>
        </w:tc>
        <w:tc>
          <w:tcPr>
            <w:tcW w:w="1224" w:type="dxa"/>
          </w:tcPr>
          <w:p w14:paraId="2D262625">
            <w:pPr>
              <w:spacing w:line="240" w:lineRule="auto"/>
            </w:pPr>
            <w:r>
              <w:t>TBD</w:t>
            </w:r>
          </w:p>
        </w:tc>
      </w:tr>
      <w:tr w14:paraId="2AD3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tcPr>
          <w:p w14:paraId="14CD959B">
            <w:pPr>
              <w:spacing w:line="240" w:lineRule="auto"/>
            </w:pPr>
            <w:r>
              <w:t>KNOWX</w:t>
            </w:r>
          </w:p>
        </w:tc>
        <w:tc>
          <w:tcPr>
            <w:tcW w:w="1224" w:type="dxa"/>
          </w:tcPr>
          <w:p w14:paraId="0980A553">
            <w:pPr>
              <w:spacing w:line="240" w:lineRule="auto"/>
            </w:pPr>
            <w:r>
              <w:t>TBD</w:t>
            </w:r>
          </w:p>
        </w:tc>
        <w:tc>
          <w:tcPr>
            <w:tcW w:w="1224" w:type="dxa"/>
          </w:tcPr>
          <w:p w14:paraId="351CAB81">
            <w:pPr>
              <w:spacing w:line="240" w:lineRule="auto"/>
            </w:pPr>
            <w:r>
              <w:t>TBD</w:t>
            </w:r>
          </w:p>
        </w:tc>
        <w:tc>
          <w:tcPr>
            <w:tcW w:w="1224" w:type="dxa"/>
          </w:tcPr>
          <w:p w14:paraId="01073850">
            <w:pPr>
              <w:spacing w:line="240" w:lineRule="auto"/>
            </w:pPr>
            <w:r>
              <w:t>TBD</w:t>
            </w:r>
          </w:p>
        </w:tc>
        <w:tc>
          <w:tcPr>
            <w:tcW w:w="1224" w:type="dxa"/>
          </w:tcPr>
          <w:p w14:paraId="27AD98B0">
            <w:pPr>
              <w:spacing w:line="240" w:lineRule="auto"/>
            </w:pPr>
            <w:r>
              <w:t>TBD</w:t>
            </w:r>
          </w:p>
        </w:tc>
        <w:tc>
          <w:tcPr>
            <w:tcW w:w="1224" w:type="dxa"/>
          </w:tcPr>
          <w:p w14:paraId="2D2F5ADA">
            <w:pPr>
              <w:spacing w:line="240" w:lineRule="auto"/>
            </w:pPr>
            <w:r>
              <w:t>TBD</w:t>
            </w:r>
          </w:p>
        </w:tc>
        <w:tc>
          <w:tcPr>
            <w:tcW w:w="1224" w:type="dxa"/>
          </w:tcPr>
          <w:p w14:paraId="18566722">
            <w:pPr>
              <w:spacing w:line="240" w:lineRule="auto"/>
            </w:pPr>
            <w:r>
              <w:t>TBD</w:t>
            </w:r>
          </w:p>
        </w:tc>
        <w:tc>
          <w:tcPr>
            <w:tcW w:w="1224" w:type="dxa"/>
          </w:tcPr>
          <w:p w14:paraId="2BF71D32">
            <w:pPr>
              <w:spacing w:line="240" w:lineRule="auto"/>
            </w:pPr>
            <w:r>
              <w:t>TBD</w:t>
            </w:r>
          </w:p>
        </w:tc>
      </w:tr>
    </w:tbl>
    <w:p w14:paraId="236097EB">
      <w:pPr>
        <w:pStyle w:val="2"/>
      </w:pPr>
      <w:r>
        <w:t>12. Qualitative Analysis</w:t>
      </w:r>
    </w:p>
    <w:p w14:paraId="780C0243">
      <w:r>
        <w:t>Representative cases should examine exact numerical questions, paraphrased questions, organization-specific questions, and unsupported questions. The analysis should verify whether retrieved passages contain the evidence required for the response and whether generated answers remain consistent with that evidence.</w:t>
      </w:r>
    </w:p>
    <w:p w14:paraId="6A8F7DD1">
      <w:pPr>
        <w:pStyle w:val="2"/>
      </w:pPr>
      <w:r>
        <w:t>13. Discussion</w:t>
      </w:r>
    </w:p>
    <w:p w14:paraId="6ED1C996">
      <w:r>
        <w:t>KNOWX combines complementary retrieval mechanisms and introduces reranking before generation. The intended benefit is improved evidence selection when lexical overlap and semantic similarity provide different signals. However, each additional stage introduces computational overhead, so the baseline comparison is necessary to determine the practical value of each component.</w:t>
      </w:r>
    </w:p>
    <w:p w14:paraId="66F85FE3">
      <w:r>
        <w:t>Source traceability and organization-level separation are also important in enterprise settings. The prototype retains document metadata and filters retrieval by organization. Production use would additionally require verified identity, authorization policies, auditing, and secure data handling.</w:t>
      </w:r>
    </w:p>
    <w:p w14:paraId="5FE50342">
      <w:pPr>
        <w:pStyle w:val="2"/>
      </w:pPr>
      <w:r>
        <w:t>14. Limitations</w:t>
      </w:r>
    </w:p>
    <w:p w14:paraId="188DCFF3">
      <w:pPr>
        <w:pStyle w:val="23"/>
      </w:pPr>
      <w:r>
        <w:t>The current corpus contains only nine documents and is smaller than a production enterprise repository.</w:t>
      </w:r>
    </w:p>
    <w:p w14:paraId="0CD7F979">
      <w:pPr>
        <w:pStyle w:val="23"/>
      </w:pPr>
      <w:r>
        <w:t>The current documents are concentrated on enterprise reports and related reporting material.</w:t>
      </w:r>
    </w:p>
    <w:p w14:paraId="5F9A067F">
      <w:pPr>
        <w:pStyle w:val="23"/>
      </w:pPr>
      <w:r>
        <w:t>The evaluation question set still needs to be finalized and expanded.</w:t>
      </w:r>
    </w:p>
    <w:p w14:paraId="1C6187F6">
      <w:pPr>
        <w:pStyle w:val="23"/>
      </w:pPr>
      <w:r>
        <w:t>CPU-based Llama 3 8B inference can have higher latency than optimized GPU deployment.</w:t>
      </w:r>
    </w:p>
    <w:p w14:paraId="304EB235">
      <w:pPr>
        <w:pStyle w:val="23"/>
      </w:pPr>
      <w:r>
        <w:t>The current organization selector is a prototype and is not production-grade authentication or authorization.</w:t>
      </w:r>
    </w:p>
    <w:p w14:paraId="4D26C801">
      <w:pPr>
        <w:pStyle w:val="23"/>
      </w:pPr>
      <w:r>
        <w:t>Generative answer evaluation requires careful assessment because lexical overlap alone does not fully represent correctness.</w:t>
      </w:r>
    </w:p>
    <w:p w14:paraId="7B3789D6">
      <w:pPr>
        <w:pStyle w:val="2"/>
      </w:pPr>
      <w:r>
        <w:t>15. Future Work</w:t>
      </w:r>
    </w:p>
    <w:p w14:paraId="48D2E46F">
      <w:pPr>
        <w:pStyle w:val="23"/>
      </w:pPr>
      <w:r>
        <w:t>Expand the corpus with additional organizations and document types.</w:t>
      </w:r>
    </w:p>
    <w:p w14:paraId="057B8976">
      <w:pPr>
        <w:pStyle w:val="23"/>
      </w:pPr>
      <w:r>
        <w:t>Introduce table-aware and layout-aware retrieval for financial and technical reports.</w:t>
      </w:r>
    </w:p>
    <w:p w14:paraId="1349FDB5">
      <w:pPr>
        <w:pStyle w:val="23"/>
      </w:pPr>
      <w:r>
        <w:t>Add document versioning and freshness-aware retrieval.</w:t>
      </w:r>
    </w:p>
    <w:p w14:paraId="01350022">
      <w:pPr>
        <w:pStyle w:val="23"/>
      </w:pPr>
      <w:r>
        <w:t>Integrate verified enterprise identity and role-based authorization.</w:t>
      </w:r>
    </w:p>
    <w:p w14:paraId="2D17F795">
      <w:pPr>
        <w:pStyle w:val="23"/>
      </w:pPr>
      <w:r>
        <w:t>Explore query decomposition for complex multi-part questions.</w:t>
      </w:r>
    </w:p>
    <w:p w14:paraId="31B66AF6">
      <w:pPr>
        <w:pStyle w:val="23"/>
      </w:pPr>
      <w:r>
        <w:t>Extend retrieval to charts, figures, and other multimodal enterprise information.</w:t>
      </w:r>
    </w:p>
    <w:p w14:paraId="163C27E2">
      <w:pPr>
        <w:pStyle w:val="23"/>
      </w:pPr>
      <w:r>
        <w:t>Automate evaluation of context relevance, answer relevance, and faithfulness.</w:t>
      </w:r>
    </w:p>
    <w:p w14:paraId="0DF43CF3">
      <w:pPr>
        <w:pStyle w:val="2"/>
      </w:pPr>
      <w:r>
        <w:t>16. Conclusion</w:t>
      </w:r>
      <w:bookmarkStart w:id="0" w:name="_GoBack"/>
      <w:bookmarkEnd w:id="0"/>
    </w:p>
    <w:p w14:paraId="3C62262E">
      <w:r>
        <w:t>This paper presented KNOWX, a hybrid Retrieval-Augmented Generation framework for enterprise knowledge management. The framework combines semantic retrieval using Sentence Transformers and FAISS with lexical retrieval using BM25. Reciprocal Rank Fusion integrates the retrieval signals, and cross-encoder reranking improves candidate ordering before evidence is passed to Llama 3 8B.</w:t>
      </w:r>
    </w:p>
    <w:p w14:paraId="5DF01345">
      <w:r>
        <w:t>The current prototype processes nine enterprise documents and 6,256 indexed chunks from Microsoft, Infosys, and NVIDIA. The final experimental evaluation will compare KNOWX with simpler retrieval configurations and measure retrieval quality, answer quality, faithfulness, and latency. The numerical findings will be added after the experiments are completed.</w:t>
      </w:r>
    </w:p>
    <w:p w14:paraId="1DA46350">
      <w:pPr>
        <w:pStyle w:val="2"/>
      </w:pPr>
      <w:r>
        <w:t>References</w:t>
      </w:r>
    </w:p>
    <w:p w14:paraId="555DC4C8">
      <w:r>
        <w:t>1. Lewis, P., et al. (2020). Retrieval-Augmented Generation for Knowledge-Intensive NLP Tasks. NeurIPS 2020. https://arxiv.org/abs/2005.11401</w:t>
      </w:r>
    </w:p>
    <w:p w14:paraId="466944C6">
      <w:r>
        <w:t>2. Karpukhin, V., et al. (2020). Dense Passage Retrieval for Open-Domain Question Answering. EMNLP 2020. https://aclanthology.org/2020.emnlp-main.550/</w:t>
      </w:r>
    </w:p>
    <w:p w14:paraId="298FD559">
      <w:r>
        <w:t>3. Guu, K., et al. (2020). REALM: Retrieval-Augmented Language Model Pre-Training. ICML 2020. https://arxiv.org/abs/2002.08909</w:t>
      </w:r>
    </w:p>
    <w:p w14:paraId="56585A22">
      <w:r>
        <w:t>4. Asai, A., et al. (2023). Self-RAG: Learning to Retrieve, Generate, and Critique through Self-Reflection. https://arxiv.org/abs/2310.11511</w:t>
      </w:r>
    </w:p>
    <w:p w14:paraId="201DF556">
      <w:r>
        <w:t>5. Gao, L., et al. (2023). Precise Zero-Shot Dense Retrieval without Relevance Labels. ACL 2023. https://aclanthology.org/2023.acl-long.99/</w:t>
      </w:r>
    </w:p>
    <w:p w14:paraId="5AFFFFD6">
      <w:r>
        <w:t>6. Saad-Falcon, J., et al. (2024). ARES: An Automated Evaluation Framework for Retrieval-Augmented Generation Systems. NAACL 2024. https://aclanthology.org/2024.naacl-long.20/</w:t>
      </w:r>
    </w:p>
    <w:p w14:paraId="3167AAD0">
      <w:r>
        <w:t>7. Yu, T., et al. (2025). EKRAG: Benchmark RAG for Enterprise Knowledge Question Answering. https://aclanthology.org/2025.knowledgenlp-1.13/</w:t>
      </w:r>
    </w:p>
    <w:p w14:paraId="74A0C2C3">
      <w:r>
        <w:t>8. Choubey, P. K., et al. (2025). Benchmarking Deep Search over Heterogeneous Enterprise Data. EMNLP Industry Track 2025. https://aclanthology.org/2025.emnlp-industry.34/</w:t>
      </w:r>
    </w:p>
    <w:p w14:paraId="20963C2D">
      <w:r>
        <w:t>9. Lee, Y., et al. (2025). HybGRAG: Hybrid Retrieval-Augmented Generation on Textual and Relational Knowledge Bases. ACL 2025. https://aclanthology.org/2025.acl-long.43/</w:t>
      </w:r>
    </w:p>
    <w:p w14:paraId="0E49D5CD">
      <w:r>
        <w:t>10. Sarthi, P., et al. (2024). RAPTOR: Recursive Abstractive Processing for Tree-Organized Retrieval. https://arxiv.org/abs/2401.18059</w:t>
      </w: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55831"/>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1966</Words>
  <Characters>13336</Characters>
  <Lines>0</Lines>
  <Paragraphs>0</Paragraphs>
  <TotalTime>1</TotalTime>
  <ScaleCrop>false</ScaleCrop>
  <LinksUpToDate>false</LinksUpToDate>
  <CharactersWithSpaces>15105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manas</cp:lastModifiedBy>
  <dcterms:modified xsi:type="dcterms:W3CDTF">2026-09-19T03:59:42Z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eyJoZGlkIjoiNDUwMTFkMDI3ZjBmZjczM2Q3M2EwOGI5M2VjYzUzMDkiLCJ1c2VySWQiOiI1Njc1MTU1OTcwNTQifQ==</vt:lpwstr>
  </property>
  <property fmtid="{D5CDD505-2E9C-101B-9397-08002B2CF9AE}" pid="3" name="KSOProductBuildVer">
    <vt:lpwstr>1033-12.1.0.28485</vt:lpwstr>
  </property>
  <property fmtid="{D5CDD505-2E9C-101B-9397-08002B2CF9AE}" pid="4" name="ICV">
    <vt:lpwstr>ACB606E4DFF94165A632D68D8F209AFF_12</vt:lpwstr>
  </property>
</Properties>
</file>