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bookmarkStart w:id="24" w:name="task1"/>
    <w:p>
      <w:pPr>
        <w:pStyle w:val="Heading1"/>
      </w:pPr>
      <w:r>
        <w:t xml:space="preserve">Task1</w:t>
      </w:r>
    </w:p>
    <w:bookmarkStart w:id="23" w:name="technical-specification-document"/>
    <w:p>
      <w:pPr>
        <w:pStyle w:val="Heading3"/>
      </w:pPr>
      <w:r>
        <w:t xml:space="preserve">Technical Specification Document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Author</w:t>
            </w:r>
          </w:p>
        </w:tc>
        <w:tc>
          <w:tcPr/>
          <w:p>
            <w:pPr>
              <w:pStyle w:val="Compact"/>
              <w:jc w:val="left"/>
            </w:pPr>
            <w:r>
              <w:t xml:space="preserve">Rohancherian783</w:t>
            </w:r>
          </w:p>
        </w:tc>
      </w:tr>
      <w:tr>
        <w:tc>
          <w:tcPr/>
          <w:p>
            <w:pPr>
              <w:pStyle w:val="Compact"/>
              <w:jc w:val="left"/>
            </w:pPr>
            <w:r>
              <w:rPr>
                <w:bCs/>
                <w:b/>
              </w:rPr>
              <w:t xml:space="preserve">Date</w:t>
            </w:r>
          </w:p>
        </w:tc>
        <w:tc>
          <w:tcPr/>
          <w:p>
            <w:pPr>
              <w:pStyle w:val="Compact"/>
              <w:jc w:val="left"/>
            </w:pPr>
            <w:r>
              <w:t xml:space="preserve">2026-01-05</w:t>
            </w:r>
          </w:p>
        </w:tc>
      </w:tr>
      <w:tr>
        <w:tc>
          <w:tcPr/>
          <w:p>
            <w:pPr>
              <w:pStyle w:val="Compact"/>
              <w:jc w:val="left"/>
            </w:pPr>
            <w:r>
              <w:rPr>
                <w:bCs/>
                <w:b/>
              </w:rPr>
              <w:t xml:space="preserve">Version</w:t>
            </w:r>
          </w:p>
        </w:tc>
        <w:tc>
          <w:tcPr/>
          <w:p>
            <w:pPr>
              <w:pStyle w:val="Compact"/>
              <w:jc w:val="left"/>
            </w:pPr>
            <w:r>
              <w:t xml:space="preserve">1.0.0</w:t>
            </w:r>
          </w:p>
        </w:tc>
      </w:tr>
    </w:tbl>
    <w:p>
      <w:pPr>
        <w:pStyle w:val="BodyText"/>
      </w:pPr>
    </w:p>
    <w:p>
      <w:pPr>
        <w:pStyle w:val="BodyText"/>
      </w:pPr>
      <w:r>
        <w:t xml:space="preserve">Table of Contents</w:t>
      </w:r>
    </w:p>
    <w:p>
      <w:pPr>
        <w:numPr>
          <w:ilvl w:val="0"/>
          <w:numId w:val="1001"/>
        </w:numPr>
        <w:pStyle w:val="Compact"/>
      </w:pPr>
      <w:r>
        <w:t xml:space="preserve">Introduction</w:t>
      </w:r>
      <w:r>
        <w:t xml:space="preserve"> </w:t>
      </w:r>
      <w:r>
        <w:t xml:space="preserve"> </w:t>
      </w:r>
      <w:r>
        <w:t xml:space="preserve">    1.1 Purpose</w:t>
      </w:r>
      <w:r>
        <w:t xml:space="preserve"> </w:t>
      </w:r>
      <w:r>
        <w:t xml:space="preserve"> </w:t>
      </w:r>
      <w:r>
        <w:t xml:space="preserve">    1.2 Scope</w:t>
      </w:r>
      <w:r>
        <w:t xml:space="preserve"> </w:t>
      </w:r>
    </w:p>
    <w:p>
      <w:pPr>
        <w:numPr>
          <w:ilvl w:val="0"/>
          <w:numId w:val="1001"/>
        </w:numPr>
        <w:pStyle w:val="Compact"/>
      </w:pPr>
      <w:r>
        <w:t xml:space="preserve">Integration Overview</w:t>
      </w:r>
      <w:r>
        <w:t xml:space="preserve"> </w:t>
      </w:r>
      <w:r>
        <w:t xml:space="preserve"> </w:t>
      </w:r>
      <w:r>
        <w:t xml:space="preserve">    2.1 Integration Architecture</w:t>
      </w:r>
      <w:r>
        <w:t xml:space="preserve"> </w:t>
      </w:r>
      <w:r>
        <w:t xml:space="preserve"> </w:t>
      </w:r>
      <w:r>
        <w:t xml:space="preserve">    2.2 Integration Components</w:t>
      </w:r>
      <w:r>
        <w:t xml:space="preserve"> </w:t>
      </w:r>
    </w:p>
    <w:p>
      <w:pPr>
        <w:numPr>
          <w:ilvl w:val="0"/>
          <w:numId w:val="1001"/>
        </w:numPr>
        <w:pStyle w:val="Compact"/>
      </w:pPr>
      <w:r>
        <w:t xml:space="preserve">Integration Scenarios</w:t>
      </w:r>
      <w:r>
        <w:t xml:space="preserve"> </w:t>
      </w:r>
      <w:r>
        <w:t xml:space="preserve"> </w:t>
      </w:r>
      <w:r>
        <w:t xml:space="preserve">    3.1 Scenario Description</w:t>
      </w:r>
      <w:r>
        <w:t xml:space="preserve"> </w:t>
      </w:r>
      <w:r>
        <w:t xml:space="preserve"> </w:t>
      </w:r>
      <w:r>
        <w:t xml:space="preserve">    3.2 Data Flows</w:t>
      </w:r>
      <w:r>
        <w:t xml:space="preserve"> </w:t>
      </w:r>
      <w:r>
        <w:t xml:space="preserve"> </w:t>
      </w:r>
      <w:r>
        <w:t xml:space="preserve">    3.3 Security Requirements</w:t>
      </w:r>
      <w:r>
        <w:t xml:space="preserve"> </w:t>
      </w:r>
    </w:p>
    <w:p>
      <w:pPr>
        <w:numPr>
          <w:ilvl w:val="0"/>
          <w:numId w:val="1001"/>
        </w:numPr>
        <w:pStyle w:val="Compact"/>
      </w:pPr>
      <w:r>
        <w:t xml:space="preserve">Error Handling and Logging</w:t>
      </w:r>
      <w:r>
        <w:t xml:space="preserve"> </w:t>
      </w:r>
    </w:p>
    <w:p>
      <w:pPr>
        <w:numPr>
          <w:ilvl w:val="0"/>
          <w:numId w:val="1001"/>
        </w:numPr>
        <w:pStyle w:val="Compact"/>
      </w:pPr>
      <w:r>
        <w:t xml:space="preserve">Testing Validation</w:t>
      </w:r>
      <w:r>
        <w:t xml:space="preserve"> </w:t>
      </w:r>
    </w:p>
    <w:p>
      <w:pPr>
        <w:numPr>
          <w:ilvl w:val="0"/>
          <w:numId w:val="1001"/>
        </w:numPr>
        <w:pStyle w:val="Compact"/>
      </w:pPr>
      <w:r>
        <w:t xml:space="preserve">Reference Documents</w:t>
      </w:r>
      <w:r>
        <w:t xml:space="preserve"> </w:t>
      </w:r>
      <w:r>
        <w:t xml:space="preserve"> </w:t>
      </w:r>
      <w:r>
        <w:t xml:space="preserve">pagebreak</w:t>
      </w:r>
    </w:p>
    <w:p>
      <w:pPr>
        <w:pStyle w:val="FirstParagraph"/>
      </w:pPr>
    </w:p>
    <w:p>
      <w:pPr>
        <w:numPr>
          <w:ilvl w:val="0"/>
          <w:numId w:val="1002"/>
        </w:numPr>
        <w:pStyle w:val="Compact"/>
      </w:pPr>
      <w:r>
        <w:t xml:space="preserve">Introduction</w:t>
      </w:r>
    </w:p>
    <w:p>
      <w:pPr>
        <w:numPr>
          <w:ilvl w:val="0"/>
          <w:numId w:val="1000"/>
        </w:numPr>
        <w:pStyle w:val="Compact"/>
      </w:pPr>
      <w:r>
        <w:t xml:space="preserve">1.1 Purpose:</w:t>
      </w:r>
    </w:p>
    <w:p>
      <w:pPr>
        <w:pStyle w:val="FirstParagraph"/>
      </w:pPr>
      <w:r>
        <w:t xml:space="preserve">The purpose of this integration flow (iFlow) is to automate the process of retrieving emails from a specified Gmail inbox and subsequently sending those emails to a designated recipient. The business problem this iFlow addresses is the need for efficient email management and communication within an organization. By automating the retrieval and forwarding of emails, the iFlow reduces manual effort, minimizes the risk of human error, and ensures timely communication.</w:t>
      </w:r>
    </w:p>
    <w:p>
      <w:pPr>
        <w:pStyle w:val="BodyText"/>
      </w:pPr>
      <w:r>
        <w:t xml:space="preserve">The trigger mechanism for this iFlow is based on a scheduled polling of the Gmail inbox using the IMAP protocol. The iFlow is designed to check for unread emails at regular intervals, process them, and then send them to the specified recipient using the SMTP protocol. The desired technical outcome is to ensure that all relevant emails are captured and forwarded without manual intervention, thereby streamlining communication processes.</w:t>
      </w:r>
    </w:p>
    <w:p>
      <w:pPr>
        <w:pStyle w:val="BodyText"/>
      </w:pPr>
      <w:r>
        <w:t xml:space="preserve">1.2 Scope:</w:t>
      </w:r>
    </w:p>
    <w:p>
      <w:pPr>
        <w:pStyle w:val="BodyText"/>
      </w:pPr>
      <w:r>
        <w:t xml:space="preserve">This iFlow includes the following components and functionalities:</w:t>
      </w:r>
    </w:p>
    <w:p>
      <w:pPr>
        <w:numPr>
          <w:ilvl w:val="0"/>
          <w:numId w:val="1003"/>
        </w:numPr>
        <w:pStyle w:val="Compact"/>
      </w:pPr>
      <w:r>
        <w:rPr>
          <w:bCs/>
          <w:b/>
        </w:rPr>
        <w:t xml:space="preserve">Endpoints:</w:t>
      </w:r>
    </w:p>
    <w:p>
      <w:pPr>
        <w:numPr>
          <w:ilvl w:val="1"/>
          <w:numId w:val="1004"/>
        </w:numPr>
        <w:pStyle w:val="Compact"/>
      </w:pPr>
      <w:r>
        <w:rPr>
          <w:bCs/>
          <w:b/>
        </w:rPr>
        <w:t xml:space="preserve">Sender:</w:t>
      </w:r>
      <w:r>
        <w:t xml:space="preserve"> </w:t>
      </w:r>
      <w:r>
        <w:t xml:space="preserve">Configured to connect to the Gmail inbox using IMAP.</w:t>
      </w:r>
    </w:p>
    <w:p>
      <w:pPr>
        <w:numPr>
          <w:ilvl w:val="1"/>
          <w:numId w:val="1004"/>
        </w:numPr>
        <w:pStyle w:val="Compact"/>
      </w:pPr>
      <w:r>
        <w:rPr>
          <w:bCs/>
          <w:b/>
        </w:rPr>
        <w:t xml:space="preserve">Receiver:</w:t>
      </w:r>
      <w:r>
        <w:t xml:space="preserve"> </w:t>
      </w:r>
      <w:r>
        <w:t xml:space="preserve">Configured to send emails using SMTP to the specified recipient.</w:t>
      </w:r>
    </w:p>
    <w:p>
      <w:pPr>
        <w:numPr>
          <w:ilvl w:val="0"/>
          <w:numId w:val="1003"/>
        </w:numPr>
        <w:pStyle w:val="Compact"/>
      </w:pPr>
      <w:r>
        <w:rPr>
          <w:bCs/>
          <w:b/>
        </w:rPr>
        <w:t xml:space="preserve">Data Transformation Logic:</w:t>
      </w:r>
    </w:p>
    <w:p>
      <w:pPr>
        <w:numPr>
          <w:ilvl w:val="1"/>
          <w:numId w:val="1005"/>
        </w:numPr>
        <w:pStyle w:val="Compact"/>
      </w:pPr>
      <w:r>
        <w:t xml:space="preserve">The iFlow includes a Groovy script that processes the email content and modifies the email subject before forwarding it.</w:t>
      </w:r>
    </w:p>
    <w:p>
      <w:pPr>
        <w:numPr>
          <w:ilvl w:val="0"/>
          <w:numId w:val="1003"/>
        </w:numPr>
        <w:pStyle w:val="Compact"/>
      </w:pPr>
      <w:r>
        <w:rPr>
          <w:bCs/>
          <w:b/>
        </w:rPr>
        <w:t xml:space="preserve">Target Systems:</w:t>
      </w:r>
    </w:p>
    <w:p>
      <w:pPr>
        <w:numPr>
          <w:ilvl w:val="1"/>
          <w:numId w:val="1006"/>
        </w:numPr>
        <w:pStyle w:val="Compact"/>
      </w:pPr>
      <w:r>
        <w:t xml:space="preserve">The iFlow interacts with Gmail as the source system and an SMTP server for sending emails.</w:t>
      </w:r>
    </w:p>
    <w:p>
      <w:pPr>
        <w:pStyle w:val="FirstParagraph"/>
      </w:pPr>
      <w:r>
        <w:rPr>
          <w:bCs/>
          <w:b/>
        </w:rPr>
        <w:t xml:space="preserve">Constraints:</w:t>
      </w:r>
      <w:r>
        <w:t xml:space="preserve"> </w:t>
      </w:r>
      <w:r>
        <w:t xml:space="preserve">- The iFlow does not handle attachments; it only forwards the email body and subject.</w:t>
      </w:r>
      <w:r>
        <w:t xml:space="preserve"> </w:t>
      </w:r>
      <w:r>
        <w:t xml:space="preserve">- The iFlow is limited to processing unread emails only.</w:t>
      </w:r>
    </w:p>
    <w:p>
      <w:pPr>
        <w:pStyle w:val="BodyText"/>
      </w:pPr>
      <w:r>
        <w:rPr>
          <w:bCs/>
          <w:b/>
        </w:rPr>
        <w:t xml:space="preserve">Exclusions:</w:t>
      </w:r>
      <w:r>
        <w:t xml:space="preserve"> </w:t>
      </w:r>
      <w:r>
        <w:t xml:space="preserve">- The iFlow does not include error handling for email delivery failures beyond logging the events.</w:t>
      </w:r>
    </w:p>
    <w:p>
      <w:pPr>
        <w:numPr>
          <w:ilvl w:val="0"/>
          <w:numId w:val="1007"/>
        </w:numPr>
        <w:pStyle w:val="Compact"/>
      </w:pPr>
      <w:r>
        <w:t xml:space="preserve">Integration Overview</w:t>
      </w:r>
    </w:p>
    <w:p>
      <w:pPr>
        <w:numPr>
          <w:ilvl w:val="0"/>
          <w:numId w:val="1000"/>
        </w:numPr>
        <w:pStyle w:val="Compact"/>
      </w:pPr>
      <w:r>
        <w:t xml:space="preserve">2.1 Integration Architecture:</w:t>
      </w:r>
    </w:p>
    <w:p>
      <w:pPr>
        <w:pStyle w:val="CaptionedFigure"/>
      </w:pPr>
      <w:r>
        <w:drawing>
          <wp:inline>
            <wp:extent cx="3505200" cy="7797800"/>
            <wp:effectExtent b="0" l="0" r="0" t="0"/>
            <wp:docPr descr="Integration Architecture" title="" id="21" name="Picture"/>
            <a:graphic>
              <a:graphicData uri="http://schemas.openxmlformats.org/drawingml/2006/picture">
                <pic:pic>
                  <pic:nvPicPr>
                    <pic:cNvPr descr="architecture.png" id="22" name="Picture"/>
                    <pic:cNvPicPr>
                      <a:picLocks noChangeArrowheads="1" noChangeAspect="1"/>
                    </pic:cNvPicPr>
                  </pic:nvPicPr>
                  <pic:blipFill>
                    <a:blip r:embed="rId20"/>
                    <a:stretch>
                      <a:fillRect/>
                    </a:stretch>
                  </pic:blipFill>
                  <pic:spPr bwMode="auto">
                    <a:xfrm>
                      <a:off x="0" y="0"/>
                      <a:ext cx="3505200" cy="7797800"/>
                    </a:xfrm>
                    <a:prstGeom prst="rect">
                      <a:avLst/>
                    </a:prstGeom>
                    <a:noFill/>
                    <a:ln w="9525">
                      <a:noFill/>
                      <a:headEnd/>
                      <a:tailEnd/>
                    </a:ln>
                  </pic:spPr>
                </pic:pic>
              </a:graphicData>
            </a:graphic>
          </wp:inline>
        </w:drawing>
      </w:r>
    </w:p>
    <w:p>
      <w:pPr>
        <w:pStyle w:val="ImageCaption"/>
      </w:pPr>
      <w:r>
        <w:t xml:space="preserve">Integration Architecture</w:t>
      </w:r>
    </w:p>
    <w:p>
      <w:pPr>
        <w:pStyle w:val="BodyText"/>
      </w:pPr>
      <w:r>
        <w:t xml:space="preserve">2.2 Integration Components:</w:t>
      </w:r>
    </w:p>
    <w:tbl>
      <w:tblPr>
        <w:tblStyle w:val="Table"/>
        <w:tblW w:type="pct" w:w="5000"/>
        <w:tblLook w:firstRow="1" w:lastRow="0" w:firstColumn="0" w:lastColumn="0" w:noHBand="0" w:noVBand="0" w:val="0020"/>
        <w:jc w:val="start"/>
      </w:tblPr>
      <w:tblGrid>
        <w:gridCol w:w="1488"/>
        <w:gridCol w:w="1920"/>
        <w:gridCol w:w="4512"/>
      </w:tblGrid>
      <w:tr>
        <w:trPr>
          <w:tblHeader w:val="true"/>
        </w:trPr>
        <w:tc>
          <w:tcPr/>
          <w:p>
            <w:pPr>
              <w:pStyle w:val="Compact"/>
              <w:jc w:val="left"/>
            </w:pPr>
            <w:r>
              <w:t xml:space="preserve">Component</w:t>
            </w:r>
          </w:p>
        </w:tc>
        <w:tc>
          <w:tcPr/>
          <w:p>
            <w:pPr>
              <w:pStyle w:val="Compact"/>
              <w:jc w:val="left"/>
            </w:pPr>
            <w:r>
              <w:t xml:space="preserve">Role</w:t>
            </w:r>
          </w:p>
        </w:tc>
        <w:tc>
          <w:tcPr/>
          <w:p>
            <w:pPr>
              <w:pStyle w:val="Compact"/>
              <w:jc w:val="left"/>
            </w:pPr>
            <w:r>
              <w:t xml:space="preserve">Details</w:t>
            </w:r>
          </w:p>
        </w:tc>
      </w:tr>
      <w:tr>
        <w:tc>
          <w:tcPr/>
          <w:p>
            <w:pPr>
              <w:pStyle w:val="Compact"/>
              <w:jc w:val="left"/>
            </w:pPr>
            <w:r>
              <w:t xml:space="preserve">Sender (IMAP Adapter)</w:t>
            </w:r>
          </w:p>
        </w:tc>
        <w:tc>
          <w:tcPr/>
          <w:p>
            <w:pPr>
              <w:pStyle w:val="Compact"/>
              <w:jc w:val="left"/>
            </w:pPr>
            <w:r>
              <w:t xml:space="preserve">Retrieves emails from Gmail</w:t>
            </w:r>
          </w:p>
        </w:tc>
        <w:tc>
          <w:tcPr/>
          <w:p>
            <w:pPr>
              <w:pStyle w:val="Compact"/>
              <w:jc w:val="left"/>
            </w:pPr>
            <w:r>
              <w:t xml:space="preserve">Connects to Gmail inbox to fetch unread emails using IMAP protocol.</w:t>
            </w:r>
          </w:p>
        </w:tc>
      </w:tr>
      <w:tr>
        <w:tc>
          <w:tcPr/>
          <w:p>
            <w:pPr>
              <w:pStyle w:val="Compact"/>
              <w:jc w:val="left"/>
            </w:pPr>
            <w:r>
              <w:t xml:space="preserve">Receiver (SMTP Adapter)</w:t>
            </w:r>
          </w:p>
        </w:tc>
        <w:tc>
          <w:tcPr/>
          <w:p>
            <w:pPr>
              <w:pStyle w:val="Compact"/>
              <w:jc w:val="left"/>
            </w:pPr>
            <w:r>
              <w:t xml:space="preserve">Sends emails to the recipient</w:t>
            </w:r>
          </w:p>
        </w:tc>
        <w:tc>
          <w:tcPr/>
          <w:p>
            <w:pPr>
              <w:pStyle w:val="Compact"/>
              <w:jc w:val="left"/>
            </w:pPr>
            <w:r>
              <w:t xml:space="preserve">Sends processed emails to the specified recipient using SMTP protocol.</w:t>
            </w:r>
          </w:p>
        </w:tc>
      </w:tr>
      <w:tr>
        <w:tc>
          <w:tcPr/>
          <w:p>
            <w:pPr>
              <w:pStyle w:val="Compact"/>
              <w:jc w:val="left"/>
            </w:pPr>
            <w:r>
              <w:t xml:space="preserve">Groovy Script</w:t>
            </w:r>
          </w:p>
        </w:tc>
        <w:tc>
          <w:tcPr/>
          <w:p>
            <w:pPr>
              <w:pStyle w:val="Compact"/>
              <w:jc w:val="left"/>
            </w:pPr>
            <w:r>
              <w:t xml:space="preserve">Processes email content</w:t>
            </w:r>
          </w:p>
        </w:tc>
        <w:tc>
          <w:tcPr/>
          <w:p>
            <w:pPr>
              <w:pStyle w:val="Compact"/>
              <w:jc w:val="left"/>
            </w:pPr>
            <w:r>
              <w:t xml:space="preserve">Contains logic to modify the email subject and body before forwarding.</w:t>
            </w:r>
          </w:p>
        </w:tc>
      </w:tr>
      <w:tr>
        <w:tc>
          <w:tcPr/>
          <w:p>
            <w:pPr>
              <w:pStyle w:val="Compact"/>
              <w:jc w:val="left"/>
            </w:pPr>
            <w:r>
              <w:t xml:space="preserve">Content Modifier</w:t>
            </w:r>
          </w:p>
        </w:tc>
        <w:tc>
          <w:tcPr/>
          <w:p>
            <w:pPr>
              <w:pStyle w:val="Compact"/>
              <w:jc w:val="left"/>
            </w:pPr>
            <w:r>
              <w:t xml:space="preserve">Modifies email headers and body</w:t>
            </w:r>
          </w:p>
        </w:tc>
        <w:tc>
          <w:tcPr/>
          <w:p>
            <w:pPr>
              <w:pStyle w:val="Compact"/>
              <w:jc w:val="left"/>
            </w:pPr>
            <w:r>
              <w:t xml:space="preserve">Sets the subject header and prepares the email body for sending.</w:t>
            </w:r>
          </w:p>
        </w:tc>
      </w:tr>
      <w:tr>
        <w:tc>
          <w:tcPr/>
          <w:p>
            <w:pPr>
              <w:pStyle w:val="Compact"/>
              <w:jc w:val="left"/>
            </w:pPr>
            <w:r>
              <w:t xml:space="preserve">Start Event</w:t>
            </w:r>
          </w:p>
        </w:tc>
        <w:tc>
          <w:tcPr/>
          <w:p>
            <w:pPr>
              <w:pStyle w:val="Compact"/>
              <w:jc w:val="left"/>
            </w:pPr>
            <w:r>
              <w:t xml:space="preserve">Initiates the iFlow</w:t>
            </w:r>
          </w:p>
        </w:tc>
        <w:tc>
          <w:tcPr/>
          <w:p>
            <w:pPr>
              <w:pStyle w:val="Compact"/>
              <w:jc w:val="left"/>
            </w:pPr>
            <w:r>
              <w:t xml:space="preserve">Triggers the iFlow based on a scheduled interval.</w:t>
            </w:r>
          </w:p>
        </w:tc>
      </w:tr>
      <w:tr>
        <w:tc>
          <w:tcPr/>
          <w:p>
            <w:pPr>
              <w:pStyle w:val="Compact"/>
              <w:jc w:val="left"/>
            </w:pPr>
            <w:r>
              <w:t xml:space="preserve">End Event</w:t>
            </w:r>
          </w:p>
        </w:tc>
        <w:tc>
          <w:tcPr/>
          <w:p>
            <w:pPr>
              <w:pStyle w:val="Compact"/>
              <w:jc w:val="left"/>
            </w:pPr>
            <w:r>
              <w:t xml:space="preserve">Completes the iFlow</w:t>
            </w:r>
          </w:p>
        </w:tc>
        <w:tc>
          <w:tcPr/>
          <w:p>
            <w:pPr>
              <w:pStyle w:val="Compact"/>
              <w:jc w:val="left"/>
            </w:pPr>
            <w:r>
              <w:t xml:space="preserve">Marks the end of the iFlow execution.</w:t>
            </w:r>
          </w:p>
        </w:tc>
      </w:tr>
    </w:tbl>
    <w:p>
      <w:pPr>
        <w:numPr>
          <w:ilvl w:val="0"/>
          <w:numId w:val="1008"/>
        </w:numPr>
      </w:pPr>
      <w:r>
        <w:t xml:space="preserve">Integration Scenarios</w:t>
      </w:r>
    </w:p>
    <w:p>
      <w:pPr>
        <w:numPr>
          <w:ilvl w:val="0"/>
          <w:numId w:val="1000"/>
        </w:numPr>
      </w:pPr>
      <w:r>
        <w:t xml:space="preserve">3.1 Scenario Description:</w:t>
      </w:r>
    </w:p>
    <w:p>
      <w:pPr>
        <w:numPr>
          <w:ilvl w:val="0"/>
          <w:numId w:val="1008"/>
        </w:numPr>
      </w:pPr>
      <w:r>
        <w:rPr>
          <w:bCs/>
          <w:b/>
        </w:rPr>
        <w:t xml:space="preserve">Start Event:</w:t>
      </w:r>
      <w:r>
        <w:t xml:space="preserve"> </w:t>
      </w:r>
      <w:r>
        <w:t xml:space="preserve">The iFlow is triggered based on a scheduled interval defined in the configuration.</w:t>
      </w:r>
    </w:p>
    <w:p>
      <w:pPr>
        <w:numPr>
          <w:ilvl w:val="0"/>
          <w:numId w:val="1008"/>
        </w:numPr>
      </w:pPr>
      <w:r>
        <w:rPr>
          <w:bCs/>
          <w:b/>
        </w:rPr>
        <w:t xml:space="preserve">Retrieve Emails from Gmail:</w:t>
      </w:r>
      <w:r>
        <w:t xml:space="preserve"> </w:t>
      </w:r>
      <w:r>
        <w:t xml:space="preserve">The iFlow connects to the Gmail inbox using the IMAP adapter and retrieves unread emails.</w:t>
      </w:r>
    </w:p>
    <w:p>
      <w:pPr>
        <w:numPr>
          <w:ilvl w:val="0"/>
          <w:numId w:val="1008"/>
        </w:numPr>
      </w:pPr>
      <w:r>
        <w:rPr>
          <w:bCs/>
          <w:b/>
        </w:rPr>
        <w:t xml:space="preserve">Process Emails with Groovy Script:</w:t>
      </w:r>
      <w:r>
        <w:t xml:space="preserve"> </w:t>
      </w:r>
      <w:r>
        <w:t xml:space="preserve">Each retrieved email is passed to the Groovy script for processing. The script extracts the email body and subject.</w:t>
      </w:r>
    </w:p>
    <w:p>
      <w:pPr>
        <w:numPr>
          <w:ilvl w:val="0"/>
          <w:numId w:val="1008"/>
        </w:numPr>
      </w:pPr>
      <w:r>
        <w:rPr>
          <w:bCs/>
          <w:b/>
        </w:rPr>
        <w:t xml:space="preserve">Modify Email Content:</w:t>
      </w:r>
      <w:r>
        <w:t xml:space="preserve"> </w:t>
      </w:r>
      <w:r>
        <w:t xml:space="preserve">The Content Modifier updates the email subject and prepares the email body for sending.</w:t>
      </w:r>
    </w:p>
    <w:p>
      <w:pPr>
        <w:numPr>
          <w:ilvl w:val="0"/>
          <w:numId w:val="1008"/>
        </w:numPr>
      </w:pPr>
      <w:r>
        <w:rPr>
          <w:bCs/>
          <w:b/>
        </w:rPr>
        <w:t xml:space="preserve">Send Email via SMTP:</w:t>
      </w:r>
      <w:r>
        <w:t xml:space="preserve"> </w:t>
      </w:r>
      <w:r>
        <w:t xml:space="preserve">The processed email is sent to the designated recipient using the SMTP adapter.</w:t>
      </w:r>
    </w:p>
    <w:p>
      <w:pPr>
        <w:numPr>
          <w:ilvl w:val="0"/>
          <w:numId w:val="1008"/>
        </w:numPr>
      </w:pPr>
      <w:r>
        <w:rPr>
          <w:bCs/>
          <w:b/>
        </w:rPr>
        <w:t xml:space="preserve">End Event:</w:t>
      </w:r>
      <w:r>
        <w:t xml:space="preserve"> </w:t>
      </w:r>
      <w:r>
        <w:t xml:space="preserve">The iFlow completes its execution after sending the email.</w:t>
      </w:r>
    </w:p>
    <w:p>
      <w:pPr>
        <w:pStyle w:val="FirstParagraph"/>
      </w:pPr>
      <w:r>
        <w:t xml:space="preserve">3.2 Data Flows:</w:t>
      </w:r>
    </w:p>
    <w:p>
      <w:pPr>
        <w:numPr>
          <w:ilvl w:val="0"/>
          <w:numId w:val="1009"/>
        </w:numPr>
        <w:pStyle w:val="Compact"/>
      </w:pPr>
      <w:r>
        <w:rPr>
          <w:bCs/>
          <w:b/>
        </w:rPr>
        <w:t xml:space="preserve">Input Data:</w:t>
      </w:r>
      <w:r>
        <w:t xml:space="preserve"> </w:t>
      </w:r>
      <w:r>
        <w:t xml:space="preserve">Unread emails from the Gmail inbox.</w:t>
      </w:r>
    </w:p>
    <w:p>
      <w:pPr>
        <w:numPr>
          <w:ilvl w:val="0"/>
          <w:numId w:val="1009"/>
        </w:numPr>
        <w:pStyle w:val="Compact"/>
      </w:pPr>
      <w:r>
        <w:rPr>
          <w:bCs/>
          <w:b/>
        </w:rPr>
        <w:t xml:space="preserve">Output Data:</w:t>
      </w:r>
      <w:r>
        <w:t xml:space="preserve"> </w:t>
      </w:r>
      <w:r>
        <w:t xml:space="preserve">Forwarded emails to the specified recipient.</w:t>
      </w:r>
    </w:p>
    <w:p>
      <w:pPr>
        <w:pStyle w:val="FirstParagraph"/>
      </w:pPr>
      <w:r>
        <w:t xml:space="preserve">3.3 Security Requirements:</w:t>
      </w:r>
    </w:p>
    <w:p>
      <w:pPr>
        <w:numPr>
          <w:ilvl w:val="0"/>
          <w:numId w:val="1010"/>
        </w:numPr>
        <w:pStyle w:val="Compact"/>
      </w:pPr>
      <w:r>
        <w:t xml:space="preserve">The iFlow must ensure secure connections to Gmail and the SMTP server using SSL/TLS.</w:t>
      </w:r>
    </w:p>
    <w:p>
      <w:pPr>
        <w:numPr>
          <w:ilvl w:val="0"/>
          <w:numId w:val="1010"/>
        </w:numPr>
        <w:pStyle w:val="Compact"/>
      </w:pPr>
      <w:r>
        <w:t xml:space="preserve">Authentication credentials for both the IMAP and SMTP connections must be securely stored and managed.</w:t>
      </w:r>
    </w:p>
    <w:p>
      <w:pPr>
        <w:numPr>
          <w:ilvl w:val="0"/>
          <w:numId w:val="1011"/>
        </w:numPr>
        <w:pStyle w:val="Compact"/>
      </w:pPr>
      <w:r>
        <w:t xml:space="preserve">Error Handling and Logging</w:t>
      </w:r>
    </w:p>
    <w:p>
      <w:pPr>
        <w:pStyle w:val="FirstParagraph"/>
      </w:pPr>
      <w:r>
        <w:t xml:space="preserve">The iFlow includes logging mechanisms to capture all events, including successful email retrieval and sending. In case of errors, such as connection failures or email sending issues, the iFlow logs the error details for further investigation. However, it does not implement retry mechanisms or notifications for failures.</w:t>
      </w:r>
    </w:p>
    <w:p>
      <w:pPr>
        <w:numPr>
          <w:ilvl w:val="0"/>
          <w:numId w:val="1012"/>
        </w:numPr>
        <w:pStyle w:val="Compact"/>
      </w:pPr>
      <w:r>
        <w:t xml:space="preserve">Testing Validation</w:t>
      </w:r>
    </w:p>
    <w:p>
      <w:pPr>
        <w:pStyle w:val="FirstParagraph"/>
      </w:pPr>
      <w:r>
        <w:rPr>
          <w:bCs/>
          <w:b/>
        </w:rPr>
        <w:t xml:space="preserve">Testing Details – Sheet: Testing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Case ID</w:t>
            </w:r>
          </w:p>
        </w:tc>
        <w:tc>
          <w:tcPr/>
          <w:p>
            <w:pPr>
              <w:pStyle w:val="Compact"/>
              <w:jc w:val="left"/>
            </w:pPr>
            <w:r>
              <w:t xml:space="preserve">Scenario</w:t>
            </w:r>
          </w:p>
        </w:tc>
        <w:tc>
          <w:tcPr/>
          <w:p>
            <w:pPr>
              <w:pStyle w:val="Compact"/>
              <w:jc w:val="left"/>
            </w:pPr>
            <w:r>
              <w:t xml:space="preserve">Expected Outcome</w:t>
            </w:r>
          </w:p>
        </w:tc>
      </w:tr>
      <w:tr>
        <w:tc>
          <w:tcPr/>
          <w:p>
            <w:pPr>
              <w:pStyle w:val="Compact"/>
              <w:jc w:val="left"/>
            </w:pPr>
            <w:r>
              <w:t xml:space="preserve">TC_001</w:t>
            </w:r>
          </w:p>
        </w:tc>
        <w:tc>
          <w:tcPr/>
          <w:p>
            <w:pPr>
              <w:pStyle w:val="Compact"/>
              <w:jc w:val="left"/>
            </w:pPr>
            <w:r>
              <w:t xml:space="preserve">Retrieve unread emails</w:t>
            </w:r>
          </w:p>
        </w:tc>
        <w:tc>
          <w:tcPr/>
          <w:p>
            <w:pPr>
              <w:pStyle w:val="Compact"/>
              <w:jc w:val="left"/>
            </w:pPr>
            <w:r>
              <w:t xml:space="preserve">Unread emails are successfully retrieved from Gmail.</w:t>
            </w:r>
          </w:p>
        </w:tc>
      </w:tr>
      <w:tr>
        <w:tc>
          <w:tcPr/>
          <w:p>
            <w:pPr>
              <w:pStyle w:val="Compact"/>
              <w:jc w:val="left"/>
            </w:pPr>
            <w:r>
              <w:t xml:space="preserve">TC_002</w:t>
            </w:r>
          </w:p>
        </w:tc>
        <w:tc>
          <w:tcPr/>
          <w:p>
            <w:pPr>
              <w:pStyle w:val="Compact"/>
              <w:jc w:val="left"/>
            </w:pPr>
            <w:r>
              <w:t xml:space="preserve">Process email with Groovy script</w:t>
            </w:r>
          </w:p>
        </w:tc>
        <w:tc>
          <w:tcPr/>
          <w:p>
            <w:pPr>
              <w:pStyle w:val="Compact"/>
              <w:jc w:val="left"/>
            </w:pPr>
            <w:r>
              <w:t xml:space="preserve">Email subject and body are modified correctly.</w:t>
            </w:r>
          </w:p>
        </w:tc>
      </w:tr>
      <w:tr>
        <w:tc>
          <w:tcPr/>
          <w:p>
            <w:pPr>
              <w:pStyle w:val="Compact"/>
              <w:jc w:val="left"/>
            </w:pPr>
            <w:r>
              <w:t xml:space="preserve">TC_003</w:t>
            </w:r>
          </w:p>
        </w:tc>
        <w:tc>
          <w:tcPr/>
          <w:p>
            <w:pPr>
              <w:pStyle w:val="Compact"/>
              <w:jc w:val="left"/>
            </w:pPr>
            <w:r>
              <w:t xml:space="preserve">Send email via SMTP</w:t>
            </w:r>
          </w:p>
        </w:tc>
        <w:tc>
          <w:tcPr/>
          <w:p>
            <w:pPr>
              <w:pStyle w:val="Compact"/>
              <w:jc w:val="left"/>
            </w:pPr>
            <w:r>
              <w:t xml:space="preserve">Email is sent to the specified recipient without errors.</w:t>
            </w:r>
          </w:p>
        </w:tc>
      </w:tr>
    </w:tbl>
    <w:p>
      <w:pPr>
        <w:numPr>
          <w:ilvl w:val="0"/>
          <w:numId w:val="1013"/>
        </w:numPr>
        <w:pStyle w:val="Compact"/>
      </w:pPr>
      <w:r>
        <w:t xml:space="preserve">Reference Documents</w:t>
      </w:r>
    </w:p>
    <w:p>
      <w:pPr>
        <w:numPr>
          <w:ilvl w:val="0"/>
          <w:numId w:val="1014"/>
        </w:numPr>
        <w:pStyle w:val="Compact"/>
      </w:pPr>
      <w:r>
        <w:t xml:space="preserve">SAP CPI Documentation</w:t>
      </w:r>
    </w:p>
    <w:p>
      <w:pPr>
        <w:numPr>
          <w:ilvl w:val="0"/>
          <w:numId w:val="1014"/>
        </w:numPr>
        <w:pStyle w:val="Compact"/>
      </w:pPr>
      <w:r>
        <w:t xml:space="preserve">Gmail API Documentation</w:t>
      </w:r>
    </w:p>
    <w:p>
      <w:pPr>
        <w:numPr>
          <w:ilvl w:val="0"/>
          <w:numId w:val="1014"/>
        </w:numPr>
        <w:pStyle w:val="Compact"/>
      </w:pPr>
      <w:r>
        <w:t xml:space="preserve">SMTP Protocol Specifications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2026-01-05T09:58:16Z</dcterms:created>
  <dcterms:modified xsi:type="dcterms:W3CDTF">2026-01-05T09:58:16Z</dcterms:modified>
</cp:coreProperties>
</file>

<file path=docProps/custom.xml><?xml version="1.0" encoding="utf-8"?>
<Properties xmlns="http://schemas.openxmlformats.org/officeDocument/2006/custom-properties" xmlns:vt="http://schemas.openxmlformats.org/officeDocument/2006/docPropsVTypes"/>
</file>