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952500" cy="952500"/>
            <wp:effectExtent b="0" l="0" r="0" t="0"/>
            <wp:docPr descr="" title="" id="21" name="Picture"/>
            <a:graphic>
              <a:graphicData uri="http://schemas.openxmlformats.org/drawingml/2006/picture">
                <pic:pic>
                  <pic:nvPicPr>
                    <pic:cNvPr descr="https://raw.githubusercontent.com/Rohancherian783/trail1/main/assets/sap_logo.png" id="22"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r>
        <w:t xml:space="preserve"> </w:t>
      </w:r>
      <w:r>
        <w:drawing>
          <wp:inline>
            <wp:extent cx="1238250" cy="1238250"/>
            <wp:effectExtent b="0" l="0" r="0" t="0"/>
            <wp:docPr descr="" title="" id="24" name="Picture"/>
            <a:graphic>
              <a:graphicData uri="http://schemas.openxmlformats.org/drawingml/2006/picture">
                <pic:pic>
                  <pic:nvPicPr>
                    <pic:cNvPr descr="https://raw.githubusercontent.com/Rohancherian783/trail1/main/assets/motiveminds_logo.png" id="25" name="Picture"/>
                    <pic:cNvPicPr>
                      <a:picLocks noChangeArrowheads="1" noChangeAspect="1"/>
                    </pic:cNvPicPr>
                  </pic:nvPicPr>
                  <pic:blipFill>
                    <a:blip r:embed="rId23"/>
                    <a:stretch>
                      <a:fillRect/>
                    </a:stretch>
                  </pic:blipFill>
                  <pic:spPr bwMode="auto">
                    <a:xfrm>
                      <a:off x="0" y="0"/>
                      <a:ext cx="1238250" cy="1238250"/>
                    </a:xfrm>
                    <a:prstGeom prst="rect">
                      <a:avLst/>
                    </a:prstGeom>
                    <a:noFill/>
                    <a:ln w="9525">
                      <a:noFill/>
                      <a:headEnd/>
                      <a:tailEnd/>
                    </a:ln>
                  </pic:spPr>
                </pic:pic>
              </a:graphicData>
            </a:graphic>
          </wp:inline>
        </w:drawing>
      </w:r>
    </w:p>
    <w:p>
      <w:pPr>
        <w:pStyle w:val="BodyText"/>
      </w:pPr>
      <w:r>
        <w:t xml:space="preserve">#</w:t>
      </w:r>
    </w:p>
    <w:p>
      <w:pPr>
        <w:pStyle w:val="BodyText"/>
      </w:pPr>
      <w:r>
        <w:t xml:space="preserve">Task1</w:t>
      </w:r>
    </w:p>
    <w:p>
      <w:pPr>
        <w:pStyle w:val="BodyText"/>
      </w:pPr>
      <w:r>
        <w:t xml:space="preserve">Technical Specification Document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Author</w:t>
            </w:r>
          </w:p>
        </w:tc>
        <w:tc>
          <w:tcPr/>
          <w:p>
            <w:pPr>
              <w:pStyle w:val="Compact"/>
              <w:jc w:val="left"/>
            </w:pPr>
            <w:r>
              <w:t xml:space="preserve">Rohancherian783</w:t>
            </w:r>
          </w:p>
        </w:tc>
      </w:tr>
      <w:tr>
        <w:tc>
          <w:tcPr/>
          <w:p>
            <w:pPr>
              <w:pStyle w:val="Compact"/>
              <w:jc w:val="left"/>
            </w:pPr>
            <w:r>
              <w:rPr>
                <w:bCs/>
                <w:b/>
              </w:rPr>
              <w:t xml:space="preserve">Date</w:t>
            </w:r>
          </w:p>
        </w:tc>
        <w:tc>
          <w:tcPr/>
          <w:p>
            <w:pPr>
              <w:pStyle w:val="Compact"/>
              <w:jc w:val="left"/>
            </w:pPr>
            <w:r>
              <w:t xml:space="preserve">2026-01-05</w:t>
            </w:r>
          </w:p>
        </w:tc>
      </w:tr>
      <w:tr>
        <w:tc>
          <w:tcPr/>
          <w:p>
            <w:pPr>
              <w:pStyle w:val="Compact"/>
              <w:jc w:val="left"/>
            </w:pPr>
            <w:r>
              <w:rPr>
                <w:bCs/>
                <w:b/>
              </w:rPr>
              <w:t xml:space="preserve">Version</w:t>
            </w:r>
          </w:p>
        </w:tc>
        <w:tc>
          <w:tcPr/>
          <w:p>
            <w:pPr>
              <w:pStyle w:val="Compact"/>
              <w:jc w:val="left"/>
            </w:pPr>
            <w:r>
              <w:t xml:space="preserve">1.0.0</w:t>
            </w:r>
          </w:p>
        </w:tc>
      </w:tr>
    </w:tbl>
    <w:p>
      <w:pPr>
        <w:pStyle w:val="BodyText"/>
      </w:pPr>
      <w:r>
        <w:drawing>
          <wp:inline>
            <wp:extent cx="952500" cy="952500"/>
            <wp:effectExtent b="0" l="0" r="0" t="0"/>
            <wp:docPr descr="" title="" id="26" name="Picture"/>
            <a:graphic>
              <a:graphicData uri="http://schemas.openxmlformats.org/drawingml/2006/picture">
                <pic:pic>
                  <pic:nvPicPr>
                    <pic:cNvPr descr="https://raw.githubusercontent.com/Rohancherian783/trail1/main/assets/sap_logo.png" id="27"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r>
        <w:t xml:space="preserve"> </w:t>
      </w:r>
      <w:r>
        <w:drawing>
          <wp:inline>
            <wp:extent cx="1238250" cy="1238250"/>
            <wp:effectExtent b="0" l="0" r="0" t="0"/>
            <wp:docPr descr="" title="" id="28" name="Picture"/>
            <a:graphic>
              <a:graphicData uri="http://schemas.openxmlformats.org/drawingml/2006/picture">
                <pic:pic>
                  <pic:nvPicPr>
                    <pic:cNvPr descr="https://raw.githubusercontent.com/Rohancherian783/trail1/main/assets/motiveminds_logo.png" id="29" name="Picture"/>
                    <pic:cNvPicPr>
                      <a:picLocks noChangeArrowheads="1" noChangeAspect="1"/>
                    </pic:cNvPicPr>
                  </pic:nvPicPr>
                  <pic:blipFill>
                    <a:blip r:embed="rId23"/>
                    <a:stretch>
                      <a:fillRect/>
                    </a:stretch>
                  </pic:blipFill>
                  <pic:spPr bwMode="auto">
                    <a:xfrm>
                      <a:off x="0" y="0"/>
                      <a:ext cx="1238250" cy="1238250"/>
                    </a:xfrm>
                    <a:prstGeom prst="rect">
                      <a:avLst/>
                    </a:prstGeom>
                    <a:noFill/>
                    <a:ln w="9525">
                      <a:noFill/>
                      <a:headEnd/>
                      <a:tailEnd/>
                    </a:ln>
                  </pic:spPr>
                </pic:pic>
              </a:graphicData>
            </a:graphic>
          </wp:inline>
        </w:drawing>
      </w:r>
    </w:p>
    <w:p>
      <w:pPr>
        <w:pStyle w:val="BodyText"/>
      </w:pPr>
      <w:r>
        <w:t xml:space="preserve">Table of Contents</w:t>
      </w:r>
    </w:p>
    <w:p>
      <w:pPr>
        <w:numPr>
          <w:ilvl w:val="0"/>
          <w:numId w:val="1001"/>
        </w:numPr>
        <w:pStyle w:val="Compact"/>
      </w:pPr>
      <w:r>
        <w:t xml:space="preserve">Introduction</w:t>
      </w:r>
      <w:r>
        <w:t xml:space="preserve"> </w:t>
      </w:r>
      <w:r>
        <w:t xml:space="preserve"> </w:t>
      </w:r>
      <w:r>
        <w:t xml:space="preserve">    1.1 Purpose</w:t>
      </w:r>
      <w:r>
        <w:t xml:space="preserve"> </w:t>
      </w:r>
      <w:r>
        <w:t xml:space="preserve"> </w:t>
      </w:r>
      <w:r>
        <w:t xml:space="preserve">    1.2 Scope</w:t>
      </w:r>
      <w:r>
        <w:t xml:space="preserve"> </w:t>
      </w:r>
    </w:p>
    <w:p>
      <w:pPr>
        <w:numPr>
          <w:ilvl w:val="0"/>
          <w:numId w:val="1001"/>
        </w:numPr>
        <w:pStyle w:val="Compact"/>
      </w:pPr>
      <w:r>
        <w:t xml:space="preserve">Integration Overview</w:t>
      </w:r>
      <w:r>
        <w:t xml:space="preserve"> </w:t>
      </w:r>
      <w:r>
        <w:t xml:space="preserve"> </w:t>
      </w:r>
      <w:r>
        <w:t xml:space="preserve">    2.1 Integration Architecture</w:t>
      </w:r>
      <w:r>
        <w:t xml:space="preserve"> </w:t>
      </w:r>
      <w:r>
        <w:t xml:space="preserve"> </w:t>
      </w:r>
      <w:r>
        <w:t xml:space="preserve">    2.2 Integration Components</w:t>
      </w:r>
      <w:r>
        <w:t xml:space="preserve"> </w:t>
      </w:r>
    </w:p>
    <w:p>
      <w:pPr>
        <w:numPr>
          <w:ilvl w:val="0"/>
          <w:numId w:val="1001"/>
        </w:numPr>
        <w:pStyle w:val="Compact"/>
      </w:pPr>
      <w:r>
        <w:t xml:space="preserve">Integration Scenarios</w:t>
      </w:r>
      <w:r>
        <w:t xml:space="preserve"> </w:t>
      </w:r>
      <w:r>
        <w:t xml:space="preserve"> </w:t>
      </w:r>
      <w:r>
        <w:t xml:space="preserve">    3.1 Scenario Description</w:t>
      </w:r>
      <w:r>
        <w:t xml:space="preserve"> </w:t>
      </w:r>
      <w:r>
        <w:t xml:space="preserve"> </w:t>
      </w:r>
      <w:r>
        <w:t xml:space="preserve">    3.2 Data Flows</w:t>
      </w:r>
      <w:r>
        <w:t xml:space="preserve"> </w:t>
      </w:r>
      <w:r>
        <w:t xml:space="preserve"> </w:t>
      </w:r>
      <w:r>
        <w:t xml:space="preserve">    3.3 Security Requirements</w:t>
      </w:r>
      <w:r>
        <w:t xml:space="preserve"> </w:t>
      </w:r>
    </w:p>
    <w:p>
      <w:pPr>
        <w:numPr>
          <w:ilvl w:val="0"/>
          <w:numId w:val="1001"/>
        </w:numPr>
        <w:pStyle w:val="Compact"/>
      </w:pPr>
      <w:r>
        <w:t xml:space="preserve">Error Handling and Logging</w:t>
      </w:r>
      <w:r>
        <w:t xml:space="preserve"> </w:t>
      </w:r>
    </w:p>
    <w:p>
      <w:pPr>
        <w:numPr>
          <w:ilvl w:val="0"/>
          <w:numId w:val="1001"/>
        </w:numPr>
        <w:pStyle w:val="Compact"/>
      </w:pPr>
      <w:r>
        <w:t xml:space="preserve">Testing Validation</w:t>
      </w:r>
      <w:r>
        <w:t xml:space="preserve"> </w:t>
      </w:r>
    </w:p>
    <w:p>
      <w:pPr>
        <w:numPr>
          <w:ilvl w:val="0"/>
          <w:numId w:val="1001"/>
        </w:numPr>
        <w:pStyle w:val="Compact"/>
      </w:pPr>
      <w:r>
        <w:t xml:space="preserve">Reference Documents</w:t>
      </w:r>
      <w:r>
        <w:t xml:space="preserve"> </w:t>
      </w:r>
      <w:r>
        <w:t xml:space="preserve"> </w:t>
      </w:r>
      <w:r>
        <w:t xml:space="preserve">pagebreak</w:t>
      </w:r>
    </w:p>
    <w:p>
      <w:pPr>
        <w:pStyle w:val="FirstParagraph"/>
      </w:pPr>
      <w:r>
        <w:drawing>
          <wp:inline>
            <wp:extent cx="952500" cy="952500"/>
            <wp:effectExtent b="0" l="0" r="0" t="0"/>
            <wp:docPr descr="" title="" id="30" name="Picture"/>
            <a:graphic>
              <a:graphicData uri="http://schemas.openxmlformats.org/drawingml/2006/picture">
                <pic:pic>
                  <pic:nvPicPr>
                    <pic:cNvPr descr="https://raw.githubusercontent.com/Rohancherian783/trail1/main/assets/sap_logo.png" id="31" name="Picture"/>
                    <pic:cNvPicPr>
                      <a:picLocks noChangeArrowheads="1" noChangeAspect="1"/>
                    </pic:cNvPicPr>
                  </pic:nvPicPr>
                  <pic:blipFill>
                    <a:blip r:embed="rId20"/>
                    <a:stretch>
                      <a:fillRect/>
                    </a:stretch>
                  </pic:blipFill>
                  <pic:spPr bwMode="auto">
                    <a:xfrm>
                      <a:off x="0" y="0"/>
                      <a:ext cx="952500" cy="952500"/>
                    </a:xfrm>
                    <a:prstGeom prst="rect">
                      <a:avLst/>
                    </a:prstGeom>
                    <a:noFill/>
                    <a:ln w="9525">
                      <a:noFill/>
                      <a:headEnd/>
                      <a:tailEnd/>
                    </a:ln>
                  </pic:spPr>
                </pic:pic>
              </a:graphicData>
            </a:graphic>
          </wp:inline>
        </w:drawing>
      </w:r>
      <w:r>
        <w:t xml:space="preserve"> </w:t>
      </w:r>
      <w:r>
        <w:t xml:space="preserve">hfill</w:t>
      </w:r>
      <w:r>
        <w:t xml:space="preserve"> </w:t>
      </w:r>
      <w:r>
        <w:drawing>
          <wp:inline>
            <wp:extent cx="1238250" cy="1238250"/>
            <wp:effectExtent b="0" l="0" r="0" t="0"/>
            <wp:docPr descr="" title="" id="32" name="Picture"/>
            <a:graphic>
              <a:graphicData uri="http://schemas.openxmlformats.org/drawingml/2006/picture">
                <pic:pic>
                  <pic:nvPicPr>
                    <pic:cNvPr descr="https://raw.githubusercontent.com/Rohancherian783/trail1/main/assets/motiveminds_logo.png" id="33" name="Picture"/>
                    <pic:cNvPicPr>
                      <a:picLocks noChangeArrowheads="1" noChangeAspect="1"/>
                    </pic:cNvPicPr>
                  </pic:nvPicPr>
                  <pic:blipFill>
                    <a:blip r:embed="rId23"/>
                    <a:stretch>
                      <a:fillRect/>
                    </a:stretch>
                  </pic:blipFill>
                  <pic:spPr bwMode="auto">
                    <a:xfrm>
                      <a:off x="0" y="0"/>
                      <a:ext cx="1238250" cy="1238250"/>
                    </a:xfrm>
                    <a:prstGeom prst="rect">
                      <a:avLst/>
                    </a:prstGeom>
                    <a:noFill/>
                    <a:ln w="9525">
                      <a:noFill/>
                      <a:headEnd/>
                      <a:tailEnd/>
                    </a:ln>
                  </pic:spPr>
                </pic:pic>
              </a:graphicData>
            </a:graphic>
          </wp:inline>
        </w:drawing>
      </w:r>
    </w:p>
    <w:p>
      <w:pPr>
        <w:numPr>
          <w:ilvl w:val="0"/>
          <w:numId w:val="1002"/>
        </w:numPr>
        <w:pStyle w:val="Compact"/>
      </w:pPr>
      <w:r>
        <w:t xml:space="preserve">Introduction</w:t>
      </w:r>
    </w:p>
    <w:p>
      <w:pPr>
        <w:pStyle w:val="FirstParagraph"/>
      </w:pPr>
      <w:r>
        <w:t xml:space="preserve">1.1 Purpose</w:t>
      </w:r>
    </w:p>
    <w:p>
      <w:pPr>
        <w:pStyle w:val="BodyText"/>
      </w:pPr>
      <w:r>
        <w:t xml:space="preserve">The purpose of this document is to provide a comprehensive technical specification for the integration process defined in the provided BPMN XML. The integration process involves sending and receiving emails using SMTP and IMAP protocols. The business problem addressed by this integration is the need for automated email handling, which includes reading emails from a specified inbox and sending notifications or responses based on the content of those emails. This automation aims to improve efficiency, reduce manual intervention, and ensure timely communication.</w:t>
      </w:r>
    </w:p>
    <w:p>
      <w:pPr>
        <w:pStyle w:val="BodyText"/>
      </w:pPr>
      <w:r>
        <w:t xml:space="preserve">1.2 Scope</w:t>
      </w:r>
    </w:p>
    <w:p>
      <w:pPr>
        <w:pStyle w:val="BodyText"/>
      </w:pPr>
      <w:r>
        <w:t xml:space="preserve">The scope of this integration includes the following endpoints and transformations:</w:t>
      </w:r>
    </w:p>
    <w:p>
      <w:pPr>
        <w:numPr>
          <w:ilvl w:val="0"/>
          <w:numId w:val="1003"/>
        </w:numPr>
        <w:pStyle w:val="Compact"/>
      </w:pPr>
      <w:r>
        <w:rPr>
          <w:bCs/>
          <w:b/>
        </w:rPr>
        <w:t xml:space="preserve">Endpoints:</w:t>
      </w:r>
    </w:p>
    <w:p>
      <w:pPr>
        <w:numPr>
          <w:ilvl w:val="1"/>
          <w:numId w:val="1004"/>
        </w:numPr>
        <w:pStyle w:val="Compact"/>
      </w:pPr>
      <w:r>
        <w:rPr>
          <w:bCs/>
          <w:b/>
        </w:rPr>
        <w:t xml:space="preserve">Sender Endpoint:</w:t>
      </w:r>
      <w:r>
        <w:t xml:space="preserve"> </w:t>
      </w:r>
      <w:r>
        <w:t xml:space="preserve">Uses IMAP to read emails from the inbox.</w:t>
      </w:r>
    </w:p>
    <w:p>
      <w:pPr>
        <w:numPr>
          <w:ilvl w:val="1"/>
          <w:numId w:val="1004"/>
        </w:numPr>
        <w:pStyle w:val="Compact"/>
      </w:pPr>
      <w:r>
        <w:rPr>
          <w:bCs/>
          <w:b/>
        </w:rPr>
        <w:t xml:space="preserve">Receiver Endpoint:</w:t>
      </w:r>
      <w:r>
        <w:t xml:space="preserve"> </w:t>
      </w:r>
      <w:r>
        <w:t xml:space="preserve">Uses SMTP to send emails to specified recipients.</w:t>
      </w:r>
    </w:p>
    <w:p>
      <w:pPr>
        <w:numPr>
          <w:ilvl w:val="0"/>
          <w:numId w:val="1003"/>
        </w:numPr>
        <w:pStyle w:val="Compact"/>
      </w:pPr>
      <w:r>
        <w:rPr>
          <w:bCs/>
          <w:b/>
        </w:rPr>
        <w:t xml:space="preserve">Transformations:</w:t>
      </w:r>
    </w:p>
    <w:p>
      <w:pPr>
        <w:numPr>
          <w:ilvl w:val="1"/>
          <w:numId w:val="1005"/>
        </w:numPr>
        <w:pStyle w:val="Compact"/>
      </w:pPr>
      <w:r>
        <w:t xml:space="preserve">The integration process includes a Groovy script for processing email content and a content modifier for setting email headers.</w:t>
      </w:r>
    </w:p>
    <w:p>
      <w:pPr>
        <w:numPr>
          <w:ilvl w:val="0"/>
          <w:numId w:val="1003"/>
        </w:numPr>
        <w:pStyle w:val="Compact"/>
      </w:pPr>
      <w:r>
        <w:rPr>
          <w:bCs/>
          <w:b/>
        </w:rPr>
        <w:t xml:space="preserve">Constraints:</w:t>
      </w:r>
    </w:p>
    <w:p>
      <w:pPr>
        <w:numPr>
          <w:ilvl w:val="1"/>
          <w:numId w:val="1006"/>
        </w:numPr>
        <w:pStyle w:val="Compact"/>
      </w:pPr>
      <w:r>
        <w:t xml:space="preserve">The integration must handle email authentication securely.</w:t>
      </w:r>
    </w:p>
    <w:p>
      <w:pPr>
        <w:numPr>
          <w:ilvl w:val="1"/>
          <w:numId w:val="1006"/>
        </w:numPr>
        <w:pStyle w:val="Compact"/>
      </w:pPr>
      <w:r>
        <w:t xml:space="preserve">The system must ensure that emails are processed in a timely manner, adhering to specified timeout settings.</w:t>
      </w:r>
    </w:p>
    <w:p>
      <w:pPr>
        <w:numPr>
          <w:ilvl w:val="1"/>
          <w:numId w:val="1006"/>
        </w:numPr>
        <w:pStyle w:val="Compact"/>
      </w:pPr>
      <w:r>
        <w:t xml:space="preserve">The integration must comply with security protocols for email transmission.</w:t>
      </w:r>
    </w:p>
    <w:p>
      <w:pPr>
        <w:numPr>
          <w:ilvl w:val="0"/>
          <w:numId w:val="1007"/>
        </w:numPr>
        <w:pStyle w:val="Compact"/>
      </w:pPr>
      <w:r>
        <w:t xml:space="preserve">Integration Overview</w:t>
      </w:r>
    </w:p>
    <w:p>
      <w:pPr>
        <w:pStyle w:val="FirstParagraph"/>
      </w:pPr>
      <w:r>
        <w:t xml:space="preserve">2.1 Integration Architecture</w:t>
      </w:r>
    </w:p>
    <w:p>
      <w:pPr>
        <w:pStyle w:val="CaptionedFigure"/>
      </w:pPr>
      <w:r>
        <w:drawing>
          <wp:inline>
            <wp:extent cx="4000500" cy="7493000"/>
            <wp:effectExtent b="0" l="0" r="0" t="0"/>
            <wp:docPr descr="Integration Architecture" title="" id="35" name="Picture"/>
            <a:graphic>
              <a:graphicData uri="http://schemas.openxmlformats.org/drawingml/2006/picture">
                <pic:pic>
                  <pic:nvPicPr>
                    <pic:cNvPr descr="architecture.png" id="36" name="Picture"/>
                    <pic:cNvPicPr>
                      <a:picLocks noChangeArrowheads="1" noChangeAspect="1"/>
                    </pic:cNvPicPr>
                  </pic:nvPicPr>
                  <pic:blipFill>
                    <a:blip r:embed="rId34"/>
                    <a:stretch>
                      <a:fillRect/>
                    </a:stretch>
                  </pic:blipFill>
                  <pic:spPr bwMode="auto">
                    <a:xfrm>
                      <a:off x="0" y="0"/>
                      <a:ext cx="4000500" cy="7493000"/>
                    </a:xfrm>
                    <a:prstGeom prst="rect">
                      <a:avLst/>
                    </a:prstGeom>
                    <a:noFill/>
                    <a:ln w="9525">
                      <a:noFill/>
                      <a:headEnd/>
                      <a:tailEnd/>
                    </a:ln>
                  </pic:spPr>
                </pic:pic>
              </a:graphicData>
            </a:graphic>
          </wp:inline>
        </w:drawing>
      </w:r>
    </w:p>
    <w:p>
      <w:pPr>
        <w:pStyle w:val="ImageCaption"/>
      </w:pPr>
      <w:r>
        <w:t xml:space="preserve">Integration Architecture</w:t>
      </w:r>
    </w:p>
    <w:p>
      <w:pPr>
        <w:pStyle w:val="BodyText"/>
      </w:pPr>
      <w:r>
        <w:t xml:space="preserve">2.2 Integration Components</w:t>
      </w:r>
    </w:p>
    <w:p>
      <w:pPr>
        <w:pStyle w:val="BodyText"/>
      </w:pPr>
      <w:r>
        <w:t xml:space="preserve">The integration components identified in the process are as follows:</w:t>
      </w:r>
    </w:p>
    <w:p>
      <w:pPr>
        <w:numPr>
          <w:ilvl w:val="0"/>
          <w:numId w:val="1008"/>
        </w:numPr>
        <w:pStyle w:val="Compact"/>
      </w:pPr>
      <w:r>
        <w:rPr>
          <w:bCs/>
          <w:b/>
        </w:rPr>
        <w:t xml:space="preserve">Adapters:</w:t>
      </w:r>
    </w:p>
    <w:p>
      <w:pPr>
        <w:numPr>
          <w:ilvl w:val="1"/>
          <w:numId w:val="1009"/>
        </w:numPr>
        <w:pStyle w:val="Compact"/>
      </w:pPr>
      <w:r>
        <w:t xml:space="preserve">IMAP Adapter for receiving emails.</w:t>
      </w:r>
    </w:p>
    <w:p>
      <w:pPr>
        <w:numPr>
          <w:ilvl w:val="1"/>
          <w:numId w:val="1009"/>
        </w:numPr>
        <w:pStyle w:val="Compact"/>
      </w:pPr>
      <w:r>
        <w:t xml:space="preserve">SMTP Adapter for sending emails.</w:t>
      </w:r>
    </w:p>
    <w:p>
      <w:pPr>
        <w:numPr>
          <w:ilvl w:val="0"/>
          <w:numId w:val="1008"/>
        </w:numPr>
        <w:pStyle w:val="Compact"/>
      </w:pPr>
      <w:r>
        <w:rPr>
          <w:bCs/>
          <w:b/>
        </w:rPr>
        <w:t xml:space="preserve">Script Steps:</w:t>
      </w:r>
    </w:p>
    <w:p>
      <w:pPr>
        <w:numPr>
          <w:ilvl w:val="1"/>
          <w:numId w:val="1010"/>
        </w:numPr>
        <w:pStyle w:val="Compact"/>
      </w:pPr>
      <w:r>
        <w:t xml:space="preserve">Groovy Script (script30.groovy) for processing email content.</w:t>
      </w:r>
    </w:p>
    <w:p>
      <w:pPr>
        <w:numPr>
          <w:ilvl w:val="0"/>
          <w:numId w:val="1008"/>
        </w:numPr>
        <w:pStyle w:val="Compact"/>
      </w:pPr>
      <w:r>
        <w:rPr>
          <w:bCs/>
          <w:b/>
        </w:rPr>
        <w:t xml:space="preserve">Content Modifiers:</w:t>
      </w:r>
    </w:p>
    <w:p>
      <w:pPr>
        <w:numPr>
          <w:ilvl w:val="1"/>
          <w:numId w:val="1011"/>
        </w:numPr>
        <w:pStyle w:val="Compact"/>
      </w:pPr>
      <w:r>
        <w:t xml:space="preserve">Content Modifier for setting email headers (e.g., subject).</w:t>
      </w:r>
    </w:p>
    <w:p>
      <w:pPr>
        <w:numPr>
          <w:ilvl w:val="0"/>
          <w:numId w:val="1012"/>
        </w:numPr>
        <w:pStyle w:val="Compact"/>
      </w:pPr>
      <w:r>
        <w:t xml:space="preserve">Integration Scenarios</w:t>
      </w:r>
    </w:p>
    <w:p>
      <w:pPr>
        <w:pStyle w:val="FirstParagraph"/>
      </w:pPr>
      <w:r>
        <w:t xml:space="preserve">3.1 Scenario Description</w:t>
      </w:r>
    </w:p>
    <w:p>
      <w:pPr>
        <w:pStyle w:val="BodyText"/>
      </w:pPr>
      <w:r>
        <w:t xml:space="preserve">The integration scenario can be described in the following steps:</w:t>
      </w:r>
    </w:p>
    <w:p>
      <w:pPr>
        <w:numPr>
          <w:ilvl w:val="0"/>
          <w:numId w:val="1013"/>
        </w:numPr>
        <w:pStyle w:val="Compact"/>
      </w:pPr>
      <w:r>
        <w:rPr>
          <w:bCs/>
          <w:b/>
        </w:rPr>
        <w:t xml:space="preserve">Start Event:</w:t>
      </w:r>
      <w:r>
        <w:t xml:space="preserve"> </w:t>
      </w:r>
      <w:r>
        <w:t xml:space="preserve">The process begins with a start event that triggers the integration flow.</w:t>
      </w:r>
    </w:p>
    <w:p>
      <w:pPr>
        <w:numPr>
          <w:ilvl w:val="0"/>
          <w:numId w:val="1013"/>
        </w:numPr>
        <w:pStyle w:val="Compact"/>
      </w:pPr>
      <w:r>
        <w:rPr>
          <w:bCs/>
          <w:b/>
        </w:rPr>
        <w:t xml:space="preserve">Receive Email:</w:t>
      </w:r>
      <w:r>
        <w:t xml:space="preserve"> </w:t>
      </w:r>
      <w:r>
        <w:t xml:space="preserve">The IMAP adapter polls the specified inbox for new emails. It retrieves unread emails based on the defined criteria.</w:t>
      </w:r>
    </w:p>
    <w:p>
      <w:pPr>
        <w:numPr>
          <w:ilvl w:val="0"/>
          <w:numId w:val="1013"/>
        </w:numPr>
        <w:pStyle w:val="Compact"/>
      </w:pPr>
      <w:r>
        <w:rPr>
          <w:bCs/>
          <w:b/>
        </w:rPr>
        <w:t xml:space="preserve">Process Email:</w:t>
      </w:r>
      <w:r>
        <w:t xml:space="preserve"> </w:t>
      </w:r>
      <w:r>
        <w:t xml:space="preserve">The Groovy script processes the content of the received email. This may involve extracting specific information or transforming the content as needed.</w:t>
      </w:r>
    </w:p>
    <w:p>
      <w:pPr>
        <w:numPr>
          <w:ilvl w:val="0"/>
          <w:numId w:val="1013"/>
        </w:numPr>
        <w:pStyle w:val="Compact"/>
      </w:pPr>
      <w:r>
        <w:rPr>
          <w:bCs/>
          <w:b/>
        </w:rPr>
        <w:t xml:space="preserve">Modify Content:</w:t>
      </w:r>
      <w:r>
        <w:t xml:space="preserve"> </w:t>
      </w:r>
      <w:r>
        <w:t xml:space="preserve">The content modifier sets the email subject and any other necessary headers based on the processed content.</w:t>
      </w:r>
    </w:p>
    <w:p>
      <w:pPr>
        <w:numPr>
          <w:ilvl w:val="0"/>
          <w:numId w:val="1013"/>
        </w:numPr>
        <w:pStyle w:val="Compact"/>
      </w:pPr>
      <w:r>
        <w:rPr>
          <w:bCs/>
          <w:b/>
        </w:rPr>
        <w:t xml:space="preserve">Send Email:</w:t>
      </w:r>
      <w:r>
        <w:t xml:space="preserve"> </w:t>
      </w:r>
      <w:r>
        <w:t xml:space="preserve">The SMTP adapter sends the processed email to the specified recipient(s).</w:t>
      </w:r>
    </w:p>
    <w:p>
      <w:pPr>
        <w:numPr>
          <w:ilvl w:val="0"/>
          <w:numId w:val="1013"/>
        </w:numPr>
        <w:pStyle w:val="Compact"/>
      </w:pPr>
      <w:r>
        <w:rPr>
          <w:bCs/>
          <w:b/>
        </w:rPr>
        <w:t xml:space="preserve">End Event:</w:t>
      </w:r>
      <w:r>
        <w:t xml:space="preserve"> </w:t>
      </w:r>
      <w:r>
        <w:t xml:space="preserve">The process concludes with an end event, indicating that the email has been successfully sent.</w:t>
      </w:r>
    </w:p>
    <w:p>
      <w:pPr>
        <w:pStyle w:val="FirstParagraph"/>
      </w:pPr>
      <w:r>
        <w:t xml:space="preserve">3.2 Data Flows</w:t>
      </w:r>
    </w:p>
    <w:p>
      <w:pPr>
        <w:pStyle w:val="BodyText"/>
      </w:pPr>
      <w:r>
        <w:t xml:space="preserve">The data flow involves the following key elements:</w:t>
      </w:r>
    </w:p>
    <w:p>
      <w:pPr>
        <w:numPr>
          <w:ilvl w:val="0"/>
          <w:numId w:val="1014"/>
        </w:numPr>
        <w:pStyle w:val="Compact"/>
      </w:pPr>
      <w:r>
        <w:t xml:space="preserve">Incoming email data from the IMAP adapter.</w:t>
      </w:r>
    </w:p>
    <w:p>
      <w:pPr>
        <w:numPr>
          <w:ilvl w:val="0"/>
          <w:numId w:val="1014"/>
        </w:numPr>
        <w:pStyle w:val="Compact"/>
      </w:pPr>
      <w:r>
        <w:t xml:space="preserve">Processed data from the Groovy script.</w:t>
      </w:r>
    </w:p>
    <w:p>
      <w:pPr>
        <w:numPr>
          <w:ilvl w:val="0"/>
          <w:numId w:val="1014"/>
        </w:numPr>
        <w:pStyle w:val="Compact"/>
      </w:pPr>
      <w:r>
        <w:t xml:space="preserve">Outgoing email data sent via the SMTP adapter.</w:t>
      </w:r>
    </w:p>
    <w:p>
      <w:pPr>
        <w:pStyle w:val="FirstParagraph"/>
      </w:pPr>
      <w:r>
        <w:t xml:space="preserve">3.3 Security Requirements</w:t>
      </w:r>
    </w:p>
    <w:p>
      <w:pPr>
        <w:pStyle w:val="BodyText"/>
      </w:pPr>
      <w:r>
        <w:t xml:space="preserve">The integration must adhere to the following security requirements:</w:t>
      </w:r>
    </w:p>
    <w:p>
      <w:pPr>
        <w:numPr>
          <w:ilvl w:val="0"/>
          <w:numId w:val="1015"/>
        </w:numPr>
        <w:pStyle w:val="Compact"/>
      </w:pPr>
      <w:r>
        <w:t xml:space="preserve">Use secure authentication methods for both IMAP and SMTP connections.</w:t>
      </w:r>
    </w:p>
    <w:p>
      <w:pPr>
        <w:numPr>
          <w:ilvl w:val="0"/>
          <w:numId w:val="1015"/>
        </w:numPr>
        <w:pStyle w:val="Compact"/>
      </w:pPr>
      <w:r>
        <w:t xml:space="preserve">Ensure that sensitive information is encrypted during transmission.</w:t>
      </w:r>
    </w:p>
    <w:p>
      <w:pPr>
        <w:numPr>
          <w:ilvl w:val="0"/>
          <w:numId w:val="1015"/>
        </w:numPr>
        <w:pStyle w:val="Compact"/>
      </w:pPr>
      <w:r>
        <w:t xml:space="preserve">Implement logging mechanisms to track email processing and any errors encountered.</w:t>
      </w:r>
    </w:p>
    <w:p>
      <w:pPr>
        <w:numPr>
          <w:ilvl w:val="0"/>
          <w:numId w:val="1016"/>
        </w:numPr>
        <w:pStyle w:val="Compact"/>
      </w:pPr>
      <w:r>
        <w:t xml:space="preserve">Error Handling and Logging</w:t>
      </w:r>
    </w:p>
    <w:p>
      <w:pPr>
        <w:pStyle w:val="FirstParagraph"/>
      </w:pPr>
      <w:r>
        <w:t xml:space="preserve">Error handling mechanisms should be implemented to capture and log any errors that occur during the email processing. This includes:</w:t>
      </w:r>
    </w:p>
    <w:p>
      <w:pPr>
        <w:numPr>
          <w:ilvl w:val="0"/>
          <w:numId w:val="1017"/>
        </w:numPr>
        <w:pStyle w:val="Compact"/>
      </w:pPr>
      <w:r>
        <w:t xml:space="preserve">Logging failed email sends.</w:t>
      </w:r>
    </w:p>
    <w:p>
      <w:pPr>
        <w:numPr>
          <w:ilvl w:val="0"/>
          <w:numId w:val="1017"/>
        </w:numPr>
        <w:pStyle w:val="Compact"/>
      </w:pPr>
      <w:r>
        <w:t xml:space="preserve">Capturing exceptions thrown by the Groovy script.</w:t>
      </w:r>
    </w:p>
    <w:p>
      <w:pPr>
        <w:numPr>
          <w:ilvl w:val="0"/>
          <w:numId w:val="1017"/>
        </w:numPr>
        <w:pStyle w:val="Compact"/>
      </w:pPr>
      <w:r>
        <w:t xml:space="preserve">Providing alerts for critical failures.</w:t>
      </w:r>
    </w:p>
    <w:p>
      <w:pPr>
        <w:numPr>
          <w:ilvl w:val="0"/>
          <w:numId w:val="1018"/>
        </w:numPr>
        <w:pStyle w:val="Compact"/>
      </w:pPr>
      <w:r>
        <w:t xml:space="preserve">Testing Validation</w:t>
      </w:r>
    </w:p>
    <w:p>
      <w:pPr>
        <w:pStyle w:val="FirstParagraph"/>
      </w:pPr>
      <w:r>
        <w:t xml:space="preserve">Testing should be conducted to validate the integration process, including:</w:t>
      </w:r>
    </w:p>
    <w:p>
      <w:pPr>
        <w:numPr>
          <w:ilvl w:val="0"/>
          <w:numId w:val="1019"/>
        </w:numPr>
        <w:pStyle w:val="Compact"/>
      </w:pPr>
      <w:r>
        <w:t xml:space="preserve">Unit testing of the Groovy script.</w:t>
      </w:r>
    </w:p>
    <w:p>
      <w:pPr>
        <w:numPr>
          <w:ilvl w:val="0"/>
          <w:numId w:val="1019"/>
        </w:numPr>
        <w:pStyle w:val="Compact"/>
      </w:pPr>
      <w:r>
        <w:t xml:space="preserve">End-to-end testing of the email sending and receiving functionality.</w:t>
      </w:r>
    </w:p>
    <w:p>
      <w:pPr>
        <w:numPr>
          <w:ilvl w:val="0"/>
          <w:numId w:val="1019"/>
        </w:numPr>
        <w:pStyle w:val="Compact"/>
      </w:pPr>
      <w:r>
        <w:t xml:space="preserve">Performance testing to ensure the system can handle the expected email volume.</w:t>
      </w:r>
    </w:p>
    <w:p>
      <w:pPr>
        <w:numPr>
          <w:ilvl w:val="0"/>
          <w:numId w:val="1020"/>
        </w:numPr>
        <w:pStyle w:val="Compact"/>
      </w:pPr>
      <w:r>
        <w:t xml:space="preserve">Reference Documents</w:t>
      </w:r>
    </w:p>
    <w:p>
      <w:pPr>
        <w:numPr>
          <w:ilvl w:val="0"/>
          <w:numId w:val="1021"/>
        </w:numPr>
        <w:pStyle w:val="Compact"/>
      </w:pPr>
      <w:r>
        <w:t xml:space="preserve">SAP CPI Documentation</w:t>
      </w:r>
    </w:p>
    <w:p>
      <w:pPr>
        <w:numPr>
          <w:ilvl w:val="0"/>
          <w:numId w:val="1021"/>
        </w:numPr>
        <w:pStyle w:val="Compact"/>
      </w:pPr>
      <w:r>
        <w:t xml:space="preserve">Email Protocol Specifications (SMTP, IMAP)</w:t>
      </w:r>
    </w:p>
    <w:p>
      <w:pPr>
        <w:numPr>
          <w:ilvl w:val="0"/>
          <w:numId w:val="1021"/>
        </w:numPr>
        <w:pStyle w:val="Compact"/>
      </w:pPr>
      <w:r>
        <w:t xml:space="preserve">Groovy Language Documentation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1"/>
  </w:num>
  <w:num w:numId="1010">
    <w:abstractNumId w:val="991"/>
  </w:num>
  <w:num w:numId="1011">
    <w:abstractNumId w:val="991"/>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2026-01-05T10:45:12Z</dcterms:created>
  <dcterms:modified xsi:type="dcterms:W3CDTF">2026-01-05T10:45:12Z</dcterms:modified>
</cp:coreProperties>
</file>

<file path=docProps/custom.xml><?xml version="1.0" encoding="utf-8"?>
<Properties xmlns="http://schemas.openxmlformats.org/officeDocument/2006/custom-properties" xmlns:vt="http://schemas.openxmlformats.org/officeDocument/2006/docPropsVTypes"/>
</file>