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p>
    <w:p>
      <w:pPr>
        <w:pStyle w:val="BodyText"/>
      </w:pPr>
    </w:p>
    <w:p>
      <w:pPr>
        <w:pStyle w:val="SourceCode"/>
      </w:pPr>
      <w:r>
        <w:rPr>
          <w:rStyle w:val="VerbatimChar"/>
        </w:rPr>
        <w:t xml:space="preserve">              &lt;h1 style='color: #1f4e79; font-size: 32pt;'&gt;Task1&lt;/h1&gt;</w:t>
      </w:r>
      <w:r>
        <w:br/>
      </w:r>
      <w:r>
        <w:rPr>
          <w:rStyle w:val="VerbatimChar"/>
        </w:rPr>
        <w:t xml:space="preserve">              &lt;p style='font-size: 18pt;'&gt;Technical Specification Document&lt;/p&gt;</w:t>
      </w:r>
      <w:r>
        <w:br/>
      </w:r>
      <w:r>
        <w:rPr>
          <w:rStyle w:val="VerbatimChar"/>
        </w:rPr>
        <w:t xml:space="preserve">              &lt;br&gt;&lt;br&gt;</w:t>
      </w:r>
      <w:r>
        <w:br/>
      </w:r>
      <w:r>
        <w:rPr>
          <w:rStyle w:val="VerbatimChar"/>
        </w:rPr>
        <w:t xml:space="preserve">              &lt;table style='width: 80%; margin: 0 auto; border: 1px solid black;'&gt;</w:t>
      </w:r>
      <w:r>
        <w:br/>
      </w:r>
      <w:r>
        <w:rPr>
          <w:rStyle w:val="VerbatimChar"/>
        </w:rPr>
        <w:t xml:space="preserve">                &lt;tr&gt;&lt;td&gt;&lt;b&gt;Author&lt;/b&gt;&lt;/td&gt;&lt;td&gt;Rohancherian783&lt;/td&gt;&lt;/tr&gt;</w:t>
      </w:r>
      <w:r>
        <w:br/>
      </w:r>
      <w:r>
        <w:rPr>
          <w:rStyle w:val="VerbatimChar"/>
        </w:rPr>
        <w:t xml:space="preserve">                &lt;tr&gt;&lt;td&gt;&lt;b&gt;Date&lt;/b&gt;&lt;/td&gt;&lt;td&gt;2026-01-05&lt;/td&gt;&lt;/tr&gt;</w:t>
      </w:r>
      <w:r>
        <w:br/>
      </w:r>
      <w:r>
        <w:rPr>
          <w:rStyle w:val="VerbatimChar"/>
        </w:rPr>
        <w:t xml:space="preserve">                &lt;tr&gt;&lt;td&gt;&lt;b&gt;Version&lt;/b&gt;&lt;/td&gt;&lt;td&gt;1.0.0&lt;/td&gt;&lt;/tr&gt;</w:t>
      </w:r>
      <w:r>
        <w:br/>
      </w:r>
      <w:r>
        <w:rPr>
          <w:rStyle w:val="VerbatimChar"/>
        </w:rPr>
        <w:t xml:space="preserve">              &lt;/table&gt;</w:t>
      </w:r>
      <w:r>
        <w:br/>
      </w:r>
      <w:r>
        <w:rPr>
          <w:rStyle w:val="VerbatimChar"/>
        </w:rPr>
        <w:t xml:space="preserve">            &lt;/div&gt;</w:t>
      </w:r>
    </w:p>
    <w:p>
      <w:pPr>
        <w:pStyle w:val="FirstParagraph"/>
      </w:pPr>
    </w:p>
    <w:p>
      <w:pPr>
        <w:pStyle w:val="BodyText"/>
      </w:pPr>
    </w:p>
    <w:p>
      <w:pPr>
        <w:pStyle w:val="BodyText"/>
      </w:pPr>
      <w:r>
        <w:t xml:space="preserve">Table of Contents</w:t>
      </w:r>
    </w:p>
    <w:p>
      <w:pPr>
        <w:numPr>
          <w:ilvl w:val="0"/>
          <w:numId w:val="1001"/>
        </w:numPr>
        <w:pStyle w:val="Compact"/>
      </w:pPr>
      <w:r>
        <w:t xml:space="preserve">Introduction</w:t>
      </w:r>
      <w:r>
        <w:t xml:space="preserve"> </w:t>
      </w:r>
      <w:r>
        <w:t xml:space="preserve"> </w:t>
      </w:r>
      <w:r>
        <w:t xml:space="preserve">    1.1 Purpose</w:t>
      </w:r>
      <w:r>
        <w:t xml:space="preserve"> </w:t>
      </w:r>
      <w:r>
        <w:t xml:space="preserve"> </w:t>
      </w:r>
      <w:r>
        <w:t xml:space="preserve">    1.2 Scope</w:t>
      </w:r>
      <w:r>
        <w:t xml:space="preserve"> </w:t>
      </w:r>
    </w:p>
    <w:p>
      <w:pPr>
        <w:numPr>
          <w:ilvl w:val="0"/>
          <w:numId w:val="1001"/>
        </w:numPr>
        <w:pStyle w:val="Compact"/>
      </w:pPr>
      <w:r>
        <w:t xml:space="preserve">Integration Overview</w:t>
      </w:r>
      <w:r>
        <w:t xml:space="preserve"> </w:t>
      </w:r>
      <w:r>
        <w:t xml:space="preserve"> </w:t>
      </w:r>
      <w:r>
        <w:t xml:space="preserve">    2.1 Integration Architecture</w:t>
      </w:r>
      <w:r>
        <w:t xml:space="preserve"> </w:t>
      </w:r>
      <w:r>
        <w:t xml:space="preserve"> </w:t>
      </w:r>
      <w:r>
        <w:t xml:space="preserve">    2.2 Integration Components</w:t>
      </w:r>
      <w:r>
        <w:t xml:space="preserve"> </w:t>
      </w:r>
    </w:p>
    <w:p>
      <w:pPr>
        <w:numPr>
          <w:ilvl w:val="0"/>
          <w:numId w:val="1001"/>
        </w:numPr>
        <w:pStyle w:val="Compact"/>
      </w:pPr>
      <w:r>
        <w:t xml:space="preserve">Integration Scenarios</w:t>
      </w:r>
      <w:r>
        <w:t xml:space="preserve"> </w:t>
      </w:r>
      <w:r>
        <w:t xml:space="preserve"> </w:t>
      </w:r>
      <w:r>
        <w:t xml:space="preserve">    3.1 Scenario Description</w:t>
      </w:r>
      <w:r>
        <w:t xml:space="preserve"> </w:t>
      </w:r>
      <w:r>
        <w:t xml:space="preserve"> </w:t>
      </w:r>
      <w:r>
        <w:t xml:space="preserve">    3.2 Data Flows</w:t>
      </w:r>
      <w:r>
        <w:t xml:space="preserve"> </w:t>
      </w:r>
      <w:r>
        <w:t xml:space="preserve"> </w:t>
      </w:r>
      <w:r>
        <w:t xml:space="preserve">    3.3 Security Requirements</w:t>
      </w:r>
      <w:r>
        <w:t xml:space="preserve"> </w:t>
      </w:r>
    </w:p>
    <w:p>
      <w:pPr>
        <w:numPr>
          <w:ilvl w:val="0"/>
          <w:numId w:val="1001"/>
        </w:numPr>
        <w:pStyle w:val="Compact"/>
      </w:pPr>
      <w:r>
        <w:t xml:space="preserve">Error Handling and Logging</w:t>
      </w:r>
      <w:r>
        <w:t xml:space="preserve"> </w:t>
      </w:r>
    </w:p>
    <w:p>
      <w:pPr>
        <w:numPr>
          <w:ilvl w:val="0"/>
          <w:numId w:val="1001"/>
        </w:numPr>
        <w:pStyle w:val="Compact"/>
      </w:pPr>
      <w:r>
        <w:t xml:space="preserve">Testing Validation</w:t>
      </w:r>
      <w:r>
        <w:t xml:space="preserve"> </w:t>
      </w:r>
    </w:p>
    <w:p>
      <w:pPr>
        <w:numPr>
          <w:ilvl w:val="0"/>
          <w:numId w:val="1001"/>
        </w:numPr>
        <w:pStyle w:val="Compact"/>
      </w:pPr>
      <w:r>
        <w:t xml:space="preserve">Reference Documents</w:t>
      </w:r>
      <w:r>
        <w:t xml:space="preserve"> </w:t>
      </w:r>
    </w:p>
    <w:p>
      <w:pPr>
        <w:numPr>
          <w:ilvl w:val="0"/>
          <w:numId w:val="1000"/>
        </w:numPr>
        <w:pStyle w:val="Compact"/>
      </w:pPr>
    </w:p>
    <w:p>
      <w:pPr>
        <w:numPr>
          <w:ilvl w:val="0"/>
          <w:numId w:val="1000"/>
        </w:numPr>
        <w:pStyle w:val="Compact"/>
      </w:pPr>
    </w:p>
    <w:p>
      <w:pPr>
        <w:numPr>
          <w:ilvl w:val="0"/>
          <w:numId w:val="1002"/>
        </w:numPr>
        <w:pStyle w:val="Compact"/>
      </w:pPr>
      <w:r>
        <w:t xml:space="preserve">Introduction</w:t>
      </w:r>
    </w:p>
    <w:p>
      <w:pPr>
        <w:numPr>
          <w:ilvl w:val="0"/>
          <w:numId w:val="1000"/>
        </w:numPr>
        <w:pStyle w:val="Compact"/>
      </w:pPr>
      <w:r>
        <w:t xml:space="preserve">1.1 Purpose:</w:t>
      </w:r>
    </w:p>
    <w:p>
      <w:pPr>
        <w:pStyle w:val="FirstParagraph"/>
      </w:pPr>
      <w:r>
        <w:t xml:space="preserve">The purpose of the iFlow</w:t>
      </w:r>
      <w:r>
        <w:t xml:space="preserve"> </w:t>
      </w:r>
      <w:r>
        <w:t xml:space="preserve">‘</w:t>
      </w:r>
      <w:r>
        <w:t xml:space="preserve">Task1</w:t>
      </w:r>
      <w:r>
        <w:t xml:space="preserve">’</w:t>
      </w:r>
      <w:r>
        <w:t xml:space="preserve"> </w:t>
      </w:r>
      <w:r>
        <w:t xml:space="preserve">is to automate the process of receiving emails from a specified Gmail account and subsequently sending those emails to a designated recipient. This integration addresses the business need for efficient email handling, ensuring that important communications are not missed and are forwarded to the appropriate parties in a timely manner.</w:t>
      </w:r>
    </w:p>
    <w:p>
      <w:pPr>
        <w:pStyle w:val="BodyText"/>
      </w:pPr>
      <w:r>
        <w:t xml:space="preserve">The trigger mechanism for this iFlow is based on a scheduled polling of the Gmail inbox using the IMAP protocol. The iFlow is designed to check for unread emails at regular intervals, process them, and then send the content of these emails to a specified recipient via SMTP. The desired technical outcome is to create a seamless flow of information from the sender’s inbox to the receiver’s inbox, while also allowing for the transformation of email content as needed.</w:t>
      </w:r>
    </w:p>
    <w:p>
      <w:pPr>
        <w:pStyle w:val="BodyText"/>
      </w:pPr>
      <w:r>
        <w:t xml:space="preserve">1.2 Scope:</w:t>
      </w:r>
    </w:p>
    <w:p>
      <w:pPr>
        <w:pStyle w:val="BodyText"/>
      </w:pPr>
      <w:r>
        <w:t xml:space="preserve">The scope of this iFlow includes the following components:</w:t>
      </w:r>
    </w:p>
    <w:p>
      <w:pPr>
        <w:numPr>
          <w:ilvl w:val="0"/>
          <w:numId w:val="1003"/>
        </w:numPr>
        <w:pStyle w:val="Compact"/>
      </w:pPr>
      <w:r>
        <w:rPr>
          <w:bCs/>
          <w:b/>
        </w:rPr>
        <w:t xml:space="preserve">Endpoints</w:t>
      </w:r>
      <w:r>
        <w:t xml:space="preserve">:</w:t>
      </w:r>
    </w:p>
    <w:p>
      <w:pPr>
        <w:numPr>
          <w:ilvl w:val="1"/>
          <w:numId w:val="1004"/>
        </w:numPr>
        <w:pStyle w:val="Compact"/>
      </w:pPr>
      <w:r>
        <w:rPr>
          <w:bCs/>
          <w:b/>
        </w:rPr>
        <w:t xml:space="preserve">Sender</w:t>
      </w:r>
      <w:r>
        <w:t xml:space="preserve">: Gmail IMAP server for receiving emails.</w:t>
      </w:r>
    </w:p>
    <w:p>
      <w:pPr>
        <w:numPr>
          <w:ilvl w:val="1"/>
          <w:numId w:val="1004"/>
        </w:numPr>
        <w:pStyle w:val="Compact"/>
      </w:pPr>
      <w:r>
        <w:rPr>
          <w:bCs/>
          <w:b/>
        </w:rPr>
        <w:t xml:space="preserve">Receiver</w:t>
      </w:r>
      <w:r>
        <w:t xml:space="preserve">: SMTP server for sending emails.</w:t>
      </w:r>
    </w:p>
    <w:p>
      <w:pPr>
        <w:numPr>
          <w:ilvl w:val="0"/>
          <w:numId w:val="1003"/>
        </w:numPr>
        <w:pStyle w:val="Compact"/>
      </w:pPr>
      <w:r>
        <w:rPr>
          <w:bCs/>
          <w:b/>
        </w:rPr>
        <w:t xml:space="preserve">Data Transformation Logic</w:t>
      </w:r>
      <w:r>
        <w:t xml:space="preserve">:</w:t>
      </w:r>
    </w:p>
    <w:p>
      <w:pPr>
        <w:numPr>
          <w:ilvl w:val="1"/>
          <w:numId w:val="1005"/>
        </w:numPr>
        <w:pStyle w:val="Compact"/>
      </w:pPr>
      <w:r>
        <w:t xml:space="preserve">The iFlow includes a Groovy script that processes the email content before sending it to the recipient. This may involve modifying the subject line or body of the email.</w:t>
      </w:r>
    </w:p>
    <w:p>
      <w:pPr>
        <w:numPr>
          <w:ilvl w:val="0"/>
          <w:numId w:val="1003"/>
        </w:numPr>
        <w:pStyle w:val="Compact"/>
      </w:pPr>
      <w:r>
        <w:rPr>
          <w:bCs/>
          <w:b/>
        </w:rPr>
        <w:t xml:space="preserve">Target Systems</w:t>
      </w:r>
      <w:r>
        <w:t xml:space="preserve">:</w:t>
      </w:r>
    </w:p>
    <w:p>
      <w:pPr>
        <w:numPr>
          <w:ilvl w:val="1"/>
          <w:numId w:val="1006"/>
        </w:numPr>
        <w:pStyle w:val="Compact"/>
      </w:pPr>
      <w:r>
        <w:t xml:space="preserve">The integration targets a Gmail account for receiving emails and a specified email address for sending emails.</w:t>
      </w:r>
    </w:p>
    <w:p>
      <w:pPr>
        <w:pStyle w:val="FirstParagraph"/>
      </w:pPr>
      <w:r>
        <w:rPr>
          <w:bCs/>
          <w:b/>
        </w:rPr>
        <w:t xml:space="preserve">Constraints/Exclusions</w:t>
      </w:r>
      <w:r>
        <w:t xml:space="preserve">:</w:t>
      </w:r>
      <w:r>
        <w:t xml:space="preserve"> </w:t>
      </w:r>
      <w:r>
        <w:t xml:space="preserve">- The iFlow does not handle attachments from the received emails.</w:t>
      </w:r>
      <w:r>
        <w:t xml:space="preserve"> </w:t>
      </w:r>
      <w:r>
        <w:t xml:space="preserve">- It does not include error handling for invalid email addresses or SMTP server issues.</w:t>
      </w:r>
      <w:r>
        <w:t xml:space="preserve"> </w:t>
      </w:r>
      <w:r>
        <w:t xml:space="preserve">- The integration is limited to processing unread emails only.</w:t>
      </w:r>
    </w:p>
    <w:p>
      <w:pPr>
        <w:numPr>
          <w:ilvl w:val="0"/>
          <w:numId w:val="1007"/>
        </w:numPr>
        <w:pStyle w:val="Compact"/>
      </w:pPr>
      <w:r>
        <w:t xml:space="preserve">Integration Overview</w:t>
      </w:r>
    </w:p>
    <w:p>
      <w:pPr>
        <w:numPr>
          <w:ilvl w:val="0"/>
          <w:numId w:val="1000"/>
        </w:numPr>
        <w:pStyle w:val="Compact"/>
      </w:pPr>
      <w:r>
        <w:t xml:space="preserve">2.1 Integration Architecture:</w:t>
      </w:r>
    </w:p>
    <w:p>
      <w:pPr>
        <w:pStyle w:val="CaptionedFigure"/>
      </w:pPr>
      <w:r>
        <w:drawing>
          <wp:inline>
            <wp:extent cx="3505200" cy="7797800"/>
            <wp:effectExtent b="0" l="0" r="0" t="0"/>
            <wp:docPr descr="Integration Architecture" title="" id="21" name="Picture"/>
            <a:graphic>
              <a:graphicData uri="http://schemas.openxmlformats.org/drawingml/2006/picture">
                <pic:pic>
                  <pic:nvPicPr>
                    <pic:cNvPr descr="architecture.png" id="22" name="Picture"/>
                    <pic:cNvPicPr>
                      <a:picLocks noChangeArrowheads="1" noChangeAspect="1"/>
                    </pic:cNvPicPr>
                  </pic:nvPicPr>
                  <pic:blipFill>
                    <a:blip r:embed="rId20"/>
                    <a:stretch>
                      <a:fillRect/>
                    </a:stretch>
                  </pic:blipFill>
                  <pic:spPr bwMode="auto">
                    <a:xfrm>
                      <a:off x="0" y="0"/>
                      <a:ext cx="3505200" cy="7797800"/>
                    </a:xfrm>
                    <a:prstGeom prst="rect">
                      <a:avLst/>
                    </a:prstGeom>
                    <a:noFill/>
                    <a:ln w="9525">
                      <a:noFill/>
                      <a:headEnd/>
                      <a:tailEnd/>
                    </a:ln>
                  </pic:spPr>
                </pic:pic>
              </a:graphicData>
            </a:graphic>
          </wp:inline>
        </w:drawing>
      </w:r>
    </w:p>
    <w:p>
      <w:pPr>
        <w:pStyle w:val="ImageCaption"/>
      </w:pPr>
      <w:r>
        <w:t xml:space="preserve">Integration Architecture</w:t>
      </w:r>
    </w:p>
    <w:p>
      <w:pPr>
        <w:pStyle w:val="BodyText"/>
      </w:pPr>
      <w:r>
        <w:t xml:space="preserve">2.2 Integration Components:</w:t>
      </w:r>
    </w:p>
    <w:tbl>
      <w:tblPr>
        <w:tblStyle w:val="Table"/>
        <w:tblW w:type="pct" w:w="5000"/>
        <w:tblLook w:firstRow="1" w:lastRow="0" w:firstColumn="0" w:lastColumn="0" w:noHBand="0" w:noVBand="0" w:val="0020"/>
        <w:jc w:val="start"/>
      </w:tblPr>
      <w:tblGrid>
        <w:gridCol w:w="1400"/>
        <w:gridCol w:w="1508"/>
        <w:gridCol w:w="5010"/>
      </w:tblGrid>
      <w:tr>
        <w:trPr>
          <w:tblHeader w:val="true"/>
        </w:trPr>
        <w:tc>
          <w:tcPr/>
          <w:p>
            <w:pPr>
              <w:pStyle w:val="Compact"/>
              <w:jc w:val="left"/>
            </w:pPr>
            <w:r>
              <w:t xml:space="preserve">Component</w:t>
            </w:r>
          </w:p>
        </w:tc>
        <w:tc>
          <w:tcPr/>
          <w:p>
            <w:pPr>
              <w:pStyle w:val="Compact"/>
              <w:jc w:val="left"/>
            </w:pPr>
            <w:r>
              <w:t xml:space="preserve">Role</w:t>
            </w:r>
          </w:p>
        </w:tc>
        <w:tc>
          <w:tcPr/>
          <w:p>
            <w:pPr>
              <w:pStyle w:val="Compact"/>
              <w:jc w:val="left"/>
            </w:pPr>
            <w:r>
              <w:t xml:space="preserve">Details</w:t>
            </w:r>
          </w:p>
        </w:tc>
      </w:tr>
      <w:tr>
        <w:tc>
          <w:tcPr/>
          <w:p>
            <w:pPr>
              <w:pStyle w:val="Compact"/>
              <w:jc w:val="left"/>
            </w:pPr>
            <w:r>
              <w:t xml:space="preserve">Sender (IMAP Adapter)</w:t>
            </w:r>
          </w:p>
        </w:tc>
        <w:tc>
          <w:tcPr/>
          <w:p>
            <w:pPr>
              <w:pStyle w:val="Compact"/>
              <w:jc w:val="left"/>
            </w:pPr>
            <w:r>
              <w:t xml:space="preserve">Receive Emails</w:t>
            </w:r>
          </w:p>
        </w:tc>
        <w:tc>
          <w:tcPr/>
          <w:p>
            <w:pPr>
              <w:pStyle w:val="Compact"/>
              <w:jc w:val="left"/>
            </w:pPr>
            <w:r>
              <w:t xml:space="preserve">Connects to Gmail IMAP server to fetch unread emails from the inbox.</w:t>
            </w:r>
          </w:p>
        </w:tc>
      </w:tr>
      <w:tr>
        <w:tc>
          <w:tcPr/>
          <w:p>
            <w:pPr>
              <w:pStyle w:val="Compact"/>
              <w:jc w:val="left"/>
            </w:pPr>
            <w:r>
              <w:t xml:space="preserve">Receiver (SMTP Adapter)</w:t>
            </w:r>
          </w:p>
        </w:tc>
        <w:tc>
          <w:tcPr/>
          <w:p>
            <w:pPr>
              <w:pStyle w:val="Compact"/>
              <w:jc w:val="left"/>
            </w:pPr>
            <w:r>
              <w:t xml:space="preserve">Send Emails</w:t>
            </w:r>
          </w:p>
        </w:tc>
        <w:tc>
          <w:tcPr/>
          <w:p>
            <w:pPr>
              <w:pStyle w:val="Compact"/>
              <w:jc w:val="left"/>
            </w:pPr>
            <w:r>
              <w:t xml:space="preserve">Connects to SMTP server to send processed email content to the designated recipient.</w:t>
            </w:r>
          </w:p>
        </w:tc>
      </w:tr>
      <w:tr>
        <w:tc>
          <w:tcPr/>
          <w:p>
            <w:pPr>
              <w:pStyle w:val="Compact"/>
              <w:jc w:val="left"/>
            </w:pPr>
            <w:r>
              <w:t xml:space="preserve">Groovy Script</w:t>
            </w:r>
          </w:p>
        </w:tc>
        <w:tc>
          <w:tcPr/>
          <w:p>
            <w:pPr>
              <w:pStyle w:val="Compact"/>
              <w:jc w:val="left"/>
            </w:pPr>
            <w:r>
              <w:t xml:space="preserve">Process Email Content</w:t>
            </w:r>
          </w:p>
        </w:tc>
        <w:tc>
          <w:tcPr/>
          <w:p>
            <w:pPr>
              <w:pStyle w:val="Compact"/>
              <w:jc w:val="left"/>
            </w:pPr>
            <w:r>
              <w:t xml:space="preserve">Executes custom logic to modify email content before sending it out.</w:t>
            </w:r>
          </w:p>
        </w:tc>
      </w:tr>
      <w:tr>
        <w:tc>
          <w:tcPr/>
          <w:p>
            <w:pPr>
              <w:pStyle w:val="Compact"/>
              <w:jc w:val="left"/>
            </w:pPr>
            <w:r>
              <w:t xml:space="preserve">Content Modifier</w:t>
            </w:r>
          </w:p>
        </w:tc>
        <w:tc>
          <w:tcPr/>
          <w:p>
            <w:pPr>
              <w:pStyle w:val="Compact"/>
              <w:jc w:val="left"/>
            </w:pPr>
            <w:r>
              <w:t xml:space="preserve">Enrich Email Headers</w:t>
            </w:r>
          </w:p>
        </w:tc>
        <w:tc>
          <w:tcPr/>
          <w:p>
            <w:pPr>
              <w:pStyle w:val="Compact"/>
              <w:jc w:val="left"/>
            </w:pPr>
            <w:r>
              <w:t xml:space="preserve">Modifies the email subject and other headers before sending the email to the receiver.</w:t>
            </w:r>
          </w:p>
        </w:tc>
      </w:tr>
    </w:tbl>
    <w:p>
      <w:pPr>
        <w:numPr>
          <w:ilvl w:val="0"/>
          <w:numId w:val="1008"/>
        </w:numPr>
      </w:pPr>
      <w:r>
        <w:t xml:space="preserve">Integration Scenarios</w:t>
      </w:r>
    </w:p>
    <w:p>
      <w:pPr>
        <w:numPr>
          <w:ilvl w:val="0"/>
          <w:numId w:val="1000"/>
        </w:numPr>
      </w:pPr>
      <w:r>
        <w:t xml:space="preserve">3.1 Scenario Description:</w:t>
      </w:r>
    </w:p>
    <w:p>
      <w:pPr>
        <w:numPr>
          <w:ilvl w:val="0"/>
          <w:numId w:val="1008"/>
        </w:numPr>
      </w:pPr>
      <w:r>
        <w:rPr>
          <w:bCs/>
          <w:b/>
        </w:rPr>
        <w:t xml:space="preserve">Start Event</w:t>
      </w:r>
      <w:r>
        <w:t xml:space="preserve">: The iFlow is triggered based on a scheduled polling mechanism that checks the Gmail inbox for unread emails.</w:t>
      </w:r>
    </w:p>
    <w:p>
      <w:pPr>
        <w:numPr>
          <w:ilvl w:val="0"/>
          <w:numId w:val="1008"/>
        </w:numPr>
      </w:pPr>
      <w:r>
        <w:rPr>
          <w:bCs/>
          <w:b/>
        </w:rPr>
        <w:t xml:space="preserve">Call Activity: Groovy Script</w:t>
      </w:r>
      <w:r>
        <w:t xml:space="preserve">: The iFlow invokes a Groovy script that processes the email content. This script may extract specific information from the email body or modify the subject line.</w:t>
      </w:r>
    </w:p>
    <w:p>
      <w:pPr>
        <w:numPr>
          <w:ilvl w:val="0"/>
          <w:numId w:val="1008"/>
        </w:numPr>
      </w:pPr>
      <w:r>
        <w:rPr>
          <w:bCs/>
          <w:b/>
        </w:rPr>
        <w:t xml:space="preserve">Call Activity: Content Modifier</w:t>
      </w:r>
      <w:r>
        <w:t xml:space="preserve">: After processing, the iFlow uses a Content Modifier to set the email headers, including the subject line, before sending it to the recipient.</w:t>
      </w:r>
    </w:p>
    <w:p>
      <w:pPr>
        <w:numPr>
          <w:ilvl w:val="0"/>
          <w:numId w:val="1008"/>
        </w:numPr>
      </w:pPr>
      <w:r>
        <w:rPr>
          <w:bCs/>
          <w:b/>
        </w:rPr>
        <w:t xml:space="preserve">End Event</w:t>
      </w:r>
      <w:r>
        <w:t xml:space="preserve">: The iFlow concludes after sending the email to the designated recipient.</w:t>
      </w:r>
    </w:p>
    <w:p>
      <w:pPr>
        <w:numPr>
          <w:ilvl w:val="0"/>
          <w:numId w:val="1008"/>
        </w:numPr>
      </w:pPr>
      <w:r>
        <w:rPr>
          <w:bCs/>
          <w:b/>
        </w:rPr>
        <w:t xml:space="preserve">Message Flow</w:t>
      </w:r>
      <w:r>
        <w:t xml:space="preserve">: The processed email is sent to the receiver via the SMTP adapter.</w:t>
      </w:r>
    </w:p>
    <w:p>
      <w:pPr>
        <w:pStyle w:val="FirstParagraph"/>
      </w:pPr>
      <w:r>
        <w:t xml:space="preserve">3.2 Data Flows:</w:t>
      </w:r>
    </w:p>
    <w:p>
      <w:pPr>
        <w:numPr>
          <w:ilvl w:val="0"/>
          <w:numId w:val="1009"/>
        </w:numPr>
        <w:pStyle w:val="Compact"/>
      </w:pPr>
      <w:r>
        <w:rPr>
          <w:bCs/>
          <w:b/>
        </w:rPr>
        <w:t xml:space="preserve">Incoming Data Flow</w:t>
      </w:r>
      <w:r>
        <w:t xml:space="preserve">: Unread emails are fetched from the Gmail inbox using the IMAP adapter.</w:t>
      </w:r>
    </w:p>
    <w:p>
      <w:pPr>
        <w:numPr>
          <w:ilvl w:val="0"/>
          <w:numId w:val="1009"/>
        </w:numPr>
        <w:pStyle w:val="Compact"/>
      </w:pPr>
      <w:r>
        <w:rPr>
          <w:bCs/>
          <w:b/>
        </w:rPr>
        <w:t xml:space="preserve">Processing Flow</w:t>
      </w:r>
      <w:r>
        <w:t xml:space="preserve">: The email content is processed by the Groovy script, followed by modifications made by the Content Modifier.</w:t>
      </w:r>
    </w:p>
    <w:p>
      <w:pPr>
        <w:numPr>
          <w:ilvl w:val="0"/>
          <w:numId w:val="1009"/>
        </w:numPr>
        <w:pStyle w:val="Compact"/>
      </w:pPr>
      <w:r>
        <w:rPr>
          <w:bCs/>
          <w:b/>
        </w:rPr>
        <w:t xml:space="preserve">Outgoing Data Flow</w:t>
      </w:r>
      <w:r>
        <w:t xml:space="preserve">: The modified email is sent to the recipient using the SMTP adapter.</w:t>
      </w:r>
    </w:p>
    <w:p>
      <w:pPr>
        <w:pStyle w:val="FirstParagraph"/>
      </w:pPr>
      <w:r>
        <w:t xml:space="preserve">3.3 Security Requirements:</w:t>
      </w:r>
    </w:p>
    <w:p>
      <w:pPr>
        <w:numPr>
          <w:ilvl w:val="0"/>
          <w:numId w:val="1010"/>
        </w:numPr>
        <w:pStyle w:val="Compact"/>
      </w:pPr>
      <w:r>
        <w:rPr>
          <w:bCs/>
          <w:b/>
        </w:rPr>
        <w:t xml:space="preserve">Authentication</w:t>
      </w:r>
      <w:r>
        <w:t xml:space="preserve">: The iFlow uses basic authentication for connecting to the Gmail IMAP server and SMTP server.</w:t>
      </w:r>
    </w:p>
    <w:p>
      <w:pPr>
        <w:numPr>
          <w:ilvl w:val="0"/>
          <w:numId w:val="1010"/>
        </w:numPr>
        <w:pStyle w:val="Compact"/>
      </w:pPr>
      <w:r>
        <w:rPr>
          <w:bCs/>
          <w:b/>
        </w:rPr>
        <w:t xml:space="preserve">Data Encryption</w:t>
      </w:r>
      <w:r>
        <w:t xml:space="preserve">: Emails are sent over secure protocols (IMAPS for receiving and SMTP with STARTTLS for sending) to ensure data confidentiality during transmission.</w:t>
      </w:r>
    </w:p>
    <w:p>
      <w:pPr>
        <w:numPr>
          <w:ilvl w:val="0"/>
          <w:numId w:val="1011"/>
        </w:numPr>
        <w:pStyle w:val="Compact"/>
      </w:pPr>
      <w:r>
        <w:t xml:space="preserve">Error Handling and Logging</w:t>
      </w:r>
    </w:p>
    <w:p>
      <w:pPr>
        <w:pStyle w:val="FirstParagraph"/>
      </w:pPr>
      <w:r>
        <w:t xml:space="preserve">Error handling mechanisms should be implemented to log any failures during the email fetching or sending processes. This includes logging connection issues, authentication failures, and any exceptions thrown by the Groovy script. A dedicated error handling flow can be designed to capture these errors and notify the relevant stakeholders.</w:t>
      </w:r>
    </w:p>
    <w:p>
      <w:pPr>
        <w:numPr>
          <w:ilvl w:val="0"/>
          <w:numId w:val="1012"/>
        </w:numPr>
        <w:pStyle w:val="Compact"/>
      </w:pPr>
      <w:r>
        <w:t xml:space="preserve">Testing Validation</w:t>
      </w:r>
    </w:p>
    <w:p>
      <w:pPr>
        <w:pStyle w:val="FirstParagraph"/>
      </w:pPr>
      <w:r>
        <w:rPr>
          <w:bCs/>
          <w:b/>
        </w:rPr>
        <w:t xml:space="preserve">Testing Details – Sheet: Testing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Test Case ID</w:t>
            </w:r>
          </w:p>
        </w:tc>
        <w:tc>
          <w:tcPr/>
          <w:p>
            <w:pPr>
              <w:pStyle w:val="Compact"/>
              <w:jc w:val="left"/>
            </w:pPr>
            <w:r>
              <w:t xml:space="preserve">Scenario</w:t>
            </w:r>
          </w:p>
        </w:tc>
        <w:tc>
          <w:tcPr/>
          <w:p>
            <w:pPr>
              <w:pStyle w:val="Compact"/>
              <w:jc w:val="left"/>
            </w:pPr>
            <w:r>
              <w:t xml:space="preserve">Expected Outcome</w:t>
            </w:r>
          </w:p>
        </w:tc>
      </w:tr>
      <w:tr>
        <w:tc>
          <w:tcPr/>
          <w:p>
            <w:pPr>
              <w:pStyle w:val="Compact"/>
              <w:jc w:val="left"/>
            </w:pPr>
            <w:r>
              <w:t xml:space="preserve">TC_01</w:t>
            </w:r>
          </w:p>
        </w:tc>
        <w:tc>
          <w:tcPr/>
          <w:p>
            <w:pPr>
              <w:pStyle w:val="Compact"/>
              <w:jc w:val="left"/>
            </w:pPr>
            <w:r>
              <w:t xml:space="preserve">Fetch unread emails</w:t>
            </w:r>
          </w:p>
        </w:tc>
        <w:tc>
          <w:tcPr/>
          <w:p>
            <w:pPr>
              <w:pStyle w:val="Compact"/>
              <w:jc w:val="left"/>
            </w:pPr>
            <w:r>
              <w:t xml:space="preserve">Unread emails are successfully retrieved from Gmail.</w:t>
            </w:r>
          </w:p>
        </w:tc>
      </w:tr>
      <w:tr>
        <w:tc>
          <w:tcPr/>
          <w:p>
            <w:pPr>
              <w:pStyle w:val="Compact"/>
              <w:jc w:val="left"/>
            </w:pPr>
            <w:r>
              <w:t xml:space="preserve">TC_02</w:t>
            </w:r>
          </w:p>
        </w:tc>
        <w:tc>
          <w:tcPr/>
          <w:p>
            <w:pPr>
              <w:pStyle w:val="Compact"/>
              <w:jc w:val="left"/>
            </w:pPr>
            <w:r>
              <w:t xml:space="preserve">Process email content</w:t>
            </w:r>
          </w:p>
        </w:tc>
        <w:tc>
          <w:tcPr/>
          <w:p>
            <w:pPr>
              <w:pStyle w:val="Compact"/>
              <w:jc w:val="left"/>
            </w:pPr>
            <w:r>
              <w:t xml:space="preserve">Email content is modified as per the Groovy script logic.</w:t>
            </w:r>
          </w:p>
        </w:tc>
      </w:tr>
      <w:tr>
        <w:tc>
          <w:tcPr/>
          <w:p>
            <w:pPr>
              <w:pStyle w:val="Compact"/>
              <w:jc w:val="left"/>
            </w:pPr>
            <w:r>
              <w:t xml:space="preserve">TC_03</w:t>
            </w:r>
          </w:p>
        </w:tc>
        <w:tc>
          <w:tcPr/>
          <w:p>
            <w:pPr>
              <w:pStyle w:val="Compact"/>
              <w:jc w:val="left"/>
            </w:pPr>
            <w:r>
              <w:t xml:space="preserve">Send email to recipient</w:t>
            </w:r>
          </w:p>
        </w:tc>
        <w:tc>
          <w:tcPr/>
          <w:p>
            <w:pPr>
              <w:pStyle w:val="Compact"/>
              <w:jc w:val="left"/>
            </w:pPr>
            <w:r>
              <w:t xml:space="preserve">Email is sent successfully to the designated recipient.</w:t>
            </w:r>
          </w:p>
        </w:tc>
      </w:tr>
      <w:tr>
        <w:tc>
          <w:tcPr/>
          <w:p>
            <w:pPr>
              <w:pStyle w:val="Compact"/>
              <w:jc w:val="left"/>
            </w:pPr>
            <w:r>
              <w:t xml:space="preserve">TC_04</w:t>
            </w:r>
          </w:p>
        </w:tc>
        <w:tc>
          <w:tcPr/>
          <w:p>
            <w:pPr>
              <w:pStyle w:val="Compact"/>
              <w:jc w:val="left"/>
            </w:pPr>
            <w:r>
              <w:t xml:space="preserve">Handle authentication failure</w:t>
            </w:r>
          </w:p>
        </w:tc>
        <w:tc>
          <w:tcPr/>
          <w:p>
            <w:pPr>
              <w:pStyle w:val="Compact"/>
              <w:jc w:val="left"/>
            </w:pPr>
            <w:r>
              <w:t xml:space="preserve">Appropriate error message is logged.</w:t>
            </w:r>
          </w:p>
        </w:tc>
      </w:tr>
    </w:tbl>
    <w:p>
      <w:pPr>
        <w:numPr>
          <w:ilvl w:val="0"/>
          <w:numId w:val="1013"/>
        </w:numPr>
        <w:pStyle w:val="Compact"/>
      </w:pPr>
      <w:r>
        <w:t xml:space="preserve">Reference Documents</w:t>
      </w:r>
    </w:p>
    <w:p>
      <w:pPr>
        <w:numPr>
          <w:ilvl w:val="0"/>
          <w:numId w:val="1014"/>
        </w:numPr>
        <w:pStyle w:val="Compact"/>
      </w:pPr>
      <w:r>
        <w:t xml:space="preserve">SAP CPI Documentation</w:t>
      </w:r>
    </w:p>
    <w:p>
      <w:pPr>
        <w:numPr>
          <w:ilvl w:val="0"/>
          <w:numId w:val="1014"/>
        </w:numPr>
        <w:pStyle w:val="Compact"/>
      </w:pPr>
      <w:r>
        <w:t xml:space="preserve">Gmail API Documentation</w:t>
      </w:r>
    </w:p>
    <w:p>
      <w:pPr>
        <w:numPr>
          <w:ilvl w:val="0"/>
          <w:numId w:val="1014"/>
        </w:numPr>
        <w:pStyle w:val="Compact"/>
      </w:pPr>
      <w:r>
        <w:t xml:space="preserve">SMTP Protocol Specifications</w:t>
      </w:r>
    </w:p>
    <w:p>
      <w:pPr>
        <w:numPr>
          <w:ilvl w:val="0"/>
          <w:numId w:val="1014"/>
        </w:numPr>
        <w:pStyle w:val="Compact"/>
      </w:pPr>
      <w:r>
        <w:t xml:space="preserve">Groovy Language Documentation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 w:numId="1010">
    <w:abstractNumId w:val="991"/>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2026-01-05T09:50:07Z</dcterms:created>
  <dcterms:modified xsi:type="dcterms:W3CDTF">2026-01-05T09:50:07Z</dcterms:modified>
</cp:coreProperties>
</file>

<file path=docProps/custom.xml><?xml version="1.0" encoding="utf-8"?>
<Properties xmlns="http://schemas.openxmlformats.org/officeDocument/2006/custom-properties" xmlns:vt="http://schemas.openxmlformats.org/officeDocument/2006/docPropsVTypes"/>
</file>