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bookmarkStart w:id="21" w:name="task1"/>
    <w:p>
      <w:pPr>
        <w:pStyle w:val="Heading1"/>
      </w:pPr>
      <w:r>
        <w:t xml:space="preserve">Task1</w:t>
      </w:r>
    </w:p>
    <w:bookmarkStart w:id="20" w:name="technical-specification-document"/>
    <w:p>
      <w:pPr>
        <w:pStyle w:val="Heading3"/>
      </w:pPr>
      <w:r>
        <w:t xml:space="preserve">Technical Specification Document</w:t>
      </w:r>
    </w:p>
    <w:bookmarkEnd w:id="20"/>
    <w:bookmarkEnd w:id="21"/>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Author</w:t>
            </w:r>
          </w:p>
        </w:tc>
        <w:tc>
          <w:tcPr/>
          <w:p>
            <w:pPr>
              <w:pStyle w:val="Compact"/>
              <w:jc w:val="left"/>
            </w:pPr>
            <w:r>
              <w:t xml:space="preserve">Rohancherian783</w:t>
            </w:r>
          </w:p>
        </w:tc>
      </w:tr>
      <w:tr>
        <w:tc>
          <w:tcPr/>
          <w:p>
            <w:pPr>
              <w:pStyle w:val="Compact"/>
              <w:jc w:val="left"/>
            </w:pPr>
            <w:r>
              <w:rPr>
                <w:bCs/>
                <w:b/>
              </w:rPr>
              <w:t xml:space="preserve">Date</w:t>
            </w:r>
          </w:p>
        </w:tc>
        <w:tc>
          <w:tcPr/>
          <w:p>
            <w:pPr>
              <w:pStyle w:val="Compact"/>
              <w:jc w:val="left"/>
            </w:pPr>
            <w:r>
              <w:t xml:space="preserve">2026-01-05</w:t>
            </w:r>
          </w:p>
        </w:tc>
      </w:tr>
      <w:tr>
        <w:tc>
          <w:tcPr/>
          <w:p>
            <w:pPr>
              <w:pStyle w:val="Compact"/>
              <w:jc w:val="left"/>
            </w:pPr>
            <w:r>
              <w:rPr>
                <w:bCs/>
                <w:b/>
              </w:rPr>
              <w:t xml:space="preserve">Version</w:t>
            </w:r>
          </w:p>
        </w:tc>
        <w:tc>
          <w:tcPr/>
          <w:p>
            <w:pPr>
              <w:pStyle w:val="Compact"/>
              <w:jc w:val="left"/>
            </w:pPr>
            <w:r>
              <w:t xml:space="preserve">1.0.0</w:t>
            </w:r>
          </w:p>
        </w:tc>
      </w:tr>
    </w:tbl>
    <w:p>
      <w:pPr>
        <w:pStyle w:val="BodyText"/>
      </w:pPr>
    </w:p>
    <w:p>
      <w:pPr>
        <w:pStyle w:val="BodyText"/>
      </w:pPr>
      <w:r>
        <w:t xml:space="preserve">Table of Contents</w:t>
      </w:r>
    </w:p>
    <w:p>
      <w:pPr>
        <w:numPr>
          <w:ilvl w:val="0"/>
          <w:numId w:val="1001"/>
        </w:numPr>
        <w:pStyle w:val="Compact"/>
      </w:pPr>
      <w:r>
        <w:t xml:space="preserve">Introduction</w:t>
      </w:r>
      <w:r>
        <w:t xml:space="preserve"> </w:t>
      </w:r>
      <w:r>
        <w:t xml:space="preserve"> </w:t>
      </w:r>
      <w:r>
        <w:t xml:space="preserve">    1.1 Purpose</w:t>
      </w:r>
      <w:r>
        <w:t xml:space="preserve"> </w:t>
      </w:r>
      <w:r>
        <w:t xml:space="preserve"> </w:t>
      </w:r>
      <w:r>
        <w:t xml:space="preserve">    1.2 Scope</w:t>
      </w:r>
      <w:r>
        <w:t xml:space="preserve"> </w:t>
      </w:r>
    </w:p>
    <w:p>
      <w:pPr>
        <w:numPr>
          <w:ilvl w:val="0"/>
          <w:numId w:val="1001"/>
        </w:numPr>
        <w:pStyle w:val="Compact"/>
      </w:pPr>
      <w:r>
        <w:t xml:space="preserve">Integration Overview</w:t>
      </w:r>
      <w:r>
        <w:t xml:space="preserve"> </w:t>
      </w:r>
      <w:r>
        <w:t xml:space="preserve"> </w:t>
      </w:r>
      <w:r>
        <w:t xml:space="preserve">    2.1 Integration Architecture</w:t>
      </w:r>
      <w:r>
        <w:t xml:space="preserve"> </w:t>
      </w:r>
      <w:r>
        <w:t xml:space="preserve"> </w:t>
      </w:r>
      <w:r>
        <w:t xml:space="preserve">    2.2 Integration Components</w:t>
      </w:r>
      <w:r>
        <w:t xml:space="preserve"> </w:t>
      </w:r>
    </w:p>
    <w:p>
      <w:pPr>
        <w:numPr>
          <w:ilvl w:val="0"/>
          <w:numId w:val="1001"/>
        </w:numPr>
        <w:pStyle w:val="Compact"/>
      </w:pPr>
      <w:r>
        <w:t xml:space="preserve">Integration Scenarios</w:t>
      </w:r>
      <w:r>
        <w:t xml:space="preserve"> </w:t>
      </w:r>
      <w:r>
        <w:t xml:space="preserve"> </w:t>
      </w:r>
      <w:r>
        <w:t xml:space="preserve">    3.1 Scenario Description</w:t>
      </w:r>
      <w:r>
        <w:t xml:space="preserve"> </w:t>
      </w:r>
      <w:r>
        <w:t xml:space="preserve"> </w:t>
      </w:r>
      <w:r>
        <w:t xml:space="preserve">    3.2 Data Flows</w:t>
      </w:r>
      <w:r>
        <w:t xml:space="preserve"> </w:t>
      </w:r>
      <w:r>
        <w:t xml:space="preserve"> </w:t>
      </w:r>
      <w:r>
        <w:t xml:space="preserve">    3.3 Security Requirements</w:t>
      </w:r>
      <w:r>
        <w:t xml:space="preserve"> </w:t>
      </w:r>
    </w:p>
    <w:p>
      <w:pPr>
        <w:numPr>
          <w:ilvl w:val="0"/>
          <w:numId w:val="1001"/>
        </w:numPr>
        <w:pStyle w:val="Compact"/>
      </w:pPr>
      <w:r>
        <w:t xml:space="preserve">Error Handling and Logging</w:t>
      </w:r>
      <w:r>
        <w:t xml:space="preserve"> </w:t>
      </w:r>
    </w:p>
    <w:p>
      <w:pPr>
        <w:numPr>
          <w:ilvl w:val="0"/>
          <w:numId w:val="1001"/>
        </w:numPr>
        <w:pStyle w:val="Compact"/>
      </w:pPr>
      <w:r>
        <w:t xml:space="preserve">Testing Validation</w:t>
      </w:r>
      <w:r>
        <w:t xml:space="preserve"> </w:t>
      </w:r>
    </w:p>
    <w:p>
      <w:pPr>
        <w:numPr>
          <w:ilvl w:val="0"/>
          <w:numId w:val="1001"/>
        </w:numPr>
        <w:pStyle w:val="Compact"/>
      </w:pPr>
      <w:r>
        <w:t xml:space="preserve">Reference Documents</w:t>
      </w:r>
      <w:r>
        <w:t xml:space="preserve"> </w:t>
      </w:r>
      <w:r>
        <w:t xml:space="preserve"> </w:t>
      </w:r>
      <w:r>
        <w:t xml:space="preserve">pagebreak</w:t>
      </w:r>
    </w:p>
    <w:p>
      <w:pPr>
        <w:pStyle w:val="FirstParagraph"/>
      </w:pPr>
    </w:p>
    <w:p>
      <w:pPr>
        <w:numPr>
          <w:ilvl w:val="0"/>
          <w:numId w:val="1002"/>
        </w:numPr>
        <w:pStyle w:val="Compact"/>
      </w:pPr>
      <w:r>
        <w:t xml:space="preserve">Introduction</w:t>
      </w:r>
    </w:p>
    <w:p>
      <w:pPr>
        <w:pStyle w:val="FirstParagraph"/>
      </w:pPr>
      <w:r>
        <w:t xml:space="preserve">1.1 Purpose</w:t>
      </w:r>
    </w:p>
    <w:p>
      <w:pPr>
        <w:pStyle w:val="BodyText"/>
      </w:pPr>
      <w:r>
        <w:t xml:space="preserve">The purpose of this integration flow (iFlow) is to automate the process of retrieving emails from a specified Gmail inbox and subsequently sending the content of those emails to a designated recipient via SMTP. This addresses the business need for efficient email processing, ensuring that important communications are not missed and can be forwarded to relevant stakeholders in a timely manner.</w:t>
      </w:r>
    </w:p>
    <w:p>
      <w:pPr>
        <w:pStyle w:val="BodyText"/>
      </w:pPr>
      <w:r>
        <w:t xml:space="preserve">The trigger mechanism for this iFlow is based on a scheduled polling of the Gmail inbox using the IMAP protocol. The iFlow is designed to check for unread emails at regular intervals, process them, and then send the email content to the specified recipient. The desired technical outcome is to ensure that the email content is accurately retrieved, transformed if necessary, and sent without manual intervention, thereby streamlining communication processes.</w:t>
      </w:r>
    </w:p>
    <w:p>
      <w:pPr>
        <w:pStyle w:val="BodyText"/>
      </w:pPr>
      <w:r>
        <w:t xml:space="preserve">1.2 Scope</w:t>
      </w:r>
    </w:p>
    <w:p>
      <w:pPr>
        <w:pStyle w:val="BodyText"/>
      </w:pPr>
      <w:r>
        <w:t xml:space="preserve">This iFlow includes the following components:</w:t>
      </w:r>
    </w:p>
    <w:p>
      <w:pPr>
        <w:numPr>
          <w:ilvl w:val="0"/>
          <w:numId w:val="1003"/>
        </w:numPr>
        <w:pStyle w:val="Compact"/>
      </w:pPr>
      <w:r>
        <w:rPr>
          <w:bCs/>
          <w:b/>
        </w:rPr>
        <w:t xml:space="preserve">Endpoints</w:t>
      </w:r>
      <w:r>
        <w:t xml:space="preserve">:</w:t>
      </w:r>
    </w:p>
    <w:p>
      <w:pPr>
        <w:numPr>
          <w:ilvl w:val="1"/>
          <w:numId w:val="1004"/>
        </w:numPr>
        <w:pStyle w:val="Compact"/>
      </w:pPr>
      <w:r>
        <w:t xml:space="preserve">Sender: IMAP connection to Gmail for retrieving emails.</w:t>
      </w:r>
    </w:p>
    <w:p>
      <w:pPr>
        <w:numPr>
          <w:ilvl w:val="1"/>
          <w:numId w:val="1004"/>
        </w:numPr>
        <w:pStyle w:val="Compact"/>
      </w:pPr>
      <w:r>
        <w:t xml:space="preserve">Receiver: SMTP connection to send emails to the specified recipient.</w:t>
      </w:r>
    </w:p>
    <w:p>
      <w:pPr>
        <w:numPr>
          <w:ilvl w:val="0"/>
          <w:numId w:val="1003"/>
        </w:numPr>
        <w:pStyle w:val="Compact"/>
      </w:pPr>
      <w:r>
        <w:rPr>
          <w:bCs/>
          <w:b/>
        </w:rPr>
        <w:t xml:space="preserve">Data Transformation Logic</w:t>
      </w:r>
      <w:r>
        <w:t xml:space="preserve">:</w:t>
      </w:r>
    </w:p>
    <w:p>
      <w:pPr>
        <w:numPr>
          <w:ilvl w:val="1"/>
          <w:numId w:val="1005"/>
        </w:numPr>
        <w:pStyle w:val="Compact"/>
      </w:pPr>
      <w:r>
        <w:t xml:space="preserve">The iFlow includes a Groovy script for processing the email content and a content modifier to set the email subject.</w:t>
      </w:r>
    </w:p>
    <w:p>
      <w:pPr>
        <w:numPr>
          <w:ilvl w:val="0"/>
          <w:numId w:val="1003"/>
        </w:numPr>
        <w:pStyle w:val="Compact"/>
      </w:pPr>
      <w:r>
        <w:rPr>
          <w:bCs/>
          <w:b/>
        </w:rPr>
        <w:t xml:space="preserve">Target Systems</w:t>
      </w:r>
      <w:r>
        <w:t xml:space="preserve">:</w:t>
      </w:r>
    </w:p>
    <w:p>
      <w:pPr>
        <w:numPr>
          <w:ilvl w:val="1"/>
          <w:numId w:val="1006"/>
        </w:numPr>
        <w:pStyle w:val="Compact"/>
      </w:pPr>
      <w:r>
        <w:t xml:space="preserve">Gmail (for receiving emails).</w:t>
      </w:r>
    </w:p>
    <w:p>
      <w:pPr>
        <w:numPr>
          <w:ilvl w:val="1"/>
          <w:numId w:val="1006"/>
        </w:numPr>
        <w:pStyle w:val="Compact"/>
      </w:pPr>
      <w:r>
        <w:t xml:space="preserve">SMTP server (for sending emails).</w:t>
      </w:r>
    </w:p>
    <w:p>
      <w:pPr>
        <w:pStyle w:val="FirstParagraph"/>
      </w:pPr>
      <w:r>
        <w:rPr>
          <w:bCs/>
          <w:b/>
        </w:rPr>
        <w:t xml:space="preserve">Constraints/Exclusions</w:t>
      </w:r>
      <w:r>
        <w:t xml:space="preserve">:</w:t>
      </w:r>
      <w:r>
        <w:t xml:space="preserve"> </w:t>
      </w:r>
      <w:r>
        <w:t xml:space="preserve">- The iFlow does not handle attachments; it only processes the body of the email.</w:t>
      </w:r>
      <w:r>
        <w:t xml:space="preserve"> </w:t>
      </w:r>
      <w:r>
        <w:t xml:space="preserve">- It does not include error handling for invalid email formats or SMTP failures beyond logging.</w:t>
      </w:r>
      <w:r>
        <w:t xml:space="preserve"> </w:t>
      </w:r>
      <w:r>
        <w:t xml:space="preserve">- The iFlow is limited to processing unread emails only.</w:t>
      </w:r>
    </w:p>
    <w:p>
      <w:pPr>
        <w:numPr>
          <w:ilvl w:val="0"/>
          <w:numId w:val="1007"/>
        </w:numPr>
        <w:pStyle w:val="Compact"/>
      </w:pPr>
      <w:r>
        <w:t xml:space="preserve">Integration Overview</w:t>
      </w:r>
    </w:p>
    <w:p>
      <w:pPr>
        <w:pStyle w:val="FirstParagraph"/>
      </w:pPr>
      <w:r>
        <w:t xml:space="preserve">2.1 Integration Architecture</w:t>
      </w:r>
    </w:p>
    <w:p>
      <w:pPr>
        <w:pStyle w:val="CaptionedFigure"/>
      </w:pPr>
      <w:r>
        <w:drawing>
          <wp:inline>
            <wp:extent cx="3441700" cy="6172200"/>
            <wp:effectExtent b="0" l="0" r="0" t="0"/>
            <wp:docPr descr="Integration Architecture" title="" id="23" name="Picture"/>
            <a:graphic>
              <a:graphicData uri="http://schemas.openxmlformats.org/drawingml/2006/picture">
                <pic:pic>
                  <pic:nvPicPr>
                    <pic:cNvPr descr="architecture.png" id="24" name="Picture"/>
                    <pic:cNvPicPr>
                      <a:picLocks noChangeArrowheads="1" noChangeAspect="1"/>
                    </pic:cNvPicPr>
                  </pic:nvPicPr>
                  <pic:blipFill>
                    <a:blip r:embed="rId22"/>
                    <a:stretch>
                      <a:fillRect/>
                    </a:stretch>
                  </pic:blipFill>
                  <pic:spPr bwMode="auto">
                    <a:xfrm>
                      <a:off x="0" y="0"/>
                      <a:ext cx="3441700" cy="6172200"/>
                    </a:xfrm>
                    <a:prstGeom prst="rect">
                      <a:avLst/>
                    </a:prstGeom>
                    <a:noFill/>
                    <a:ln w="9525">
                      <a:noFill/>
                      <a:headEnd/>
                      <a:tailEnd/>
                    </a:ln>
                  </pic:spPr>
                </pic:pic>
              </a:graphicData>
            </a:graphic>
          </wp:inline>
        </w:drawing>
      </w:r>
    </w:p>
    <w:p>
      <w:pPr>
        <w:pStyle w:val="ImageCaption"/>
      </w:pPr>
      <w:r>
        <w:t xml:space="preserve">Integration Architecture</w:t>
      </w:r>
    </w:p>
    <w:p>
      <w:pPr>
        <w:pStyle w:val="BodyText"/>
      </w:pPr>
      <w:r>
        <w:t xml:space="preserve">2.2 Integration Components</w:t>
      </w:r>
    </w:p>
    <w:tbl>
      <w:tblPr>
        <w:tblStyle w:val="Table"/>
        <w:tblW w:type="pct" w:w="5000"/>
        <w:tblLook w:firstRow="1" w:lastRow="0" w:firstColumn="0" w:lastColumn="0" w:noHBand="0" w:noVBand="0" w:val="0020"/>
        <w:jc w:val="start"/>
      </w:tblPr>
      <w:tblGrid>
        <w:gridCol w:w="1404"/>
        <w:gridCol w:w="1460"/>
        <w:gridCol w:w="5055"/>
      </w:tblGrid>
      <w:tr>
        <w:trPr>
          <w:tblHeader w:val="true"/>
        </w:trPr>
        <w:tc>
          <w:tcPr/>
          <w:p>
            <w:pPr>
              <w:pStyle w:val="Compact"/>
              <w:jc w:val="left"/>
            </w:pPr>
            <w:r>
              <w:t xml:space="preserve">Component Type</w:t>
            </w:r>
          </w:p>
        </w:tc>
        <w:tc>
          <w:tcPr/>
          <w:p>
            <w:pPr>
              <w:pStyle w:val="Compact"/>
              <w:jc w:val="left"/>
            </w:pPr>
            <w:r>
              <w:t xml:space="preserve">Name</w:t>
            </w:r>
          </w:p>
        </w:tc>
        <w:tc>
          <w:tcPr/>
          <w:p>
            <w:pPr>
              <w:pStyle w:val="Compact"/>
              <w:jc w:val="left"/>
            </w:pPr>
            <w:r>
              <w:t xml:space="preserve">Role</w:t>
            </w:r>
          </w:p>
        </w:tc>
      </w:tr>
      <w:tr>
        <w:tc>
          <w:tcPr/>
          <w:p>
            <w:pPr>
              <w:pStyle w:val="Compact"/>
              <w:jc w:val="left"/>
            </w:pPr>
            <w:r>
              <w:t xml:space="preserve">Sender Adapter</w:t>
            </w:r>
          </w:p>
        </w:tc>
        <w:tc>
          <w:tcPr/>
          <w:p>
            <w:pPr>
              <w:pStyle w:val="Compact"/>
              <w:jc w:val="left"/>
            </w:pPr>
            <w:r>
              <w:t xml:space="preserve">IMAP</w:t>
            </w:r>
          </w:p>
        </w:tc>
        <w:tc>
          <w:tcPr/>
          <w:p>
            <w:pPr>
              <w:pStyle w:val="Compact"/>
              <w:jc w:val="left"/>
            </w:pPr>
            <w:r>
              <w:t xml:space="preserve">Connects to Gmail to retrieve unread emails from the inbox.</w:t>
            </w:r>
          </w:p>
        </w:tc>
      </w:tr>
      <w:tr>
        <w:tc>
          <w:tcPr/>
          <w:p>
            <w:pPr>
              <w:pStyle w:val="Compact"/>
              <w:jc w:val="left"/>
            </w:pPr>
            <w:r>
              <w:t xml:space="preserve">Receiver Adapter</w:t>
            </w:r>
          </w:p>
        </w:tc>
        <w:tc>
          <w:tcPr/>
          <w:p>
            <w:pPr>
              <w:pStyle w:val="Compact"/>
              <w:jc w:val="left"/>
            </w:pPr>
            <w:r>
              <w:t xml:space="preserve">SMTP</w:t>
            </w:r>
          </w:p>
        </w:tc>
        <w:tc>
          <w:tcPr/>
          <w:p>
            <w:pPr>
              <w:pStyle w:val="Compact"/>
              <w:jc w:val="left"/>
            </w:pPr>
            <w:r>
              <w:t xml:space="preserve">Sends the processed email content to the specified recipient.</w:t>
            </w:r>
          </w:p>
        </w:tc>
      </w:tr>
      <w:tr>
        <w:tc>
          <w:tcPr/>
          <w:p>
            <w:pPr>
              <w:pStyle w:val="Compact"/>
              <w:jc w:val="left"/>
            </w:pPr>
            <w:r>
              <w:t xml:space="preserve">Groovy Script</w:t>
            </w:r>
          </w:p>
        </w:tc>
        <w:tc>
          <w:tcPr/>
          <w:p>
            <w:pPr>
              <w:pStyle w:val="Compact"/>
              <w:jc w:val="left"/>
            </w:pPr>
            <w:r>
              <w:t xml:space="preserve">script30.groovy</w:t>
            </w:r>
          </w:p>
        </w:tc>
        <w:tc>
          <w:tcPr/>
          <w:p>
            <w:pPr>
              <w:pStyle w:val="Compact"/>
              <w:jc w:val="left"/>
            </w:pPr>
            <w:r>
              <w:t xml:space="preserve">Processes the email content retrieved from Gmail, potentially transforming it as needed.</w:t>
            </w:r>
          </w:p>
        </w:tc>
      </w:tr>
      <w:tr>
        <w:tc>
          <w:tcPr/>
          <w:p>
            <w:pPr>
              <w:pStyle w:val="Compact"/>
              <w:jc w:val="left"/>
            </w:pPr>
            <w:r>
              <w:t xml:space="preserve">Content Modifier</w:t>
            </w:r>
          </w:p>
        </w:tc>
        <w:tc>
          <w:tcPr/>
          <w:p>
            <w:pPr>
              <w:pStyle w:val="Compact"/>
              <w:jc w:val="left"/>
            </w:pPr>
            <w:r>
              <w:t xml:space="preserve">Content Modifier 1</w:t>
            </w:r>
          </w:p>
        </w:tc>
        <w:tc>
          <w:tcPr/>
          <w:p>
            <w:pPr>
              <w:pStyle w:val="Compact"/>
              <w:jc w:val="left"/>
            </w:pPr>
            <w:r>
              <w:t xml:space="preserve">Sets the email subject and prepares the email body for sending.</w:t>
            </w:r>
          </w:p>
        </w:tc>
      </w:tr>
      <w:tr>
        <w:tc>
          <w:tcPr/>
          <w:p>
            <w:pPr>
              <w:pStyle w:val="Compact"/>
              <w:jc w:val="left"/>
            </w:pPr>
            <w:r>
              <w:t xml:space="preserve">Start Event</w:t>
            </w:r>
          </w:p>
        </w:tc>
        <w:tc>
          <w:tcPr/>
          <w:p>
            <w:pPr>
              <w:pStyle w:val="Compact"/>
              <w:jc w:val="left"/>
            </w:pPr>
            <w:r>
              <w:t xml:space="preserve">Start Event 2</w:t>
            </w:r>
          </w:p>
        </w:tc>
        <w:tc>
          <w:tcPr/>
          <w:p>
            <w:pPr>
              <w:pStyle w:val="Compact"/>
              <w:jc w:val="left"/>
            </w:pPr>
            <w:r>
              <w:t xml:space="preserve">Initiates the iFlow when triggered by the scheduled polling.</w:t>
            </w:r>
          </w:p>
        </w:tc>
      </w:tr>
      <w:tr>
        <w:tc>
          <w:tcPr/>
          <w:p>
            <w:pPr>
              <w:pStyle w:val="Compact"/>
              <w:jc w:val="left"/>
            </w:pPr>
            <w:r>
              <w:t xml:space="preserve">End Event</w:t>
            </w:r>
          </w:p>
        </w:tc>
        <w:tc>
          <w:tcPr/>
          <w:p>
            <w:pPr>
              <w:pStyle w:val="Compact"/>
              <w:jc w:val="left"/>
            </w:pPr>
            <w:r>
              <w:t xml:space="preserve">End Event 1</w:t>
            </w:r>
          </w:p>
        </w:tc>
        <w:tc>
          <w:tcPr/>
          <w:p>
            <w:pPr>
              <w:pStyle w:val="Compact"/>
              <w:jc w:val="left"/>
            </w:pPr>
            <w:r>
              <w:t xml:space="preserve">Marks the completion of the iFlow process.</w:t>
            </w:r>
          </w:p>
        </w:tc>
      </w:tr>
    </w:tbl>
    <w:p>
      <w:pPr>
        <w:numPr>
          <w:ilvl w:val="0"/>
          <w:numId w:val="1008"/>
        </w:numPr>
        <w:pStyle w:val="Compact"/>
      </w:pPr>
      <w:r>
        <w:t xml:space="preserve">Integration Scenarios</w:t>
      </w:r>
    </w:p>
    <w:p>
      <w:pPr>
        <w:pStyle w:val="FirstParagraph"/>
      </w:pPr>
      <w:r>
        <w:t xml:space="preserve">3.1 Scenario Description</w:t>
      </w:r>
    </w:p>
    <w:p>
      <w:pPr>
        <w:numPr>
          <w:ilvl w:val="0"/>
          <w:numId w:val="1009"/>
        </w:numPr>
      </w:pPr>
      <w:r>
        <w:rPr>
          <w:bCs/>
          <w:b/>
        </w:rPr>
        <w:t xml:space="preserve">Start Event</w:t>
      </w:r>
      <w:r>
        <w:t xml:space="preserve">: The iFlow is triggered based on a scheduled interval defined in the configuration.</w:t>
      </w:r>
    </w:p>
    <w:p>
      <w:pPr>
        <w:numPr>
          <w:ilvl w:val="0"/>
          <w:numId w:val="1009"/>
        </w:numPr>
      </w:pPr>
      <w:r>
        <w:rPr>
          <w:bCs/>
          <w:b/>
        </w:rPr>
        <w:t xml:space="preserve">Retrieve Emails from Gmail</w:t>
      </w:r>
      <w:r>
        <w:t xml:space="preserve">: The iFlow connects to the Gmail inbox using the IMAP adapter and retrieves unread emails. The maximum number of emails to retrieve is set to 20.</w:t>
      </w:r>
    </w:p>
    <w:p>
      <w:pPr>
        <w:numPr>
          <w:ilvl w:val="0"/>
          <w:numId w:val="1009"/>
        </w:numPr>
      </w:pPr>
      <w:r>
        <w:rPr>
          <w:bCs/>
          <w:b/>
        </w:rPr>
        <w:t xml:space="preserve">Process Email Content</w:t>
      </w:r>
      <w:r>
        <w:t xml:space="preserve">: Each retrieved email is processed using the Groovy script. The script extracts the necessary information from the email body and prepares it for sending.</w:t>
      </w:r>
    </w:p>
    <w:p>
      <w:pPr>
        <w:numPr>
          <w:ilvl w:val="0"/>
          <w:numId w:val="1009"/>
        </w:numPr>
      </w:pPr>
      <w:r>
        <w:rPr>
          <w:bCs/>
          <w:b/>
        </w:rPr>
        <w:t xml:space="preserve">Content Modifier</w:t>
      </w:r>
      <w:r>
        <w:t xml:space="preserve">: The content modifier sets the subject of the email using the property</w:t>
      </w:r>
      <w:r>
        <w:t xml:space="preserve"> </w:t>
      </w:r>
      <w:r>
        <w:rPr>
          <w:rStyle w:val="VerbatimChar"/>
        </w:rPr>
        <w:t xml:space="preserve">${property.Subject}</w:t>
      </w:r>
      <w:r>
        <w:t xml:space="preserve"> </w:t>
      </w:r>
      <w:r>
        <w:t xml:space="preserve">and prepares the body for the SMTP adapter.</w:t>
      </w:r>
    </w:p>
    <w:p>
      <w:pPr>
        <w:numPr>
          <w:ilvl w:val="0"/>
          <w:numId w:val="1009"/>
        </w:numPr>
      </w:pPr>
      <w:r>
        <w:rPr>
          <w:bCs/>
          <w:b/>
        </w:rPr>
        <w:t xml:space="preserve">Send Email via SMTP</w:t>
      </w:r>
      <w:r>
        <w:t xml:space="preserve">: The processed email content is sent to the specified recipient using the SMTP adapter. The email is sent with the subject and body defined in the previous steps.</w:t>
      </w:r>
    </w:p>
    <w:p>
      <w:pPr>
        <w:numPr>
          <w:ilvl w:val="0"/>
          <w:numId w:val="1009"/>
        </w:numPr>
      </w:pPr>
      <w:r>
        <w:rPr>
          <w:bCs/>
          <w:b/>
        </w:rPr>
        <w:t xml:space="preserve">End Event</w:t>
      </w:r>
      <w:r>
        <w:t xml:space="preserve">: The iFlow completes its execution after sending the email.</w:t>
      </w:r>
    </w:p>
    <w:p>
      <w:pPr>
        <w:pStyle w:val="FirstParagraph"/>
      </w:pPr>
      <w:r>
        <w:t xml:space="preserve">3.2 Data Flows</w:t>
      </w:r>
    </w:p>
    <w:tbl>
      <w:tblPr>
        <w:tblStyle w:val="Table"/>
        <w:tblW w:type="pct" w:w="5000"/>
        <w:tblLook w:firstRow="1" w:lastRow="0" w:firstColumn="0" w:lastColumn="0" w:noHBand="0" w:noVBand="0" w:val="0020"/>
        <w:jc w:val="start"/>
      </w:tblPr>
      <w:tblGrid>
        <w:gridCol w:w="572"/>
        <w:gridCol w:w="7347"/>
      </w:tblGrid>
      <w:tr>
        <w:trPr>
          <w:tblHeader w:val="true"/>
        </w:trPr>
        <w:tc>
          <w:tcPr/>
          <w:p>
            <w:pPr>
              <w:pStyle w:val="Compact"/>
              <w:jc w:val="left"/>
            </w:pPr>
            <w:r>
              <w:t xml:space="preserve">Step</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Triggered by a scheduled event to check for unread emails.</w:t>
            </w:r>
          </w:p>
        </w:tc>
      </w:tr>
      <w:tr>
        <w:tc>
          <w:tcPr/>
          <w:p>
            <w:pPr>
              <w:pStyle w:val="Compact"/>
              <w:jc w:val="left"/>
            </w:pPr>
            <w:r>
              <w:t xml:space="preserve">2</w:t>
            </w:r>
          </w:p>
        </w:tc>
        <w:tc>
          <w:tcPr/>
          <w:p>
            <w:pPr>
              <w:pStyle w:val="Compact"/>
              <w:jc w:val="left"/>
            </w:pPr>
            <w:r>
              <w:t xml:space="preserve">Connects to Gmail and retrieves unread emails.</w:t>
            </w:r>
          </w:p>
        </w:tc>
      </w:tr>
      <w:tr>
        <w:tc>
          <w:tcPr/>
          <w:p>
            <w:pPr>
              <w:pStyle w:val="Compact"/>
              <w:jc w:val="left"/>
            </w:pPr>
            <w:r>
              <w:t xml:space="preserve">3</w:t>
            </w:r>
          </w:p>
        </w:tc>
        <w:tc>
          <w:tcPr/>
          <w:p>
            <w:pPr>
              <w:pStyle w:val="Compact"/>
              <w:jc w:val="left"/>
            </w:pPr>
            <w:r>
              <w:t xml:space="preserve">Processes each email using the Groovy script to extract content.</w:t>
            </w:r>
          </w:p>
        </w:tc>
      </w:tr>
      <w:tr>
        <w:tc>
          <w:tcPr/>
          <w:p>
            <w:pPr>
              <w:pStyle w:val="Compact"/>
              <w:jc w:val="left"/>
            </w:pPr>
            <w:r>
              <w:t xml:space="preserve">4</w:t>
            </w:r>
          </w:p>
        </w:tc>
        <w:tc>
          <w:tcPr/>
          <w:p>
            <w:pPr>
              <w:pStyle w:val="Compact"/>
              <w:jc w:val="left"/>
            </w:pPr>
            <w:r>
              <w:t xml:space="preserve">Modifies the email content to set the subject and prepare the body.</w:t>
            </w:r>
          </w:p>
        </w:tc>
      </w:tr>
      <w:tr>
        <w:tc>
          <w:tcPr/>
          <w:p>
            <w:pPr>
              <w:pStyle w:val="Compact"/>
              <w:jc w:val="left"/>
            </w:pPr>
            <w:r>
              <w:t xml:space="preserve">5</w:t>
            </w:r>
          </w:p>
        </w:tc>
        <w:tc>
          <w:tcPr/>
          <w:p>
            <w:pPr>
              <w:pStyle w:val="Compact"/>
              <w:jc w:val="left"/>
            </w:pPr>
            <w:r>
              <w:t xml:space="preserve">Sends the modified email content to the recipient via SMTP.</w:t>
            </w:r>
          </w:p>
        </w:tc>
      </w:tr>
      <w:tr>
        <w:tc>
          <w:tcPr/>
          <w:p>
            <w:pPr>
              <w:pStyle w:val="Compact"/>
              <w:jc w:val="left"/>
            </w:pPr>
            <w:r>
              <w:t xml:space="preserve">6</w:t>
            </w:r>
          </w:p>
        </w:tc>
        <w:tc>
          <w:tcPr/>
          <w:p>
            <w:pPr>
              <w:pStyle w:val="Compact"/>
              <w:jc w:val="left"/>
            </w:pPr>
            <w:r>
              <w:t xml:space="preserve">Marks the end of the iFlow execution.</w:t>
            </w:r>
          </w:p>
        </w:tc>
      </w:tr>
    </w:tbl>
    <w:p>
      <w:pPr>
        <w:pStyle w:val="BodyText"/>
      </w:pPr>
      <w:r>
        <w:t xml:space="preserve">3.3 Security Requirements</w:t>
      </w:r>
    </w:p>
    <w:p>
      <w:pPr>
        <w:numPr>
          <w:ilvl w:val="0"/>
          <w:numId w:val="1010"/>
        </w:numPr>
        <w:pStyle w:val="Compact"/>
      </w:pPr>
      <w:r>
        <w:rPr>
          <w:bCs/>
          <w:b/>
        </w:rPr>
        <w:t xml:space="preserve">Authentication</w:t>
      </w:r>
      <w:r>
        <w:t xml:space="preserve">: The iFlow uses basic authentication for both IMAP and SMTP connections.</w:t>
      </w:r>
    </w:p>
    <w:p>
      <w:pPr>
        <w:numPr>
          <w:ilvl w:val="0"/>
          <w:numId w:val="1010"/>
        </w:numPr>
        <w:pStyle w:val="Compact"/>
      </w:pPr>
      <w:r>
        <w:rPr>
          <w:bCs/>
          <w:b/>
        </w:rPr>
        <w:t xml:space="preserve">Data Encryption</w:t>
      </w:r>
      <w:r>
        <w:t xml:space="preserve">: Emails are sent over secure protocols (IMAPS for retrieving emails and SMTP with STARTTLS for sending).</w:t>
      </w:r>
    </w:p>
    <w:p>
      <w:pPr>
        <w:numPr>
          <w:ilvl w:val="0"/>
          <w:numId w:val="1010"/>
        </w:numPr>
        <w:pStyle w:val="Compact"/>
      </w:pPr>
      <w:r>
        <w:rPr>
          <w:bCs/>
          <w:b/>
        </w:rPr>
        <w:t xml:space="preserve">Access Control</w:t>
      </w:r>
      <w:r>
        <w:t xml:space="preserve">: Ensure that only authorized users can access the iFlow and its configurations.</w:t>
      </w:r>
    </w:p>
    <w:p>
      <w:pPr>
        <w:numPr>
          <w:ilvl w:val="0"/>
          <w:numId w:val="1011"/>
        </w:numPr>
        <w:pStyle w:val="Compact"/>
      </w:pPr>
      <w:r>
        <w:t xml:space="preserve">Error Handling and Logging</w:t>
      </w:r>
    </w:p>
    <w:p>
      <w:pPr>
        <w:numPr>
          <w:ilvl w:val="0"/>
          <w:numId w:val="1012"/>
        </w:numPr>
        <w:pStyle w:val="Compact"/>
      </w:pPr>
      <w:r>
        <w:rPr>
          <w:bCs/>
          <w:b/>
        </w:rPr>
        <w:t xml:space="preserve">Error Handling</w:t>
      </w:r>
      <w:r>
        <w:t xml:space="preserve">: The iFlow logs all events and errors. If an error occurs during email retrieval or sending, it will be logged for further analysis.</w:t>
      </w:r>
    </w:p>
    <w:p>
      <w:pPr>
        <w:numPr>
          <w:ilvl w:val="0"/>
          <w:numId w:val="1012"/>
        </w:numPr>
        <w:pStyle w:val="Compact"/>
      </w:pPr>
      <w:r>
        <w:rPr>
          <w:bCs/>
          <w:b/>
        </w:rPr>
        <w:t xml:space="preserve">Logging</w:t>
      </w:r>
      <w:r>
        <w:t xml:space="preserve">: All events are logged, including successful email retrieval and sending, as well as any errors encountered.</w:t>
      </w:r>
    </w:p>
    <w:p>
      <w:pPr>
        <w:numPr>
          <w:ilvl w:val="0"/>
          <w:numId w:val="1013"/>
        </w:numPr>
        <w:pStyle w:val="Compact"/>
      </w:pPr>
      <w:r>
        <w:t xml:space="preserve">Testing Validation</w:t>
      </w:r>
    </w:p>
    <w:p>
      <w:pPr>
        <w:numPr>
          <w:ilvl w:val="0"/>
          <w:numId w:val="1014"/>
        </w:numPr>
        <w:pStyle w:val="Compact"/>
      </w:pPr>
      <w:r>
        <w:rPr>
          <w:bCs/>
          <w:b/>
        </w:rPr>
        <w:t xml:space="preserve">Unit Testing</w:t>
      </w:r>
      <w:r>
        <w:t xml:space="preserve">: Each component of the iFlow will be tested individually to ensure it functions as expected.</w:t>
      </w:r>
    </w:p>
    <w:p>
      <w:pPr>
        <w:numPr>
          <w:ilvl w:val="0"/>
          <w:numId w:val="1014"/>
        </w:numPr>
        <w:pStyle w:val="Compact"/>
      </w:pPr>
      <w:r>
        <w:rPr>
          <w:bCs/>
          <w:b/>
        </w:rPr>
        <w:t xml:space="preserve">Integration Testing</w:t>
      </w:r>
      <w:r>
        <w:t xml:space="preserve">: The entire iFlow will be tested to validate the end-to-end process of retrieving and sending emails.</w:t>
      </w:r>
    </w:p>
    <w:p>
      <w:pPr>
        <w:numPr>
          <w:ilvl w:val="0"/>
          <w:numId w:val="1014"/>
        </w:numPr>
        <w:pStyle w:val="Compact"/>
      </w:pPr>
      <w:r>
        <w:rPr>
          <w:bCs/>
          <w:b/>
        </w:rPr>
        <w:t xml:space="preserve">User Acceptance Testing (UAT)</w:t>
      </w:r>
      <w:r>
        <w:t xml:space="preserve">: Stakeholders will validate the iFlow against business requirements.</w:t>
      </w:r>
    </w:p>
    <w:p>
      <w:pPr>
        <w:numPr>
          <w:ilvl w:val="0"/>
          <w:numId w:val="1015"/>
        </w:numPr>
        <w:pStyle w:val="Compact"/>
      </w:pPr>
      <w:r>
        <w:t xml:space="preserve">Reference Documents</w:t>
      </w:r>
    </w:p>
    <w:p>
      <w:pPr>
        <w:numPr>
          <w:ilvl w:val="0"/>
          <w:numId w:val="1016"/>
        </w:numPr>
        <w:pStyle w:val="Compact"/>
      </w:pPr>
      <w:r>
        <w:t xml:space="preserve">SAP CPI Documentation</w:t>
      </w:r>
    </w:p>
    <w:p>
      <w:pPr>
        <w:numPr>
          <w:ilvl w:val="0"/>
          <w:numId w:val="1016"/>
        </w:numPr>
        <w:pStyle w:val="Compact"/>
      </w:pPr>
      <w:r>
        <w:t xml:space="preserve">Email Protocol Specifications (IMAP, SMTP)</w:t>
      </w:r>
    </w:p>
    <w:p>
      <w:pPr>
        <w:numPr>
          <w:ilvl w:val="0"/>
          <w:numId w:val="1016"/>
        </w:numPr>
        <w:pStyle w:val="Compact"/>
      </w:pPr>
      <w:r>
        <w:t xml:space="preserve">Business Requirements Document (BRD) for Email Processing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1"/>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1"/>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2026-01-05T10:09:17Z</dcterms:created>
  <dcterms:modified xsi:type="dcterms:W3CDTF">2026-01-05T10:09:17Z</dcterms:modified>
</cp:coreProperties>
</file>

<file path=docProps/custom.xml><?xml version="1.0" encoding="utf-8"?>
<Properties xmlns="http://schemas.openxmlformats.org/officeDocument/2006/custom-properties" xmlns:vt="http://schemas.openxmlformats.org/officeDocument/2006/docPropsVTypes"/>
</file>