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Calibri" w:hAnsi="Calibri"/>
          <w:b/>
          <w:color w:val="1F4E79"/>
          <w:sz w:val="48"/>
        </w:rPr>
        <w:t>Training Report: Exercise 4.6</w:t>
        <w:br/>
        <w:t>Basic Performance Review &amp; Profiling</w:t>
      </w:r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1. Objective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The objective of this exercise is to conduct a performance profile of the mini architecture scene prototype using Unreal Engine's built-in diagnostics tools (in-game stats HUD, stat GPU, and Unreal Insights). This review quantifies performance under typical play conditions, identifies potential processing bottlenecks, evaluates the overhead of custom C++ logic and widgets, and outlines optimization guidelines to support project scaling.</w:t>
      </w:r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2. Technical Performance Observations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Profiling was conducted in editor play mode from a consistent viewport position. The prototype exhibits a stable, high frame rate of approximately 55-60 FPS (averaging 60 FPS), indicating excellent out-of-the-box performance. The detailed metrics recorded are summarized in the tables below: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 / Thread Name</w:t>
            </w:r>
          </w:p>
        </w:tc>
        <w:tc>
          <w:tcPr>
            <w:tcW w:type="dxa" w:w="3120"/>
          </w:tcPr>
          <w:p>
            <w:r>
              <w:t>Average Value</w:t>
            </w:r>
          </w:p>
        </w:tc>
        <w:tc>
          <w:tcPr>
            <w:tcW w:type="dxa" w:w="3120"/>
          </w:tcPr>
          <w:p>
            <w:r>
              <w:t>Technical Purpose &amp; Status</w:t>
            </w:r>
          </w:p>
        </w:tc>
      </w:tr>
      <w:tr>
        <w:tc>
          <w:tcPr>
            <w:tcW w:type="dxa" w:w="3120"/>
          </w:tcPr>
          <w:p>
            <w:r>
              <w:t>Total Frame Time</w:t>
            </w:r>
          </w:p>
        </w:tc>
        <w:tc>
          <w:tcPr>
            <w:tcW w:type="dxa" w:w="3120"/>
          </w:tcPr>
          <w:p>
            <w:r>
              <w:t>17.82 ms</w:t>
            </w:r>
          </w:p>
        </w:tc>
        <w:tc>
          <w:tcPr>
            <w:tcW w:type="dxa" w:w="3120"/>
          </w:tcPr>
          <w:p>
            <w:r>
              <w:t>Average time spent to render a single frame. Comfortably near the 60 FPS target (16.6 ms budget).</w:t>
            </w:r>
          </w:p>
        </w:tc>
      </w:tr>
      <w:tr>
        <w:tc>
          <w:tcPr>
            <w:tcW w:type="dxa" w:w="3120"/>
          </w:tcPr>
          <w:p>
            <w:r>
              <w:t>Game Thread</w:t>
            </w:r>
          </w:p>
        </w:tc>
        <w:tc>
          <w:tcPr>
            <w:tcW w:type="dxa" w:w="3120"/>
          </w:tcPr>
          <w:p>
            <w:r>
              <w:t>16.13 ms</w:t>
            </w:r>
          </w:p>
        </w:tc>
        <w:tc>
          <w:tcPr>
            <w:tcW w:type="dxa" w:w="3120"/>
          </w:tcPr>
          <w:p>
            <w:r>
              <w:t>Handles character movement, player controller input, object selection logic. Runs smoothly with no script-side bottlenecks.</w:t>
            </w:r>
          </w:p>
        </w:tc>
      </w:tr>
      <w:tr>
        <w:tc>
          <w:tcPr>
            <w:tcW w:type="dxa" w:w="3120"/>
          </w:tcPr>
          <w:p>
            <w:r>
              <w:t>Draw Thread</w:t>
            </w:r>
          </w:p>
        </w:tc>
        <w:tc>
          <w:tcPr>
            <w:tcW w:type="dxa" w:w="3120"/>
          </w:tcPr>
          <w:p>
            <w:r>
              <w:t>12.34 ms</w:t>
            </w:r>
          </w:p>
        </w:tc>
        <w:tc>
          <w:tcPr>
            <w:tcW w:type="dxa" w:w="3120"/>
          </w:tcPr>
          <w:p>
            <w:r>
              <w:t>Prepares graphics command lists. Low cost due to a moderate draw call count (393 draws).</w:t>
            </w:r>
          </w:p>
        </w:tc>
      </w:tr>
      <w:tr>
        <w:tc>
          <w:tcPr>
            <w:tcW w:type="dxa" w:w="3120"/>
          </w:tcPr>
          <w:p>
            <w:r>
              <w:t>RHIT (RHI Thread)</w:t>
            </w:r>
          </w:p>
        </w:tc>
        <w:tc>
          <w:tcPr>
            <w:tcW w:type="dxa" w:w="3120"/>
          </w:tcPr>
          <w:p>
            <w:r>
              <w:t>8.40 ms</w:t>
            </w:r>
          </w:p>
        </w:tc>
        <w:tc>
          <w:tcPr>
            <w:tcW w:type="dxa" w:w="3120"/>
          </w:tcPr>
          <w:p>
            <w:r>
              <w:t>Submits draw commands to the graphics API. Low overhead, indicating stable driver submission.</w:t>
            </w:r>
          </w:p>
        </w:tc>
      </w:tr>
      <w:tr>
        <w:tc>
          <w:tcPr>
            <w:tcW w:type="dxa" w:w="3120"/>
          </w:tcPr>
          <w:p>
            <w:r>
              <w:t>GPU Time</w:t>
            </w:r>
          </w:p>
        </w:tc>
        <w:tc>
          <w:tcPr>
            <w:tcW w:type="dxa" w:w="3120"/>
          </w:tcPr>
          <w:p>
            <w:r>
              <w:t>18.44 ms</w:t>
            </w:r>
          </w:p>
        </w:tc>
        <w:tc>
          <w:tcPr>
            <w:tcW w:type="dxa" w:w="3120"/>
          </w:tcPr>
          <w:p>
            <w:r>
              <w:t>Time spent by the GPU rendering geometry, post-processing, and lighting. The main driver of frame time (GPU bound).</w:t>
            </w:r>
          </w:p>
        </w:tc>
      </w:tr>
    </w:tbl>
    <w:p>
      <w:pPr>
        <w:spacing w:before="0" w:after="240"/>
      </w:pPr>
      <w:r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Footprint Metric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Design Impact</w:t>
            </w:r>
          </w:p>
        </w:tc>
      </w:tr>
      <w:tr>
        <w:tc>
          <w:tcPr>
            <w:tcW w:type="dxa" w:w="3120"/>
          </w:tcPr>
          <w:p>
            <w:r>
              <w:t>System Memory (RAM)</w:t>
            </w:r>
          </w:p>
        </w:tc>
        <w:tc>
          <w:tcPr>
            <w:tcW w:type="dxa" w:w="3120"/>
          </w:tcPr>
          <w:p>
            <w:r>
              <w:t>1.23 GB (Avg) / 3.01 GB (Max)</w:t>
            </w:r>
          </w:p>
        </w:tc>
        <w:tc>
          <w:tcPr>
            <w:tcW w:type="dxa" w:w="3120"/>
          </w:tcPr>
          <w:p>
            <w:r>
              <w:t>Memory footprint remains light, allowing high scaling overhead for expanded maps.</w:t>
            </w:r>
          </w:p>
        </w:tc>
      </w:tr>
      <w:tr>
        <w:tc>
          <w:tcPr>
            <w:tcW w:type="dxa" w:w="3120"/>
          </w:tcPr>
          <w:p>
            <w:r>
              <w:t>Video Memory (VRAM)</w:t>
            </w:r>
          </w:p>
        </w:tc>
        <w:tc>
          <w:tcPr>
            <w:tcW w:type="dxa" w:w="3120"/>
          </w:tcPr>
          <w:p>
            <w:r>
              <w:t>3.73 GB (Avg) / 4.30 GB (Max)</w:t>
            </w:r>
          </w:p>
        </w:tc>
        <w:tc>
          <w:tcPr>
            <w:tcW w:type="dxa" w:w="3120"/>
          </w:tcPr>
          <w:p>
            <w:r>
              <w:t>VRAM consumption is moderate, driven by high-resolution mesh textures and post-process buffers.</w:t>
            </w:r>
          </w:p>
        </w:tc>
      </w:tr>
      <w:tr>
        <w:tc>
          <w:tcPr>
            <w:tcW w:type="dxa" w:w="3120"/>
          </w:tcPr>
          <w:p>
            <w:r>
              <w:t>Draw Calls (Draws)</w:t>
            </w:r>
          </w:p>
        </w:tc>
        <w:tc>
          <w:tcPr>
            <w:tcW w:type="dxa" w:w="3120"/>
          </w:tcPr>
          <w:p>
            <w:r>
              <w:t>393</w:t>
            </w:r>
          </w:p>
        </w:tc>
        <w:tc>
          <w:tcPr>
            <w:tcW w:type="dxa" w:w="3120"/>
          </w:tcPr>
          <w:p>
            <w:r>
              <w:t>Total batch count is low. Well within modern hardware capabilities (standard limit is 2,000-3,000).</w:t>
            </w:r>
          </w:p>
        </w:tc>
      </w:tr>
      <w:tr>
        <w:tc>
          <w:tcPr>
            <w:tcW w:type="dxa" w:w="3120"/>
          </w:tcPr>
          <w:p>
            <w:r>
              <w:t>Primitives (Prims)</w:t>
            </w:r>
          </w:p>
        </w:tc>
        <w:tc>
          <w:tcPr>
            <w:tcW w:type="dxa" w:w="3120"/>
          </w:tcPr>
          <w:p>
            <w:r>
              <w:t>571.6K</w:t>
            </w:r>
          </w:p>
        </w:tc>
        <w:tc>
          <w:tcPr>
            <w:tcW w:type="dxa" w:w="3120"/>
          </w:tcPr>
          <w:p>
            <w:r>
              <w:t>Total geometry complexity is highly optimized, ensuring minimal vertex processing overhead.</w:t>
            </w:r>
          </w:p>
        </w:tc>
      </w:tr>
    </w:tbl>
    <w:p>
      <w:pPr>
        <w:spacing w:after="240"/>
      </w:pPr>
      <w:r/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3. Unreal Insights Profile Analysis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A detailed Timing Insights capture (Figure 2) was taken to analyze where rendering and logic time is spent. The GPU trace reveals that the performance is predominantly driven by engine-level rendering systems rather than gameplay logic or custom scripting. Key findings include: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Temporal Super Resolution (TSR): TSR accounts for 12.5 ms of the 13.0 ms post-processing budget. This is the single most expensive rendering pass in the project. TSR is an engine-level upscaling system, not caused by gameplay code.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Deferred Lighting: RenderDeferredLighting costs 1.3 ms, with lights taking 615 us and direct lighting taking 613.9 us. This confirms that the 6 custom showroom lights (directional sun, wall sconces, point fills) are highly optimized.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Specular Reflections: Specular reflections on the glossy magenta floor and glass panels are handled by Lumen. ReflectionEnvironment costs only 593.1 us, indicating that the Lumen reflection settings are well-balanced.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Slate UI: SlateUI cost is only 819.4 us. Custom widgets (Object Info Panel, Design Option Switcher) use event-driven bindings and do not tick, resulting in minimal CPU overhead.</w:t>
      </w:r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4. Efficiency of Custom Logic &amp; Blueprints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An audit of custom Blueprints and C++ classes confirms that gameplay scripting is optimized for CPU efficiency: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Tick Elimination: Custom classes (AArchObjectManager, AArchSelectableObject, AArchAnimatedDoor) have Tick disabled or set to false by default (except for AArchSelectableObject which only ticks when hovered/selected to run highlight updates). This prevents frame-by-frame polling overhead on the CPU.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Event-Driven HUD: UI updates are handled exclusively via event dispatchers (e.g. OnObjectSelected). Metadata fields in the Object Info Panel and Design Option Switcher are updated only when selection changes, saving CPU cycles.</w:t>
      </w:r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5. Scaling Suggestions for Larger Projects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To maintain 60 FPS as the showroom environment scales (e.g., adding multiple rooms, high-density assets, or more materials), the following optimizations are recommended: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Instanced Static Meshes (ISMs): Repetitive structural components (walls, frames, panels, lights) should be converted into ISMs or Hierarchical ISMs (HISMs) to combine draw calls and reduce the Draw thread timing.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TSR Resolution Scaling: Expose TSR settings in a graphical settings menu, allowing users to decrease the screen percentage on lower-end hardware to reduce the 12.5 ms GPU TSR overhead.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sz w:val="22"/>
        </w:rPr>
        <w:t>Baked Shadowing for Static Lights: The sconce lights currently cast dynamic shadows. Baking static shadows for immobile lights (using Lightmass or GPU Lightmass) will reduce ShadowDepths overhead (currently 587.9 us) to zero.</w:t>
      </w:r>
    </w:p>
    <w:p>
      <w:pPr>
        <w:keepNext/>
        <w:spacing w:before="360" w:after="120"/>
      </w:pPr>
      <w:r>
        <w:rPr>
          <w:rFonts w:ascii="Calibri" w:hAnsi="Calibri"/>
          <w:b/>
          <w:color w:val="2E74B5"/>
          <w:sz w:val="32"/>
        </w:rPr>
        <w:t>6. Runtime Verification</w:t>
      </w:r>
    </w:p>
    <w:p>
      <w:pPr>
        <w:spacing w:before="0" w:after="240" w:line="276" w:lineRule="auto"/>
      </w:pPr>
      <w:r>
        <w:rPr>
          <w:rFonts w:ascii="Calibri" w:hAnsi="Calibri"/>
          <w:sz w:val="22"/>
        </w:rPr>
        <w:t>The following figures display the performance overlays and diagnostic tools used to verify scene execution: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3447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stat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7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color w:val="595959"/>
          <w:sz w:val="19"/>
        </w:rPr>
        <w:t>Figure 1: Viewport performance statistics showing FPS, frame timings, and memory consumption during runtime.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2732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ins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color w:val="595959"/>
          <w:sz w:val="19"/>
        </w:rPr>
        <w:t>Figure 2: Unreal Insights Timing graph detailing post-processing, TSR, and deferred lighting GPU costs.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