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e47483137484228" /></Relationships>
</file>

<file path=word/document.xml><?xml version="1.0" encoding="utf-8"?>
<w:document xmlns:w="http://schemas.openxmlformats.org/wordprocessingml/2006/main">
  <w:body>
    <w:p>
      <w:pPr>
        <w:jc w:val="center"/>
      </w:pPr>
      <w:r>
        <w:rPr>
          <w:rFonts w:ascii="Calibri"/>
          <w:b/>
          <w:color w:val="1F497D"/>
          <w:sz w:val="36"/>
        </w:rPr>
        <w:t>Training Report: Exercise 2.5</w:t>
      </w:r>
    </w:p>
    <w:p>
      <w:pPr>
        <w:jc w:val="center"/>
      </w:pPr>
      <w:r>
        <w:rPr>
          <w:rFonts w:ascii="Calibri"/>
          <w:i/>
          <w:color w:val="595959"/>
          <w:sz w:val="24"/>
        </w:rPr>
        <w:t>Create Material Options for the Showroom</w:t>
      </w:r>
    </w:p>
    <w:p>
      <w:pPr>
        <w:pBdr>
          <w:bottom w:val="single" w:color="1F497D" w:sz="12" w:space="1"/>
        </w:pBdr>
      </w:pPr>
      <w:r>
        <w:t/>
      </w:r>
    </w:p>
    <w:p>
      <w:pPr>
        <w:keepNext/>
        <w:spacing w:before="240" w:after="120"/>
      </w:pPr>
      <w:r>
        <w:rPr>
          <w:rFonts w:ascii="Calibri"/>
          <w:b/>
          <w:color w:val="1F497D"/>
          <w:sz w:val="24"/>
        </w:rPr>
        <w:t>1. Objective</w:t>
      </w:r>
    </w:p>
    <w:p>
      <w:pPr>
        <w:spacing w:after="120"/>
      </w:pPr>
      <w:r>
        <w:rPr>
          <w:rFonts w:ascii="Calibri"/>
          <w:sz w:val="22"/>
        </w:rPr>
        <w:t>The objective of this exercise is to design and implement a flexible material system for the ArchViz Showroom. This includes creating highly customizable Master Materials, generating distinct material instances for walls, floors, and translucent glass, applying them to showroom geometry, and creating an interactive in-level sample board/comparison wall. This material framework serves as the foundation for the upcoming UI-driven material-switching system.</w:t>
      </w:r>
    </w:p>
    <w:p>
      <w:pPr>
        <w:keepNext/>
        <w:spacing w:before="240" w:after="120"/>
      </w:pPr>
      <w:r>
        <w:rPr>
          <w:rFonts w:ascii="Calibri"/>
          <w:b/>
          <w:color w:val="1F497D"/>
          <w:sz w:val="24"/>
        </w:rPr>
        <w:t>2. Master Materials Architecture</w:t>
      </w:r>
    </w:p>
    <w:p>
      <w:pPr>
        <w:spacing w:after="120"/>
      </w:pPr>
      <w:r>
        <w:rPr>
          <w:rFonts w:ascii="Calibri"/>
          <w:sz w:val="22"/>
        </w:rPr>
        <w:t>To maintain performance and scalability, the scene utilizes a master-instance architecture. Two primary master materials were created to handle opaque and translucent surfaces.</w:t>
      </w:r>
    </w:p>
    <w:p>
      <w:pPr>
        <w:keepNext/>
        <w:spacing w:before="240" w:after="120"/>
      </w:pPr>
      <w:r>
        <w:rPr>
          <w:rFonts w:ascii="Calibri"/>
          <w:b/>
          <w:color w:val="1F497D"/>
          <w:sz w:val="18"/>
        </w:rPr>
        <w:t>2.1. Opaque Master Material (M_Arch_Master)</w:t>
      </w:r>
    </w:p>
    <w:p>
      <w:pPr>
        <w:spacing w:after="120"/>
      </w:pPr>
      <w:r>
        <w:rPr>
          <w:rFonts w:ascii="Calibri"/>
          <w:sz w:val="22"/>
        </w:rPr>
        <w:t>M_Arch_Master is the base material for the majority of architectural objects (walls, floors, furniture). It features parameter bindings that allow complete customization through Material Instances:</w:t>
      </w:r>
    </w:p>
    <w:p>
      <w:pPr>
        <w:spacing w:after="60"/>
        <w:ind w:left="720"/>
      </w:pPr>
      <w:r>
        <w:rPr>
          <w:rFonts w:ascii="Symbol"/>
          <w:sz w:val="22"/>
        </w:rPr>
        <w:t>•   </w:t>
      </w:r>
      <w:r>
        <w:rPr>
          <w:rFonts w:ascii="Calibri"/>
          <w:sz w:val="22"/>
        </w:rPr>
        <w:t>TextureInput (Texture2D Parameter): Serves as the diffuse map. It is multiplied by a color tint parameter to allow color customization of textures.</w:t>
      </w:r>
    </w:p>
    <w:p>
      <w:pPr>
        <w:spacing w:after="60"/>
        <w:ind w:left="720"/>
      </w:pPr>
      <w:r>
        <w:rPr>
          <w:rFonts w:ascii="Symbol"/>
          <w:sz w:val="22"/>
        </w:rPr>
        <w:t>•   </w:t>
      </w:r>
      <w:r>
        <w:rPr>
          <w:rFonts w:ascii="Calibri"/>
          <w:sz w:val="22"/>
        </w:rPr>
        <w:t>Color Tint / Base Color (Vector Parameter - Collapsed Nodes): Defines the base color tint applied to the texture input.</w:t>
      </w:r>
    </w:p>
    <w:p>
      <w:pPr>
        <w:spacing w:after="60"/>
        <w:ind w:left="720"/>
      </w:pPr>
      <w:r>
        <w:rPr>
          <w:rFonts w:ascii="Symbol"/>
          <w:sz w:val="22"/>
        </w:rPr>
        <w:t>•   </w:t>
      </w:r>
      <w:r>
        <w:rPr>
          <w:rFonts w:ascii="Calibri"/>
          <w:sz w:val="22"/>
        </w:rPr>
        <w:t>Metallic (Scalar Parameter): Controls the metallic reflection property (default: 0.0).</w:t>
      </w:r>
    </w:p>
    <w:p>
      <w:pPr>
        <w:spacing w:after="60"/>
        <w:ind w:left="720"/>
      </w:pPr>
      <w:r>
        <w:rPr>
          <w:rFonts w:ascii="Symbol"/>
          <w:sz w:val="22"/>
        </w:rPr>
        <w:t>•   </w:t>
      </w:r>
      <w:r>
        <w:rPr>
          <w:rFonts w:ascii="Calibri"/>
          <w:sz w:val="22"/>
        </w:rPr>
        <w:t>Roughness (Scalar Parameter): Controls surface micro-faceting and reflection spread (default: 0.0).</w:t>
      </w:r>
    </w:p>
    <w:p>
      <w:pPr>
        <w:spacing w:after="60"/>
        <w:ind w:left="720"/>
      </w:pPr>
      <w:r>
        <w:rPr>
          <w:rFonts w:ascii="Symbol"/>
          <w:sz w:val="22"/>
        </w:rPr>
        <w:t>•   </w:t>
      </w:r>
      <w:r>
        <w:rPr>
          <w:rFonts w:ascii="Calibri"/>
          <w:sz w:val="22"/>
        </w:rPr>
        <w:t>Emissive Strength &amp; Color (Vector/Scalar Parameters - Collapsed Nodes): Governs light emission from the material, allowing the creation of glowing screens, indicators, or illuminated ceilings.</w:t>
      </w:r>
    </w:p>
    <w:p>
      <w:pPr>
        <w:keepNext/>
        <w:spacing w:before="240" w:after="120"/>
      </w:pPr>
      <w:r>
        <w:rPr>
          <w:rFonts w:ascii="Calibri"/>
          <w:b/>
          <w:color w:val="1F497D"/>
          <w:sz w:val="18"/>
        </w:rPr>
        <w:t>2.2. Translucent Master Material (M_Arch_Master_Translucent)</w:t>
      </w:r>
    </w:p>
    <w:p>
      <w:pPr>
        <w:spacing w:after="120"/>
      </w:pPr>
      <w:r>
        <w:rPr>
          <w:rFonts w:ascii="Calibri"/>
          <w:sz w:val="22"/>
        </w:rPr>
        <w:t>M_Arch_Master_Translucent is a duplicate of the master material configured with a Translucent Blend Mode. It handles glass elements and semi-transparent fixtures:</w:t>
      </w:r>
    </w:p>
    <w:p>
      <w:pPr>
        <w:spacing w:after="60"/>
        <w:ind w:left="720"/>
      </w:pPr>
      <w:r>
        <w:rPr>
          <w:rFonts w:ascii="Symbol"/>
          <w:sz w:val="22"/>
        </w:rPr>
        <w:t>•   </w:t>
      </w:r>
      <w:r>
        <w:rPr>
          <w:rFonts w:ascii="Calibri"/>
          <w:sz w:val="22"/>
        </w:rPr>
        <w:t>Opacity (Scalar Parameter): Configured with a default value of 0.45 to achieve realistic light transmission through glass panes.</w:t>
      </w:r>
    </w:p>
    <w:p>
      <w:pPr>
        <w:spacing w:after="60"/>
        <w:ind w:left="720"/>
      </w:pPr>
      <w:r>
        <w:rPr>
          <w:rFonts w:ascii="Symbol"/>
          <w:sz w:val="22"/>
        </w:rPr>
        <w:t>•   </w:t>
      </w:r>
      <w:r>
        <w:rPr>
          <w:rFonts w:ascii="Calibri"/>
          <w:sz w:val="22"/>
        </w:rPr>
        <w:t>Base Color &amp; Specular Adjustments: Tuned to ensure realistic glass reflections and refraction.</w:t>
      </w:r>
    </w:p>
    <w:p>
      <w:pPr>
        <w:keepNext/>
        <w:spacing w:before="240" w:after="120"/>
      </w:pPr>
      <w:r>
        <w:rPr>
          <w:rFonts w:ascii="Calibri"/>
          <w:b/>
          <w:color w:val="1F497D"/>
          <w:sz w:val="24"/>
        </w:rPr>
        <w:t>3. Material Instances Catalog</w:t>
      </w:r>
    </w:p>
    <w:p>
      <w:pPr>
        <w:spacing w:after="120"/>
      </w:pPr>
      <w:r>
        <w:rPr>
          <w:rFonts w:ascii="Calibri"/>
          <w:sz w:val="22"/>
        </w:rPr>
        <w:t>From the master materials, specific material instances were derived and parameterized to create a library of architectural finishes.</w:t>
      </w:r>
    </w:p>
    <w:tbl>
      <w:tblPr>
        <w:tblBorders>
          <w:top w:val="single" w:color="CCCCCC" w:sz="6" w:space="0"/>
          <w:bottom w:val="single" w:color="CCCCCC" w:sz="6" w:space="0"/>
          <w:left w:val="single" w:color="CCCCCC" w:sz="6" w:space="0"/>
          <w:right w:val="single" w:color="CCCCCC" w:sz="6" w:space="0"/>
          <w:insideH w:val="single" w:color="E0E0E0" w:sz="4" w:space="0"/>
          <w:insideV w:val="single" w:color="E0E0E0" w:sz="4" w:space="0"/>
        </w:tblBorders>
      </w:tblPr>
      <w:tr>
        <w:tc>
          <w:tcPr>
            <w:shd w:fill="EAEAEA"/>
          </w:tcPr>
          <w:p>
            <w:r>
              <w:rPr>
                <w:rFonts w:ascii="Calibri"/>
                <w:b/>
                <w:sz w:val="20"/>
              </w:rPr>
              <w:t>Material Instance Name</w:t>
            </w:r>
          </w:p>
        </w:tc>
        <w:tc>
          <w:tcPr>
            <w:shd w:fill="EAEAEA"/>
          </w:tcPr>
          <w:p>
            <w:r>
              <w:rPr>
                <w:rFonts w:ascii="Calibri"/>
                <w:b/>
                <w:sz w:val="20"/>
              </w:rPr>
              <w:t>Parent Material</w:t>
            </w:r>
          </w:p>
        </w:tc>
        <w:tc>
          <w:tcPr>
            <w:shd w:fill="EAEAEA"/>
          </w:tcPr>
          <w:p>
            <w:r>
              <w:rPr>
                <w:rFonts w:ascii="Calibri"/>
                <w:b/>
                <w:sz w:val="20"/>
              </w:rPr>
              <w:t>Target Component</w:t>
            </w:r>
          </w:p>
        </w:tc>
        <w:tc>
          <w:tcPr>
            <w:shd w:fill="EAEAEA"/>
          </w:tcPr>
          <w:p>
            <w:r>
              <w:rPr>
                <w:rFonts w:ascii="Calibri"/>
                <w:b/>
                <w:sz w:val="20"/>
              </w:rPr>
              <w:t>Parameter Customizations</w:t>
            </w:r>
          </w:p>
        </w:tc>
      </w:tr>
      <w:tr>
        <w:tc>
          <w:tcPr/>
          <w:p>
            <w:r>
              <w:rPr>
                <w:rFonts w:ascii="Calibri"/>
                <w:sz w:val="20"/>
              </w:rPr>
              <w:t>MI_Wall01_Arch_Master_Inst</w:t>
            </w:r>
          </w:p>
        </w:tc>
        <w:tc>
          <w:tcPr/>
          <w:p>
            <w:r>
              <w:rPr>
                <w:rFonts w:ascii="Calibri"/>
                <w:sz w:val="20"/>
              </w:rPr>
              <w:t>M_Arch_Master</w:t>
            </w:r>
          </w:p>
        </w:tc>
        <w:tc>
          <w:tcPr/>
          <w:p>
            <w:r>
              <w:rPr>
                <w:rFonts w:ascii="Calibri"/>
                <w:sz w:val="20"/>
              </w:rPr>
              <w:t>Showroom Walls (White)</w:t>
            </w:r>
          </w:p>
        </w:tc>
        <w:tc>
          <w:tcPr/>
          <w:p>
            <w:r>
              <w:rPr>
                <w:rFonts w:ascii="Calibri"/>
                <w:sz w:val="20"/>
              </w:rPr>
              <w:t>Base Color: Off-White, Roughness: 0.8, Metallic: 0.0</w:t>
            </w:r>
          </w:p>
        </w:tc>
      </w:tr>
      <w:tr>
        <w:tc>
          <w:tcPr/>
          <w:p>
            <w:r>
              <w:rPr>
                <w:rFonts w:ascii="Calibri"/>
                <w:sz w:val="20"/>
              </w:rPr>
              <w:t>MI_Wall02_Arch_Master_Inst</w:t>
            </w:r>
          </w:p>
        </w:tc>
        <w:tc>
          <w:tcPr/>
          <w:p>
            <w:r>
              <w:rPr>
                <w:rFonts w:ascii="Calibri"/>
                <w:sz w:val="20"/>
              </w:rPr>
              <w:t>M_Arch_Master</w:t>
            </w:r>
          </w:p>
        </w:tc>
        <w:tc>
          <w:tcPr/>
          <w:p>
            <w:r>
              <w:rPr>
                <w:rFonts w:ascii="Calibri"/>
                <w:sz w:val="20"/>
              </w:rPr>
              <w:t>Showroom Walls (Green)</w:t>
            </w:r>
          </w:p>
        </w:tc>
        <w:tc>
          <w:tcPr/>
          <w:p>
            <w:r>
              <w:rPr>
                <w:rFonts w:ascii="Calibri"/>
                <w:sz w:val="20"/>
              </w:rPr>
              <w:t>Base Color: Teal/Green Tint, Roughness: 0.7, Metallic: 0.0</w:t>
            </w:r>
          </w:p>
        </w:tc>
      </w:tr>
      <w:tr>
        <w:tc>
          <w:tcPr/>
          <w:p>
            <w:r>
              <w:rPr>
                <w:rFonts w:ascii="Calibri"/>
                <w:sz w:val="20"/>
              </w:rPr>
              <w:t>MI_Wall03_Arch_Master_Inst</w:t>
            </w:r>
          </w:p>
        </w:tc>
        <w:tc>
          <w:tcPr/>
          <w:p>
            <w:r>
              <w:rPr>
                <w:rFonts w:ascii="Calibri"/>
                <w:sz w:val="20"/>
              </w:rPr>
              <w:t>M_Arch_Master</w:t>
            </w:r>
          </w:p>
        </w:tc>
        <w:tc>
          <w:tcPr/>
          <w:p>
            <w:r>
              <w:rPr>
                <w:rFonts w:ascii="Calibri"/>
                <w:sz w:val="20"/>
              </w:rPr>
              <w:t>Showroom Walls (Alt Color)</w:t>
            </w:r>
          </w:p>
        </w:tc>
        <w:tc>
          <w:tcPr/>
          <w:p>
            <w:r>
              <w:rPr>
                <w:rFonts w:ascii="Calibri"/>
                <w:sz w:val="20"/>
              </w:rPr>
              <w:t>Custom color tint, Roughness: 0.75, Metallic: 0.0</w:t>
            </w:r>
          </w:p>
        </w:tc>
      </w:tr>
      <w:tr>
        <w:tc>
          <w:tcPr/>
          <w:p>
            <w:r>
              <w:rPr>
                <w:rFonts w:ascii="Calibri"/>
                <w:sz w:val="20"/>
              </w:rPr>
              <w:t>MI_Floor01_Arch_Master_Inst1</w:t>
            </w:r>
          </w:p>
        </w:tc>
        <w:tc>
          <w:tcPr/>
          <w:p>
            <w:r>
              <w:rPr>
                <w:rFonts w:ascii="Calibri"/>
                <w:sz w:val="20"/>
              </w:rPr>
              <w:t>M_Arch_Master</w:t>
            </w:r>
          </w:p>
        </w:tc>
        <w:tc>
          <w:tcPr/>
          <w:p>
            <w:r>
              <w:rPr>
                <w:rFonts w:ascii="Calibri"/>
                <w:sz w:val="20"/>
              </w:rPr>
              <w:t>Showroom Floors</w:t>
            </w:r>
          </w:p>
        </w:tc>
        <w:tc>
          <w:tcPr/>
          <w:p>
            <w:r>
              <w:rPr>
                <w:rFonts w:ascii="Calibri"/>
                <w:sz w:val="20"/>
              </w:rPr>
              <w:t>Base Color: Vibrant Magenta (test), Roughness: 0.5, Metallic: 0.1</w:t>
            </w:r>
          </w:p>
        </w:tc>
      </w:tr>
      <w:tr>
        <w:tc>
          <w:tcPr/>
          <w:p>
            <w:r>
              <w:rPr>
                <w:rFonts w:ascii="Calibri"/>
                <w:sz w:val="20"/>
              </w:rPr>
              <w:t>MI_Arch_Master_Translucent_Window_Inst</w:t>
            </w:r>
          </w:p>
        </w:tc>
        <w:tc>
          <w:tcPr/>
          <w:p>
            <w:r>
              <w:rPr>
                <w:rFonts w:ascii="Calibri"/>
                <w:sz w:val="20"/>
              </w:rPr>
              <w:t>M_Arch_Master_Translucent</w:t>
            </w:r>
          </w:p>
        </w:tc>
        <w:tc>
          <w:tcPr/>
          <w:p>
            <w:r>
              <w:rPr>
                <w:rFonts w:ascii="Calibri"/>
                <w:sz w:val="20"/>
              </w:rPr>
              <w:t>Window Panes (Glass)</w:t>
            </w:r>
          </w:p>
        </w:tc>
        <w:tc>
          <w:tcPr/>
          <w:p>
            <w:r>
              <w:rPr>
                <w:rFonts w:ascii="Calibri"/>
                <w:sz w:val="20"/>
              </w:rPr>
              <w:t>Base Color: Dark tint, Opacity: 0.45, Roughness: 0.1, Metallic: 0.9</w:t>
            </w:r>
          </w:p>
        </w:tc>
      </w:tr>
      <w:tr>
        <w:tc>
          <w:tcPr/>
          <w:p>
            <w:r>
              <w:rPr>
                <w:rFonts w:ascii="Calibri"/>
                <w:sz w:val="20"/>
              </w:rPr>
              <w:t>Emissive Ceiling/Indicator</w:t>
            </w:r>
          </w:p>
        </w:tc>
        <w:tc>
          <w:tcPr/>
          <w:p>
            <w:r>
              <w:rPr>
                <w:rFonts w:ascii="Calibri"/>
                <w:sz w:val="20"/>
              </w:rPr>
              <w:t>M_Arch_Master</w:t>
            </w:r>
          </w:p>
        </w:tc>
        <w:tc>
          <w:tcPr/>
          <w:p>
            <w:r>
              <w:rPr>
                <w:rFonts w:ascii="Calibri"/>
                <w:sz w:val="20"/>
              </w:rPr>
              <w:t>Ceiling Panel / Indicators</w:t>
            </w:r>
          </w:p>
        </w:tc>
        <w:tc>
          <w:tcPr/>
          <w:p>
            <w:r>
              <w:rPr>
                <w:rFonts w:ascii="Calibri"/>
                <w:sz w:val="20"/>
              </w:rPr>
              <w:t>Base Color: Yellow, Emissive Strength: High</w:t>
            </w:r>
          </w:p>
        </w:tc>
      </w:tr>
    </w:tbl>
    <w:p>
      <w:pPr>
        <w:spacing w:after="120"/>
      </w:pPr>
      <w:r>
        <w:rPr>
          <w:rFonts w:ascii="Calibri"/>
          <w:sz w:val="22"/>
        </w:rPr>
        <w:t/>
      </w:r>
    </w:p>
    <w:p>
      <w:pPr>
        <w:keepNext/>
        <w:spacing w:before="240" w:after="120"/>
      </w:pPr>
      <w:r>
        <w:rPr>
          <w:rFonts w:ascii="Calibri"/>
          <w:b/>
          <w:color w:val="1F497D"/>
          <w:sz w:val="24"/>
        </w:rPr>
        <w:t>4. Integration with Showroom Scene &amp; Comparison Board</w:t>
      </w:r>
    </w:p>
    <w:p>
      <w:pPr>
        <w:spacing w:after="120"/>
      </w:pPr>
      <w:r>
        <w:rPr>
          <w:rFonts w:ascii="Calibri"/>
          <w:sz w:val="22"/>
        </w:rPr>
        <w:t>The material instances are applied across the LVL_Training_Showroom level to verify visual fidelity and scaling.</w:t>
      </w:r>
    </w:p>
    <w:p>
      <w:pPr>
        <w:keepNext/>
        <w:spacing w:before="240" w:after="120"/>
      </w:pPr>
      <w:r>
        <w:rPr>
          <w:rFonts w:ascii="Calibri"/>
          <w:b/>
          <w:color w:val="1F497D"/>
          <w:sz w:val="18"/>
        </w:rPr>
        <w:t>4.1. Showroom Objects Application</w:t>
      </w:r>
    </w:p>
    <w:p>
      <w:pPr>
        <w:spacing w:after="60"/>
        <w:ind w:left="720"/>
      </w:pPr>
      <w:r>
        <w:rPr>
          <w:rFonts w:ascii="Symbol"/>
          <w:sz w:val="22"/>
        </w:rPr>
        <w:t>•   </w:t>
      </w:r>
      <w:r>
        <w:rPr>
          <w:rFonts w:ascii="Calibri"/>
          <w:sz w:val="22"/>
        </w:rPr>
        <w:t>Floor: The high-contrast magenta floor instance (MI_Floor01_Arch_Master_Inst1) is applied to the showroom floor.</w:t>
      </w:r>
    </w:p>
    <w:p>
      <w:pPr>
        <w:spacing w:after="60"/>
        <w:ind w:left="720"/>
      </w:pPr>
      <w:r>
        <w:rPr>
          <w:rFonts w:ascii="Symbol"/>
          <w:sz w:val="22"/>
        </w:rPr>
        <w:t>•   </w:t>
      </w:r>
      <w:r>
        <w:rPr>
          <w:rFonts w:ascii="Calibri"/>
          <w:sz w:val="22"/>
        </w:rPr>
        <w:t>Walls: The room uses a combination of MI_Wall01 (neutral white) and MI_Wall02 (teal/green) to demonstrate room accent walling.</w:t>
      </w:r>
    </w:p>
    <w:p>
      <w:pPr>
        <w:spacing w:after="60"/>
        <w:ind w:left="720"/>
      </w:pPr>
      <w:r>
        <w:rPr>
          <w:rFonts w:ascii="Symbol"/>
          <w:sz w:val="22"/>
        </w:rPr>
        <w:t>•   </w:t>
      </w:r>
      <w:r>
        <w:rPr>
          <w:rFonts w:ascii="Calibri"/>
          <w:sz w:val="22"/>
        </w:rPr>
        <w:t>Window Panes: Glass panes utilize the translucent instance MI_Arch_Master_Translucent_Window_Inst to enable visual transparency, letting the background geometry show through the glass.</w:t>
      </w:r>
    </w:p>
    <w:p>
      <w:pPr>
        <w:spacing w:after="60"/>
        <w:ind w:left="720"/>
      </w:pPr>
      <w:r>
        <w:rPr>
          <w:rFonts w:ascii="Symbol"/>
          <w:sz w:val="22"/>
        </w:rPr>
        <w:t>•   </w:t>
      </w:r>
      <w:r>
        <w:rPr>
          <w:rFonts w:ascii="Calibri"/>
          <w:sz w:val="22"/>
        </w:rPr>
        <w:t>Ceiling Panel: A bright yellow emissive material is applied to the ceiling grid, functioning as an overhead light fixture.</w:t>
      </w:r>
    </w:p>
    <w:p>
      <w:pPr>
        <w:keepNext/>
        <w:spacing w:before="240" w:after="120"/>
      </w:pPr>
      <w:r>
        <w:rPr>
          <w:rFonts w:ascii="Calibri"/>
          <w:b/>
          <w:color w:val="1F497D"/>
          <w:sz w:val="18"/>
        </w:rPr>
        <w:t>4.2. Sample Board &amp; Labels</w:t>
      </w:r>
    </w:p>
    <w:p>
      <w:pPr>
        <w:spacing w:after="120"/>
      </w:pPr>
      <w:r>
        <w:rPr>
          <w:rFonts w:ascii="Calibri"/>
          <w:sz w:val="22"/>
        </w:rPr>
        <w:t>A sample board/comparison wall is set up in the level to present material options side-by-side to reviewers. Floating text render components and labels are placed near the architectural components (e.g., table, chair, windows) showing the object names, and measurement markers (e.g., 300.0 cm, 210.0 cm, 75.00 cm) to establish spatial and aesthetic context.</w:t>
      </w:r>
    </w:p>
    <w:p>
      <w:pPr>
        <w:jc w:val="center"/>
        <w:spacing w:before="120" w:after="120"/>
      </w:pPr>
      <w:r>
        <w:drawing>
          <wp:inline xmlns:wp="http://schemas.openxmlformats.org/drawingml/2006/wordprocessingDrawing" distT="0" distB="0" distL="0" distR="0">
            <wp:extent cx="5486400" cy="3570000"/>
            <wp:effectExtent l="0" t="0" r="0" b="0"/>
            <wp:docPr id="1" name="media__1780589904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0589904040.png"/>
                    <pic:cNvPicPr/>
                  </pic:nvPicPr>
                  <pic:blipFill>
                    <a:blip xmlns:r="http://schemas.openxmlformats.org/officeDocument/2006/relationships" r:embed="R519f513f6bff4d79" cstate="print"/>
                    <a:stretch>
                      <a:fillRect/>
                    </a:stretch>
                  </pic:blipFill>
                  <pic:spPr>
                    <a:xfrm>
                      <a:off x="0" y="0"/>
                      <a:ext cx="5486400" cy="3570000"/>
                    </a:xfrm>
                    <a:prstGeom prst="rect">
                      <a:avLst/>
                    </a:prstGeom>
                  </pic:spPr>
                </pic:pic>
              </a:graphicData>
            </a:graphic>
          </wp:inline>
        </w:drawing>
      </w:r>
    </w:p>
    <w:p>
      <w:pPr>
        <w:jc w:val="center"/>
        <w:spacing w:after="240"/>
      </w:pPr>
      <w:r>
        <w:rPr>
          <w:i/>
          <w:sz w:val="18"/>
          <w:color w:val="595959"/>
        </w:rPr>
        <w:t>Figure 1: Showroom Level Viewport with Material Instances Applied</w:t>
      </w:r>
    </w:p>
    <w:p>
      <w:pPr>
        <w:keepNext/>
        <w:spacing w:before="240" w:after="120"/>
      </w:pPr>
      <w:r>
        <w:rPr>
          <w:rFonts w:ascii="Calibri"/>
          <w:b/>
          <w:color w:val="1F497D"/>
          <w:sz w:val="24"/>
        </w:rPr>
        <w:t>5. Verification &amp; Figures</w:t>
      </w:r>
    </w:p>
    <w:p>
      <w:pPr>
        <w:spacing w:after="120"/>
      </w:pPr>
      <w:r>
        <w:rPr>
          <w:rFonts w:ascii="Calibri"/>
          <w:sz w:val="22"/>
        </w:rPr>
        <w:t>The figures below showcase the master materials configured inside the Unreal Engine Material Editor.</w:t>
      </w:r>
    </w:p>
    <w:p>
      <w:pPr>
        <w:jc w:val="center"/>
        <w:spacing w:before="120" w:after="120"/>
      </w:pPr>
      <w:r>
        <w:drawing>
          <wp:inline xmlns:wp="http://schemas.openxmlformats.org/drawingml/2006/wordprocessingDrawing" distT="0" distB="0" distL="0" distR="0">
            <wp:extent cx="4800000" cy="3720000"/>
            <wp:effectExtent l="0" t="0" r="0" b="0"/>
            <wp:docPr id="1" name="media__17805899740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0589974098.png"/>
                    <pic:cNvPicPr/>
                  </pic:nvPicPr>
                  <pic:blipFill>
                    <a:blip xmlns:r="http://schemas.openxmlformats.org/officeDocument/2006/relationships" r:embed="R8141982999204329" cstate="print"/>
                    <a:stretch>
                      <a:fillRect/>
                    </a:stretch>
                  </pic:blipFill>
                  <pic:spPr>
                    <a:xfrm>
                      <a:off x="0" y="0"/>
                      <a:ext cx="4800000" cy="3720000"/>
                    </a:xfrm>
                    <a:prstGeom prst="rect">
                      <a:avLst/>
                    </a:prstGeom>
                  </pic:spPr>
                </pic:pic>
              </a:graphicData>
            </a:graphic>
          </wp:inline>
        </w:drawing>
      </w:r>
    </w:p>
    <w:p>
      <w:pPr>
        <w:jc w:val="center"/>
        <w:spacing w:after="240"/>
      </w:pPr>
      <w:r>
        <w:rPr>
          <w:i/>
          <w:sz w:val="18"/>
          <w:color w:val="595959"/>
        </w:rPr>
        <w:t>Figure 2: M_Arch_Master Opaque Material Graph</w:t>
      </w:r>
    </w:p>
    <w:p>
      <w:pPr>
        <w:jc w:val="center"/>
        <w:spacing w:before="120" w:after="120"/>
      </w:pPr>
      <w:r>
        <w:drawing>
          <wp:inline xmlns:wp="http://schemas.openxmlformats.org/drawingml/2006/wordprocessingDrawing" distT="0" distB="0" distL="0" distR="0">
            <wp:extent cx="5486400" cy="2410000"/>
            <wp:effectExtent l="0" t="0" r="0" b="0"/>
            <wp:docPr id="1" name="media__1780590025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0590025249.png"/>
                    <pic:cNvPicPr/>
                  </pic:nvPicPr>
                  <pic:blipFill>
                    <a:blip xmlns:r="http://schemas.openxmlformats.org/officeDocument/2006/relationships" r:embed="R126bbd96258e445e" cstate="print"/>
                    <a:stretch>
                      <a:fillRect/>
                    </a:stretch>
                  </pic:blipFill>
                  <pic:spPr>
                    <a:xfrm>
                      <a:off x="0" y="0"/>
                      <a:ext cx="5486400" cy="2410000"/>
                    </a:xfrm>
                    <a:prstGeom prst="rect">
                      <a:avLst/>
                    </a:prstGeom>
                  </pic:spPr>
                </pic:pic>
              </a:graphicData>
            </a:graphic>
          </wp:inline>
        </w:drawing>
      </w:r>
    </w:p>
    <w:p>
      <w:pPr>
        <w:jc w:val="center"/>
        <w:spacing w:after="240"/>
      </w:pPr>
      <w:r>
        <w:rPr>
          <w:i/>
          <w:sz w:val="18"/>
          <w:color w:val="595959"/>
        </w:rPr>
        <w:t>Figure 3: M_Arch_Master_Translucent Translucent Material Graph</w:t>
      </w:r>
    </w:p>
  </w:body>
</w:document>
</file>

<file path=word/_rels/document.xml.rels>&#65279;<?xml version="1.0" encoding="utf-8"?><Relationships xmlns="http://schemas.openxmlformats.org/package/2006/relationships"><Relationship Type="http://schemas.openxmlformats.org/officeDocument/2006/relationships/image" Target="/media/image.png" Id="R519f513f6bff4d79" /><Relationship Type="http://schemas.openxmlformats.org/officeDocument/2006/relationships/image" Target="/media/image2.png" Id="R8141982999204329" /><Relationship Type="http://schemas.openxmlformats.org/officeDocument/2006/relationships/image" Target="/media/image3.png" Id="R126bbd96258e445e" /></Relationships>
</file>