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 Report - Exercise 1.2</w:t>
      </w:r>
    </w:p>
    <w:p>
      <w:pPr>
        <w:pStyle w:val="Heading1"/>
      </w:pPr>
      <w:r>
        <w:t>Objective</w:t>
      </w:r>
    </w:p>
    <w:p>
      <w:r>
        <w:t>Apply a clean naming convention and project organization strategy to establish a scalable Unreal Engine project structure.</w:t>
      </w:r>
    </w:p>
    <w:p>
      <w:pPr>
        <w:pStyle w:val="Heading1"/>
      </w:pPr>
      <w:r>
        <w:t>Implementation Details</w:t>
      </w:r>
    </w:p>
    <w:p>
      <w:r>
        <w:t>The project folder structure was reviewed and organized to match the training requirements. Dedicated folders were maintained for Blueprints, Maps, Materials, Meshes, UI, Data, Input, Sequences, Textures, and Documentation.</w:t>
      </w:r>
    </w:p>
    <w:p>
      <w:r>
        <w:t>Naming conventions adopted:</w:t>
      </w:r>
    </w:p>
    <w:p>
      <w:pPr>
        <w:pStyle w:val="ListBullet"/>
      </w:pPr>
      <w:r>
        <w:t>LVL_ for Levels</w:t>
      </w:r>
    </w:p>
    <w:p>
      <w:pPr>
        <w:pStyle w:val="ListBullet"/>
      </w:pPr>
      <w:r>
        <w:t>BP_ for Blueprints</w:t>
      </w:r>
    </w:p>
    <w:p>
      <w:pPr>
        <w:pStyle w:val="ListBullet"/>
      </w:pPr>
      <w:r>
        <w:t>WBP_ for Widgets</w:t>
      </w:r>
    </w:p>
    <w:p>
      <w:pPr>
        <w:pStyle w:val="ListBullet"/>
      </w:pPr>
      <w:r>
        <w:t>M_ for Master Materials</w:t>
      </w:r>
    </w:p>
    <w:p>
      <w:pPr>
        <w:pStyle w:val="ListBullet"/>
      </w:pPr>
      <w:r>
        <w:t>MI_ for Material Instances</w:t>
      </w:r>
    </w:p>
    <w:p>
      <w:pPr>
        <w:pStyle w:val="ListBullet"/>
      </w:pPr>
      <w:r>
        <w:t>SM_ for Static Meshes</w:t>
      </w:r>
    </w:p>
    <w:p>
      <w:pPr>
        <w:pStyle w:val="ListBullet"/>
      </w:pPr>
      <w:r>
        <w:t>T_ for Textures</w:t>
      </w:r>
    </w:p>
    <w:p>
      <w:pPr>
        <w:pStyle w:val="ListBullet"/>
      </w:pPr>
      <w:r>
        <w:t>DT_ for Data Tables</w:t>
      </w:r>
    </w:p>
    <w:p>
      <w:pPr>
        <w:pStyle w:val="ListBullet"/>
      </w:pPr>
      <w:r>
        <w:t>DA_ for Data Assets</w:t>
      </w:r>
    </w:p>
    <w:p>
      <w:pPr>
        <w:pStyle w:val="ListBullet"/>
      </w:pPr>
      <w:r>
        <w:t>E_ for Enums</w:t>
      </w:r>
    </w:p>
    <w:p>
      <w:pPr>
        <w:pStyle w:val="ListBullet"/>
      </w:pPr>
      <w:r>
        <w:t>S_ for Sequencer Assets</w:t>
      </w:r>
    </w:p>
    <w:p>
      <w:pPr>
        <w:pStyle w:val="ListBullet"/>
      </w:pPr>
      <w:r>
        <w:t>IA_ for Input Actions</w:t>
      </w:r>
    </w:p>
    <w:p>
      <w:pPr>
        <w:pStyle w:val="ListBullet"/>
      </w:pPr>
      <w:r>
        <w:t>IMC_ for Input Mapping Contexts</w:t>
      </w:r>
    </w:p>
    <w:p>
      <w:pPr>
        <w:pStyle w:val="Heading1"/>
      </w:pPr>
      <w:r>
        <w:t>Benefits</w:t>
      </w:r>
    </w:p>
    <w:p>
      <w:r>
        <w:t>Using a consistent naming convention improves project readability, simplifies asset discovery, reduces review time, and makes future migration and maintenance easier.</w:t>
      </w:r>
    </w:p>
    <w:p>
      <w:pPr>
        <w:pStyle w:val="Heading1"/>
      </w:pPr>
      <w:r>
        <w:t>Result</w:t>
      </w:r>
    </w:p>
    <w:p>
      <w:r>
        <w:t>The project now follows a production-style structure suitable for continued development throughout the training program.</w:t>
      </w:r>
    </w:p>
    <w:p>
      <w:r>
        <w:br w:type="page"/>
      </w:r>
    </w:p>
    <w:p>
      <w:pPr>
        <w:pStyle w:val="Title"/>
      </w:pPr>
      <w:r>
        <w:t>Training Report - Exercise 1.3</w:t>
      </w:r>
    </w:p>
    <w:p>
      <w:pPr>
        <w:pStyle w:val="Heading1"/>
      </w:pPr>
      <w:r>
        <w:t>Objective</w:t>
      </w:r>
    </w:p>
    <w:p>
      <w:r>
        <w:t>Create reusable scale conversion utilities and visually validate architectural measurements within the showroom scene.</w:t>
      </w:r>
    </w:p>
    <w:p>
      <w:pPr>
        <w:pStyle w:val="Heading1"/>
      </w:pPr>
      <w:r>
        <w:t>Implementation Details</w:t>
      </w:r>
    </w:p>
    <w:p>
      <w:r>
        <w:t>A Blueprint Function Library named BPL_ScaleUtilities was created to centralize unit conversions. The library contains reusable conversion functions for meters, centimeters, and millimeters.</w:t>
      </w:r>
    </w:p>
    <w:p>
      <w:pPr>
        <w:pStyle w:val="ListBullet"/>
      </w:pPr>
      <w:r>
        <w:t>MetersToCentimeters()</w:t>
      </w:r>
    </w:p>
    <w:p>
      <w:pPr>
        <w:pStyle w:val="ListBullet"/>
      </w:pPr>
      <w:r>
        <w:t>CentimetersToMeters()</w:t>
      </w:r>
    </w:p>
    <w:p>
      <w:pPr>
        <w:pStyle w:val="ListBullet"/>
      </w:pPr>
      <w:r>
        <w:t>MillimetersToCentimeters()</w:t>
      </w:r>
    </w:p>
    <w:p>
      <w:pPr>
        <w:pStyle w:val="ListBullet"/>
      </w:pPr>
      <w:r>
        <w:t>CentimetersToMillimeters()</w:t>
      </w:r>
    </w:p>
    <w:p>
      <w:r>
        <w:t>To validate scale visually, a reusable C++ measurement system was implemented. The system consists of AScaleMeasurementActor and a Blueprint child BP_ScaleMeasurementActor.</w:t>
      </w:r>
    </w:p>
    <w:p>
      <w:pPr>
        <w:pStyle w:val="ListBullet"/>
      </w:pPr>
      <w:r>
        <w:t>Start Point and End Point editor handles define the measured distance.</w:t>
      </w:r>
    </w:p>
    <w:p>
      <w:pPr>
        <w:pStyle w:val="ListBullet"/>
      </w:pPr>
      <w:r>
        <w:t>Distance is calculated automatically in OnConstruction.</w:t>
      </w:r>
    </w:p>
    <w:p>
      <w:pPr>
        <w:pStyle w:val="ListBullet"/>
      </w:pPr>
      <w:r>
        <w:t>A spline component visualizes the measurement line.</w:t>
      </w:r>
    </w:p>
    <w:p>
      <w:pPr>
        <w:pStyle w:val="ListBullet"/>
      </w:pPr>
      <w:r>
        <w:t>A widget component displays the measured value.</w:t>
      </w:r>
    </w:p>
    <w:p>
      <w:pPr>
        <w:pStyle w:val="ListBullet"/>
      </w:pPr>
      <w:r>
        <w:t>Measurements are shown simultaneously in centimeters, meters, and millimeters.</w:t>
      </w:r>
    </w:p>
    <w:p>
      <w:pPr>
        <w:pStyle w:val="ListBullet"/>
      </w:pPr>
      <w:r>
        <w:t>The system updates instantly while editing the level.</w:t>
      </w:r>
    </w:p>
    <w:p>
      <w:pPr>
        <w:pStyle w:val="Heading1"/>
      </w:pPr>
      <w:r>
        <w:t>Project Scale Rule</w:t>
      </w:r>
    </w:p>
    <w:p>
      <w:r>
        <w:t>The project follows the Unreal Engine standard scale where 1 Unreal Unit (UU) equals 1 centimeter (cm). All architectural dimensions are validated using centimeters as the primary unit.</w:t>
      </w:r>
    </w:p>
    <w:p>
      <w:pPr>
        <w:pStyle w:val="Heading1"/>
      </w:pPr>
      <w:r>
        <w:t>Scale Validation</w:t>
      </w:r>
    </w:p>
    <w:p>
      <w:pPr>
        <w:pStyle w:val="ListBullet"/>
      </w:pPr>
      <w:r>
        <w:t>Door Height: 210 cm (2.10 m / 2100 mm)</w:t>
      </w:r>
    </w:p>
    <w:p>
      <w:pPr>
        <w:pStyle w:val="ListBullet"/>
      </w:pPr>
      <w:r>
        <w:t>Door Width: 90 cm (0.90 m / 900 mm)</w:t>
      </w:r>
    </w:p>
    <w:p>
      <w:pPr>
        <w:pStyle w:val="ListBullet"/>
      </w:pPr>
      <w:r>
        <w:t>Table Height: 75 cm (0.75 m / 750 mm)</w:t>
      </w:r>
    </w:p>
    <w:p>
      <w:pPr>
        <w:pStyle w:val="ListBullet"/>
      </w:pPr>
      <w:r>
        <w:t>Room Height Marker: 300 cm (3.00 m / 3000 mm)</w:t>
      </w:r>
    </w:p>
    <w:p>
      <w:pPr>
        <w:pStyle w:val="Heading1"/>
      </w:pPr>
      <w:r>
        <w:t>Evidence</w:t>
      </w:r>
    </w:p>
    <w:p>
      <w:r>
        <w:drawing>
          <wp:inline xmlns:a="http://schemas.openxmlformats.org/drawingml/2006/main" xmlns:pic="http://schemas.openxmlformats.org/drawingml/2006/picture">
            <wp:extent cx="5303520" cy="3019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Observations</w:t>
      </w:r>
    </w:p>
    <w:p>
      <w:r>
        <w:t>The measurement actor proved useful for validating real-world dimensions directly in the editor. The reusable utility functions and measurement visualization tool will also support future architecture visualization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