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CareReserve DBMS Report — New Sections</w:t>
      </w:r>
    </w:p>
    <w:p>
      <w:pPr>
        <w:jc w:val="center"/>
      </w:pPr>
      <w:r>
        <w:rPr>
          <w:rFonts w:ascii="Times New Roman" w:hAnsi="Times New Roman"/>
          <w:b w:val="0"/>
          <w:i/>
          <w:color w:val="000000"/>
          <w:sz w:val="22"/>
        </w:rPr>
        <w:t>Supplement to CareReserveReport (1).docx</w:t>
        <w:br/>
        <w:t>GitHub: https://github.com/Rohann29/CareReserve</w:t>
      </w:r>
    </w:p>
    <w:p>
      <w:pPr>
        <w:jc w:val="left"/>
      </w:pPr>
      <w:r>
        <w:rPr>
          <w:rFonts w:ascii="Times New Roman" w:hAnsi="Times New Roman"/>
          <w:b w:val="0"/>
          <w:i/>
          <w:color w:val="800000"/>
          <w:sz w:val="22"/>
        </w:rPr>
        <w:t>Editor note:  (1) Insert Section 3.6 immediately after the SQL-DDL commands and before the existing Front-End Connectivity section, renumbering that section and all subsequent sections.  (2) Append Section 4.2 inside Chapter 4 after Section 4.1.</w:t>
      </w:r>
    </w:p>
    <w:p>
      <w:r>
        <w:br w:type="page"/>
      </w:r>
    </w:p>
    <w:p>
      <w:pPr>
        <w:jc w:val="left"/>
        <w:spacing w:before="240" w:after="120"/>
      </w:pPr>
      <w:r>
        <w:rPr>
          <w:rFonts w:ascii="Times New Roman" w:hAnsi="Times New Roman"/>
          <w:b/>
          <w:i w:val="0"/>
          <w:color w:val="000000"/>
          <w:sz w:val="28"/>
        </w:rPr>
        <w:t>3.6  Sample Data Population</w:t>
      </w:r>
    </w:p>
    <w:p>
      <w:pPr>
        <w:ind w:firstLine="709"/>
        <w:jc w:val="both"/>
        <w:spacing w:before="0" w:after="80"/>
      </w:pPr>
      <w:r>
        <w:rPr>
          <w:rFonts w:ascii="Times New Roman" w:hAnsi="Times New Roman"/>
          <w:b w:val="0"/>
          <w:i w:val="0"/>
          <w:color w:val="000000"/>
          <w:sz w:val="24"/>
        </w:rPr>
        <w:t>To validate the correctness of the schema and demonstrate a fully operational database, representative sample records were inserted into each core relation. The data presented in Tables 3.6.1 through 3.6.5 reflect a realistic multi-branch hospital environment spanning three CareReserve locations across the Mumbai Metropolitan Region. All primary key, foreign key, check constraints, and enumerated domain values defined in the DDL (Section 3.5) were verified against these insertions without error.</w:t>
      </w:r>
    </w:p>
    <w:p>
      <w:pPr>
        <w:jc w:val="left"/>
        <w:spacing w:before="200" w:after="80"/>
      </w:pPr>
      <w:r>
        <w:rPr>
          <w:rFonts w:ascii="Times New Roman" w:hAnsi="Times New Roman"/>
          <w:b/>
          <w:i w:val="0"/>
          <w:color w:val="000000"/>
          <w:sz w:val="24"/>
        </w:rPr>
        <w:t>3.6.1  Hospital Branch</w:t>
      </w:r>
    </w:p>
    <w:p>
      <w:pPr>
        <w:jc w:val="both"/>
        <w:spacing w:before="0" w:after="80"/>
      </w:pPr>
      <w:r>
        <w:rPr>
          <w:rFonts w:ascii="Times New Roman" w:hAnsi="Times New Roman"/>
          <w:b w:val="0"/>
          <w:i w:val="0"/>
          <w:color w:val="000000"/>
          <w:sz w:val="24"/>
        </w:rPr>
        <w:t>Three hospital branches constitute the top level of the organizational hierarchy. Each branch is uniquely identified by its branch_id and stores its city location together with the maximum concurrent operating-theater capacity it can support.</w:t>
      </w:r>
    </w:p>
    <w:p>
      <w:pPr>
        <w:jc w:val="center"/>
        <w:spacing w:before="120" w:after="60"/>
      </w:pPr>
      <w:r>
        <w:rPr>
          <w:rFonts w:ascii="Times New Roman" w:hAnsi="Times New Roman"/>
          <w:b/>
          <w:i/>
          <w:color w:val="000000"/>
          <w:sz w:val="22"/>
        </w:rPr>
        <w:t>Table 3.6.1 - Hospital Branch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1440"/>
            <w:shd w:val="clear" w:color="auto" w:fill="D9D9D9"/>
            <w:vAlign w:val="center"/>
          </w:tcPr>
          <w:p>
            <w:pPr>
              <w:jc w:val="center"/>
            </w:pPr>
            <w:r>
              <w:rPr>
                <w:rFonts w:ascii="Times New Roman" w:hAnsi="Times New Roman"/>
                <w:b/>
                <w:i w:val="0"/>
                <w:color w:val="000000"/>
                <w:sz w:val="22"/>
              </w:rPr>
              <w:t>Branch ID</w:t>
            </w:r>
          </w:p>
        </w:tc>
        <w:tc>
          <w:tcPr>
            <w:tcW w:type="dxa" w:w="3600"/>
            <w:shd w:val="clear" w:color="auto" w:fill="D9D9D9"/>
            <w:vAlign w:val="center"/>
          </w:tcPr>
          <w:p>
            <w:pPr>
              <w:jc w:val="center"/>
            </w:pPr>
            <w:r>
              <w:rPr>
                <w:rFonts w:ascii="Times New Roman" w:hAnsi="Times New Roman"/>
                <w:b/>
                <w:i w:val="0"/>
                <w:color w:val="000000"/>
                <w:sz w:val="22"/>
              </w:rPr>
              <w:t>Branch Name</w:t>
            </w:r>
          </w:p>
        </w:tc>
        <w:tc>
          <w:tcPr>
            <w:tcW w:type="dxa" w:w="2592"/>
            <w:shd w:val="clear" w:color="auto" w:fill="D9D9D9"/>
            <w:vAlign w:val="center"/>
          </w:tcPr>
          <w:p>
            <w:pPr>
              <w:jc w:val="center"/>
            </w:pPr>
            <w:r>
              <w:rPr>
                <w:rFonts w:ascii="Times New Roman" w:hAnsi="Times New Roman"/>
                <w:b/>
                <w:i w:val="0"/>
                <w:color w:val="000000"/>
                <w:sz w:val="22"/>
              </w:rPr>
              <w:t>City</w:t>
            </w:r>
          </w:p>
        </w:tc>
        <w:tc>
          <w:tcPr>
            <w:tcW w:type="dxa" w:w="1584"/>
            <w:shd w:val="clear" w:color="auto" w:fill="D9D9D9"/>
            <w:vAlign w:val="center"/>
          </w:tcPr>
          <w:p>
            <w:pPr>
              <w:jc w:val="center"/>
            </w:pPr>
            <w:r>
              <w:rPr>
                <w:rFonts w:ascii="Times New Roman" w:hAnsi="Times New Roman"/>
                <w:b/>
                <w:i w:val="0"/>
                <w:color w:val="000000"/>
                <w:sz w:val="22"/>
              </w:rPr>
              <w:t>Max Capacity</w:t>
            </w:r>
          </w:p>
        </w:tc>
      </w:tr>
      <w:tr>
        <w:tc>
          <w:tcPr>
            <w:tcW w:type="dxa" w:w="1440"/>
            <w:shd w:val="clear" w:color="auto" w:fill="FFFFFF"/>
            <w:vAlign w:val="center"/>
          </w:tcPr>
          <w:p>
            <w:pPr>
              <w:jc w:val="center"/>
            </w:pPr>
            <w:r>
              <w:rPr>
                <w:rFonts w:ascii="Times New Roman" w:hAnsi="Times New Roman"/>
                <w:b w:val="0"/>
                <w:i w:val="0"/>
                <w:color w:val="000000"/>
                <w:sz w:val="22"/>
              </w:rPr>
              <w:t>1</w:t>
            </w:r>
          </w:p>
        </w:tc>
        <w:tc>
          <w:tcPr>
            <w:tcW w:type="dxa" w:w="3600"/>
            <w:shd w:val="clear" w:color="auto" w:fill="FFFFFF"/>
            <w:vAlign w:val="center"/>
          </w:tcPr>
          <w:p>
            <w:pPr>
              <w:jc w:val="center"/>
            </w:pPr>
            <w:r>
              <w:rPr>
                <w:rFonts w:ascii="Times New Roman" w:hAnsi="Times New Roman"/>
                <w:b w:val="0"/>
                <w:i w:val="0"/>
                <w:color w:val="000000"/>
                <w:sz w:val="22"/>
              </w:rPr>
              <w:t>CareReserve Apex Metro</w:t>
            </w:r>
          </w:p>
        </w:tc>
        <w:tc>
          <w:tcPr>
            <w:tcW w:type="dxa" w:w="2592"/>
            <w:shd w:val="clear" w:color="auto" w:fill="FFFFFF"/>
            <w:vAlign w:val="center"/>
          </w:tcPr>
          <w:p>
            <w:pPr>
              <w:jc w:val="center"/>
            </w:pPr>
            <w:r>
              <w:rPr>
                <w:rFonts w:ascii="Times New Roman" w:hAnsi="Times New Roman"/>
                <w:b w:val="0"/>
                <w:i w:val="0"/>
                <w:color w:val="000000"/>
                <w:sz w:val="22"/>
              </w:rPr>
              <w:t>Mumbai Central</w:t>
            </w:r>
          </w:p>
        </w:tc>
        <w:tc>
          <w:tcPr>
            <w:tcW w:type="dxa" w:w="1584"/>
            <w:shd w:val="clear" w:color="auto" w:fill="FFFFFF"/>
            <w:vAlign w:val="center"/>
          </w:tcPr>
          <w:p>
            <w:pPr>
              <w:jc w:val="center"/>
            </w:pPr>
            <w:r>
              <w:rPr>
                <w:rFonts w:ascii="Times New Roman" w:hAnsi="Times New Roman"/>
                <w:b w:val="0"/>
                <w:i w:val="0"/>
                <w:color w:val="000000"/>
                <w:sz w:val="22"/>
              </w:rPr>
              <w:t>12</w:t>
            </w:r>
          </w:p>
        </w:tc>
      </w:tr>
      <w:tr>
        <w:tc>
          <w:tcPr>
            <w:tcW w:type="dxa" w:w="1440"/>
            <w:shd w:val="clear" w:color="auto" w:fill="F2F2F2"/>
            <w:vAlign w:val="center"/>
          </w:tcPr>
          <w:p>
            <w:pPr>
              <w:jc w:val="center"/>
            </w:pPr>
            <w:r>
              <w:rPr>
                <w:rFonts w:ascii="Times New Roman" w:hAnsi="Times New Roman"/>
                <w:b w:val="0"/>
                <w:i w:val="0"/>
                <w:color w:val="000000"/>
                <w:sz w:val="22"/>
              </w:rPr>
              <w:t>2</w:t>
            </w:r>
          </w:p>
        </w:tc>
        <w:tc>
          <w:tcPr>
            <w:tcW w:type="dxa" w:w="3600"/>
            <w:shd w:val="clear" w:color="auto" w:fill="F2F2F2"/>
            <w:vAlign w:val="center"/>
          </w:tcPr>
          <w:p>
            <w:pPr>
              <w:jc w:val="center"/>
            </w:pPr>
            <w:r>
              <w:rPr>
                <w:rFonts w:ascii="Times New Roman" w:hAnsi="Times New Roman"/>
                <w:b w:val="0"/>
                <w:i w:val="0"/>
                <w:color w:val="000000"/>
                <w:sz w:val="22"/>
              </w:rPr>
              <w:t>CareReserve North Suburban</w:t>
            </w:r>
          </w:p>
        </w:tc>
        <w:tc>
          <w:tcPr>
            <w:tcW w:type="dxa" w:w="2592"/>
            <w:shd w:val="clear" w:color="auto" w:fill="F2F2F2"/>
            <w:vAlign w:val="center"/>
          </w:tcPr>
          <w:p>
            <w:pPr>
              <w:jc w:val="center"/>
            </w:pPr>
            <w:r>
              <w:rPr>
                <w:rFonts w:ascii="Times New Roman" w:hAnsi="Times New Roman"/>
                <w:b w:val="0"/>
                <w:i w:val="0"/>
                <w:color w:val="000000"/>
                <w:sz w:val="22"/>
              </w:rPr>
              <w:t>Thane</w:t>
            </w:r>
          </w:p>
        </w:tc>
        <w:tc>
          <w:tcPr>
            <w:tcW w:type="dxa" w:w="1584"/>
            <w:shd w:val="clear" w:color="auto" w:fill="F2F2F2"/>
            <w:vAlign w:val="center"/>
          </w:tcPr>
          <w:p>
            <w:pPr>
              <w:jc w:val="center"/>
            </w:pPr>
            <w:r>
              <w:rPr>
                <w:rFonts w:ascii="Times New Roman" w:hAnsi="Times New Roman"/>
                <w:b w:val="0"/>
                <w:i w:val="0"/>
                <w:color w:val="000000"/>
                <w:sz w:val="22"/>
              </w:rPr>
              <w:t>8</w:t>
            </w:r>
          </w:p>
        </w:tc>
      </w:tr>
      <w:tr>
        <w:tc>
          <w:tcPr>
            <w:tcW w:type="dxa" w:w="1440"/>
            <w:shd w:val="clear" w:color="auto" w:fill="FFFFFF"/>
            <w:vAlign w:val="center"/>
          </w:tcPr>
          <w:p>
            <w:pPr>
              <w:jc w:val="center"/>
            </w:pPr>
            <w:r>
              <w:rPr>
                <w:rFonts w:ascii="Times New Roman" w:hAnsi="Times New Roman"/>
                <w:b w:val="0"/>
                <w:i w:val="0"/>
                <w:color w:val="000000"/>
                <w:sz w:val="22"/>
              </w:rPr>
              <w:t>3</w:t>
            </w:r>
          </w:p>
        </w:tc>
        <w:tc>
          <w:tcPr>
            <w:tcW w:type="dxa" w:w="3600"/>
            <w:shd w:val="clear" w:color="auto" w:fill="FFFFFF"/>
            <w:vAlign w:val="center"/>
          </w:tcPr>
          <w:p>
            <w:pPr>
              <w:jc w:val="center"/>
            </w:pPr>
            <w:r>
              <w:rPr>
                <w:rFonts w:ascii="Times New Roman" w:hAnsi="Times New Roman"/>
                <w:b w:val="0"/>
                <w:i w:val="0"/>
                <w:color w:val="000000"/>
                <w:sz w:val="22"/>
              </w:rPr>
              <w:t>CareReserve Coastal Care</w:t>
            </w:r>
          </w:p>
        </w:tc>
        <w:tc>
          <w:tcPr>
            <w:tcW w:type="dxa" w:w="2592"/>
            <w:shd w:val="clear" w:color="auto" w:fill="FFFFFF"/>
            <w:vAlign w:val="center"/>
          </w:tcPr>
          <w:p>
            <w:pPr>
              <w:jc w:val="center"/>
            </w:pPr>
            <w:r>
              <w:rPr>
                <w:rFonts w:ascii="Times New Roman" w:hAnsi="Times New Roman"/>
                <w:b w:val="0"/>
                <w:i w:val="0"/>
                <w:color w:val="000000"/>
                <w:sz w:val="22"/>
              </w:rPr>
              <w:t>Navi Mumbai</w:t>
            </w:r>
          </w:p>
        </w:tc>
        <w:tc>
          <w:tcPr>
            <w:tcW w:type="dxa" w:w="1584"/>
            <w:shd w:val="clear" w:color="auto" w:fill="FFFFFF"/>
            <w:vAlign w:val="center"/>
          </w:tcPr>
          <w:p>
            <w:pPr>
              <w:jc w:val="center"/>
            </w:pPr>
            <w:r>
              <w:rPr>
                <w:rFonts w:ascii="Times New Roman" w:hAnsi="Times New Roman"/>
                <w:b w:val="0"/>
                <w:i w:val="0"/>
                <w:color w:val="000000"/>
                <w:sz w:val="22"/>
              </w:rPr>
              <w:t>6</w:t>
            </w:r>
          </w:p>
        </w:tc>
      </w:tr>
    </w:tbl>
    <w:p>
      <w:pPr>
        <w:spacing w:before="6" w:after="6"/>
      </w:pPr>
    </w:p>
    <w:p>
      <w:pPr>
        <w:jc w:val="both"/>
        <w:spacing w:before="0" w:after="80"/>
      </w:pPr>
      <w:r>
        <w:rPr>
          <w:rFonts w:ascii="Times New Roman" w:hAnsi="Times New Roman"/>
          <w:b w:val="0"/>
          <w:i w:val="0"/>
          <w:color w:val="000000"/>
          <w:sz w:val="24"/>
        </w:rPr>
        <w:t>The aggregate capacity across all branches is 26 concurrent operating theaters, providing sufficient headroom for scheduling both elective and emergency procedures across the network.</w:t>
      </w:r>
    </w:p>
    <w:p>
      <w:pPr>
        <w:jc w:val="left"/>
        <w:spacing w:before="200" w:after="80"/>
      </w:pPr>
      <w:r>
        <w:rPr>
          <w:rFonts w:ascii="Times New Roman" w:hAnsi="Times New Roman"/>
          <w:b/>
          <w:i w:val="0"/>
          <w:color w:val="000000"/>
          <w:sz w:val="24"/>
        </w:rPr>
        <w:t>3.6.2  Operating Theater</w:t>
      </w:r>
    </w:p>
    <w:p>
      <w:pPr>
        <w:jc w:val="both"/>
        <w:spacing w:before="0" w:after="80"/>
      </w:pPr>
      <w:r>
        <w:rPr>
          <w:rFonts w:ascii="Times New Roman" w:hAnsi="Times New Roman"/>
          <w:b w:val="0"/>
          <w:i w:val="0"/>
          <w:color w:val="000000"/>
          <w:sz w:val="24"/>
        </w:rPr>
        <w:t>Six operating theaters are distributed across the three branches. Each theater is identified by a unique OT code and is specialized for a particular surgical discipline, enabling the scheduling engine to match bookings to the appropriate facility. The branch_id foreign key enforces referential integrity with the hospital_branch relation.</w:t>
      </w:r>
    </w:p>
    <w:p>
      <w:pPr>
        <w:jc w:val="center"/>
        <w:spacing w:before="120" w:after="60"/>
      </w:pPr>
      <w:r>
        <w:rPr>
          <w:rFonts w:ascii="Times New Roman" w:hAnsi="Times New Roman"/>
          <w:b/>
          <w:i/>
          <w:color w:val="000000"/>
          <w:sz w:val="22"/>
        </w:rPr>
        <w:t>Table 3.6.2 - Operating Theater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75"/>
        <w:gridCol w:w="2275"/>
        <w:gridCol w:w="2275"/>
        <w:gridCol w:w="2275"/>
      </w:tblGrid>
      <w:tr>
        <w:tc>
          <w:tcPr>
            <w:tcW w:type="dxa" w:w="1008"/>
            <w:shd w:val="clear" w:color="auto" w:fill="D9D9D9"/>
            <w:vAlign w:val="center"/>
          </w:tcPr>
          <w:p>
            <w:pPr>
              <w:jc w:val="center"/>
            </w:pPr>
            <w:r>
              <w:rPr>
                <w:rFonts w:ascii="Times New Roman" w:hAnsi="Times New Roman"/>
                <w:b/>
                <w:i w:val="0"/>
                <w:color w:val="000000"/>
                <w:sz w:val="22"/>
              </w:rPr>
              <w:t>OT ID</w:t>
            </w:r>
          </w:p>
        </w:tc>
        <w:tc>
          <w:tcPr>
            <w:tcW w:type="dxa" w:w="2304"/>
            <w:shd w:val="clear" w:color="auto" w:fill="D9D9D9"/>
            <w:vAlign w:val="center"/>
          </w:tcPr>
          <w:p>
            <w:pPr>
              <w:jc w:val="center"/>
            </w:pPr>
            <w:r>
              <w:rPr>
                <w:rFonts w:ascii="Times New Roman" w:hAnsi="Times New Roman"/>
                <w:b/>
                <w:i w:val="0"/>
                <w:color w:val="000000"/>
                <w:sz w:val="22"/>
              </w:rPr>
              <w:t>OT Code</w:t>
            </w:r>
          </w:p>
        </w:tc>
        <w:tc>
          <w:tcPr>
            <w:tcW w:type="dxa" w:w="1440"/>
            <w:shd w:val="clear" w:color="auto" w:fill="D9D9D9"/>
            <w:vAlign w:val="center"/>
          </w:tcPr>
          <w:p>
            <w:pPr>
              <w:jc w:val="center"/>
            </w:pPr>
            <w:r>
              <w:rPr>
                <w:rFonts w:ascii="Times New Roman" w:hAnsi="Times New Roman"/>
                <w:b/>
                <w:i w:val="0"/>
                <w:color w:val="000000"/>
                <w:sz w:val="22"/>
              </w:rPr>
              <w:t>Branch ID</w:t>
            </w:r>
          </w:p>
        </w:tc>
        <w:tc>
          <w:tcPr>
            <w:tcW w:type="dxa" w:w="4464"/>
            <w:shd w:val="clear" w:color="auto" w:fill="D9D9D9"/>
            <w:vAlign w:val="center"/>
          </w:tcPr>
          <w:p>
            <w:pPr>
              <w:jc w:val="center"/>
            </w:pPr>
            <w:r>
              <w:rPr>
                <w:rFonts w:ascii="Times New Roman" w:hAnsi="Times New Roman"/>
                <w:b/>
                <w:i w:val="0"/>
                <w:color w:val="000000"/>
                <w:sz w:val="22"/>
              </w:rPr>
              <w:t>Surgical Specialization</w:t>
            </w:r>
          </w:p>
        </w:tc>
      </w:tr>
      <w:tr>
        <w:tc>
          <w:tcPr>
            <w:tcW w:type="dxa" w:w="1008"/>
            <w:shd w:val="clear" w:color="auto" w:fill="FFFFFF"/>
            <w:vAlign w:val="center"/>
          </w:tcPr>
          <w:p>
            <w:pPr>
              <w:jc w:val="center"/>
            </w:pPr>
            <w:r>
              <w:rPr>
                <w:rFonts w:ascii="Times New Roman" w:hAnsi="Times New Roman"/>
                <w:b w:val="0"/>
                <w:i w:val="0"/>
                <w:color w:val="000000"/>
                <w:sz w:val="22"/>
              </w:rPr>
              <w:t>1</w:t>
            </w:r>
          </w:p>
        </w:tc>
        <w:tc>
          <w:tcPr>
            <w:tcW w:type="dxa" w:w="2304"/>
            <w:shd w:val="clear" w:color="auto" w:fill="FFFFFF"/>
            <w:vAlign w:val="center"/>
          </w:tcPr>
          <w:p>
            <w:pPr>
              <w:jc w:val="center"/>
            </w:pPr>
            <w:r>
              <w:rPr>
                <w:rFonts w:ascii="Times New Roman" w:hAnsi="Times New Roman"/>
                <w:b w:val="0"/>
                <w:i w:val="0"/>
                <w:color w:val="000000"/>
                <w:sz w:val="22"/>
              </w:rPr>
              <w:t>OT-101 (Apex)</w:t>
            </w:r>
          </w:p>
        </w:tc>
        <w:tc>
          <w:tcPr>
            <w:tcW w:type="dxa" w:w="1440"/>
            <w:shd w:val="clear" w:color="auto" w:fill="FFFFFF"/>
            <w:vAlign w:val="center"/>
          </w:tcPr>
          <w:p>
            <w:pPr>
              <w:jc w:val="center"/>
            </w:pPr>
            <w:r>
              <w:rPr>
                <w:rFonts w:ascii="Times New Roman" w:hAnsi="Times New Roman"/>
                <w:b w:val="0"/>
                <w:i w:val="0"/>
                <w:color w:val="000000"/>
                <w:sz w:val="22"/>
              </w:rPr>
              <w:t>1</w:t>
            </w:r>
          </w:p>
        </w:tc>
        <w:tc>
          <w:tcPr>
            <w:tcW w:type="dxa" w:w="4464"/>
            <w:shd w:val="clear" w:color="auto" w:fill="FFFFFF"/>
            <w:vAlign w:val="center"/>
          </w:tcPr>
          <w:p>
            <w:pPr>
              <w:jc w:val="center"/>
            </w:pPr>
            <w:r>
              <w:rPr>
                <w:rFonts w:ascii="Times New Roman" w:hAnsi="Times New Roman"/>
                <w:b w:val="0"/>
                <w:i w:val="0"/>
                <w:color w:val="000000"/>
                <w:sz w:val="22"/>
              </w:rPr>
              <w:t>Cardiothoracic &amp; Vascular Surgery</w:t>
            </w:r>
          </w:p>
        </w:tc>
      </w:tr>
      <w:tr>
        <w:tc>
          <w:tcPr>
            <w:tcW w:type="dxa" w:w="1008"/>
            <w:shd w:val="clear" w:color="auto" w:fill="F2F2F2"/>
            <w:vAlign w:val="center"/>
          </w:tcPr>
          <w:p>
            <w:pPr>
              <w:jc w:val="center"/>
            </w:pPr>
            <w:r>
              <w:rPr>
                <w:rFonts w:ascii="Times New Roman" w:hAnsi="Times New Roman"/>
                <w:b w:val="0"/>
                <w:i w:val="0"/>
                <w:color w:val="000000"/>
                <w:sz w:val="22"/>
              </w:rPr>
              <w:t>2</w:t>
            </w:r>
          </w:p>
        </w:tc>
        <w:tc>
          <w:tcPr>
            <w:tcW w:type="dxa" w:w="2304"/>
            <w:shd w:val="clear" w:color="auto" w:fill="F2F2F2"/>
            <w:vAlign w:val="center"/>
          </w:tcPr>
          <w:p>
            <w:pPr>
              <w:jc w:val="center"/>
            </w:pPr>
            <w:r>
              <w:rPr>
                <w:rFonts w:ascii="Times New Roman" w:hAnsi="Times New Roman"/>
                <w:b w:val="0"/>
                <w:i w:val="0"/>
                <w:color w:val="000000"/>
                <w:sz w:val="22"/>
              </w:rPr>
              <w:t>OT-102 (Apex)</w:t>
            </w:r>
          </w:p>
        </w:tc>
        <w:tc>
          <w:tcPr>
            <w:tcW w:type="dxa" w:w="1440"/>
            <w:shd w:val="clear" w:color="auto" w:fill="F2F2F2"/>
            <w:vAlign w:val="center"/>
          </w:tcPr>
          <w:p>
            <w:pPr>
              <w:jc w:val="center"/>
            </w:pPr>
            <w:r>
              <w:rPr>
                <w:rFonts w:ascii="Times New Roman" w:hAnsi="Times New Roman"/>
                <w:b w:val="0"/>
                <w:i w:val="0"/>
                <w:color w:val="000000"/>
                <w:sz w:val="22"/>
              </w:rPr>
              <w:t>1</w:t>
            </w:r>
          </w:p>
        </w:tc>
        <w:tc>
          <w:tcPr>
            <w:tcW w:type="dxa" w:w="4464"/>
            <w:shd w:val="clear" w:color="auto" w:fill="F2F2F2"/>
            <w:vAlign w:val="center"/>
          </w:tcPr>
          <w:p>
            <w:pPr>
              <w:jc w:val="center"/>
            </w:pPr>
            <w:r>
              <w:rPr>
                <w:rFonts w:ascii="Times New Roman" w:hAnsi="Times New Roman"/>
                <w:b w:val="0"/>
                <w:i w:val="0"/>
                <w:color w:val="000000"/>
                <w:sz w:val="22"/>
              </w:rPr>
              <w:t>Trauma &amp; Emergency Resuscitation</w:t>
            </w:r>
          </w:p>
        </w:tc>
      </w:tr>
      <w:tr>
        <w:tc>
          <w:tcPr>
            <w:tcW w:type="dxa" w:w="1008"/>
            <w:shd w:val="clear" w:color="auto" w:fill="FFFFFF"/>
            <w:vAlign w:val="center"/>
          </w:tcPr>
          <w:p>
            <w:pPr>
              <w:jc w:val="center"/>
            </w:pPr>
            <w:r>
              <w:rPr>
                <w:rFonts w:ascii="Times New Roman" w:hAnsi="Times New Roman"/>
                <w:b w:val="0"/>
                <w:i w:val="0"/>
                <w:color w:val="000000"/>
                <w:sz w:val="22"/>
              </w:rPr>
              <w:t>3</w:t>
            </w:r>
          </w:p>
        </w:tc>
        <w:tc>
          <w:tcPr>
            <w:tcW w:type="dxa" w:w="2304"/>
            <w:shd w:val="clear" w:color="auto" w:fill="FFFFFF"/>
            <w:vAlign w:val="center"/>
          </w:tcPr>
          <w:p>
            <w:pPr>
              <w:jc w:val="center"/>
            </w:pPr>
            <w:r>
              <w:rPr>
                <w:rFonts w:ascii="Times New Roman" w:hAnsi="Times New Roman"/>
                <w:b w:val="0"/>
                <w:i w:val="0"/>
                <w:color w:val="000000"/>
                <w:sz w:val="22"/>
              </w:rPr>
              <w:t>OT-103 (Apex)</w:t>
            </w:r>
          </w:p>
        </w:tc>
        <w:tc>
          <w:tcPr>
            <w:tcW w:type="dxa" w:w="1440"/>
            <w:shd w:val="clear" w:color="auto" w:fill="FFFFFF"/>
            <w:vAlign w:val="center"/>
          </w:tcPr>
          <w:p>
            <w:pPr>
              <w:jc w:val="center"/>
            </w:pPr>
            <w:r>
              <w:rPr>
                <w:rFonts w:ascii="Times New Roman" w:hAnsi="Times New Roman"/>
                <w:b w:val="0"/>
                <w:i w:val="0"/>
                <w:color w:val="000000"/>
                <w:sz w:val="22"/>
              </w:rPr>
              <w:t>1</w:t>
            </w:r>
          </w:p>
        </w:tc>
        <w:tc>
          <w:tcPr>
            <w:tcW w:type="dxa" w:w="4464"/>
            <w:shd w:val="clear" w:color="auto" w:fill="FFFFFF"/>
            <w:vAlign w:val="center"/>
          </w:tcPr>
          <w:p>
            <w:pPr>
              <w:jc w:val="center"/>
            </w:pPr>
            <w:r>
              <w:rPr>
                <w:rFonts w:ascii="Times New Roman" w:hAnsi="Times New Roman"/>
                <w:b w:val="0"/>
                <w:i w:val="0"/>
                <w:color w:val="000000"/>
                <w:sz w:val="22"/>
              </w:rPr>
              <w:t>Orthopedic &amp; Joint Reconstruction</w:t>
            </w:r>
          </w:p>
        </w:tc>
      </w:tr>
      <w:tr>
        <w:tc>
          <w:tcPr>
            <w:tcW w:type="dxa" w:w="1008"/>
            <w:shd w:val="clear" w:color="auto" w:fill="F2F2F2"/>
            <w:vAlign w:val="center"/>
          </w:tcPr>
          <w:p>
            <w:pPr>
              <w:jc w:val="center"/>
            </w:pPr>
            <w:r>
              <w:rPr>
                <w:rFonts w:ascii="Times New Roman" w:hAnsi="Times New Roman"/>
                <w:b w:val="0"/>
                <w:i w:val="0"/>
                <w:color w:val="000000"/>
                <w:sz w:val="22"/>
              </w:rPr>
              <w:t>4</w:t>
            </w:r>
          </w:p>
        </w:tc>
        <w:tc>
          <w:tcPr>
            <w:tcW w:type="dxa" w:w="2304"/>
            <w:shd w:val="clear" w:color="auto" w:fill="F2F2F2"/>
            <w:vAlign w:val="center"/>
          </w:tcPr>
          <w:p>
            <w:pPr>
              <w:jc w:val="center"/>
            </w:pPr>
            <w:r>
              <w:rPr>
                <w:rFonts w:ascii="Times New Roman" w:hAnsi="Times New Roman"/>
                <w:b w:val="0"/>
                <w:i w:val="0"/>
                <w:color w:val="000000"/>
                <w:sz w:val="22"/>
              </w:rPr>
              <w:t>OT-201 (North)</w:t>
            </w:r>
          </w:p>
        </w:tc>
        <w:tc>
          <w:tcPr>
            <w:tcW w:type="dxa" w:w="1440"/>
            <w:shd w:val="clear" w:color="auto" w:fill="F2F2F2"/>
            <w:vAlign w:val="center"/>
          </w:tcPr>
          <w:p>
            <w:pPr>
              <w:jc w:val="center"/>
            </w:pPr>
            <w:r>
              <w:rPr>
                <w:rFonts w:ascii="Times New Roman" w:hAnsi="Times New Roman"/>
                <w:b w:val="0"/>
                <w:i w:val="0"/>
                <w:color w:val="000000"/>
                <w:sz w:val="22"/>
              </w:rPr>
              <w:t>2</w:t>
            </w:r>
          </w:p>
        </w:tc>
        <w:tc>
          <w:tcPr>
            <w:tcW w:type="dxa" w:w="4464"/>
            <w:shd w:val="clear" w:color="auto" w:fill="F2F2F2"/>
            <w:vAlign w:val="center"/>
          </w:tcPr>
          <w:p>
            <w:pPr>
              <w:jc w:val="center"/>
            </w:pPr>
            <w:r>
              <w:rPr>
                <w:rFonts w:ascii="Times New Roman" w:hAnsi="Times New Roman"/>
                <w:b w:val="0"/>
                <w:i w:val="0"/>
                <w:color w:val="000000"/>
                <w:sz w:val="22"/>
              </w:rPr>
              <w:t>Neurosurgery &amp; Spine</w:t>
            </w:r>
          </w:p>
        </w:tc>
      </w:tr>
      <w:tr>
        <w:tc>
          <w:tcPr>
            <w:tcW w:type="dxa" w:w="1008"/>
            <w:shd w:val="clear" w:color="auto" w:fill="FFFFFF"/>
            <w:vAlign w:val="center"/>
          </w:tcPr>
          <w:p>
            <w:pPr>
              <w:jc w:val="center"/>
            </w:pPr>
            <w:r>
              <w:rPr>
                <w:rFonts w:ascii="Times New Roman" w:hAnsi="Times New Roman"/>
                <w:b w:val="0"/>
                <w:i w:val="0"/>
                <w:color w:val="000000"/>
                <w:sz w:val="22"/>
              </w:rPr>
              <w:t>5</w:t>
            </w:r>
          </w:p>
        </w:tc>
        <w:tc>
          <w:tcPr>
            <w:tcW w:type="dxa" w:w="2304"/>
            <w:shd w:val="clear" w:color="auto" w:fill="FFFFFF"/>
            <w:vAlign w:val="center"/>
          </w:tcPr>
          <w:p>
            <w:pPr>
              <w:jc w:val="center"/>
            </w:pPr>
            <w:r>
              <w:rPr>
                <w:rFonts w:ascii="Times New Roman" w:hAnsi="Times New Roman"/>
                <w:b w:val="0"/>
                <w:i w:val="0"/>
                <w:color w:val="000000"/>
                <w:sz w:val="22"/>
              </w:rPr>
              <w:t>OT-202 (North)</w:t>
            </w:r>
          </w:p>
        </w:tc>
        <w:tc>
          <w:tcPr>
            <w:tcW w:type="dxa" w:w="1440"/>
            <w:shd w:val="clear" w:color="auto" w:fill="FFFFFF"/>
            <w:vAlign w:val="center"/>
          </w:tcPr>
          <w:p>
            <w:pPr>
              <w:jc w:val="center"/>
            </w:pPr>
            <w:r>
              <w:rPr>
                <w:rFonts w:ascii="Times New Roman" w:hAnsi="Times New Roman"/>
                <w:b w:val="0"/>
                <w:i w:val="0"/>
                <w:color w:val="000000"/>
                <w:sz w:val="22"/>
              </w:rPr>
              <w:t>2</w:t>
            </w:r>
          </w:p>
        </w:tc>
        <w:tc>
          <w:tcPr>
            <w:tcW w:type="dxa" w:w="4464"/>
            <w:shd w:val="clear" w:color="auto" w:fill="FFFFFF"/>
            <w:vAlign w:val="center"/>
          </w:tcPr>
          <w:p>
            <w:pPr>
              <w:jc w:val="center"/>
            </w:pPr>
            <w:r>
              <w:rPr>
                <w:rFonts w:ascii="Times New Roman" w:hAnsi="Times New Roman"/>
                <w:b w:val="0"/>
                <w:i w:val="0"/>
                <w:color w:val="000000"/>
                <w:sz w:val="22"/>
              </w:rPr>
              <w:t>General &amp; Laparoscopic Surgery</w:t>
            </w:r>
          </w:p>
        </w:tc>
      </w:tr>
      <w:tr>
        <w:tc>
          <w:tcPr>
            <w:tcW w:type="dxa" w:w="1008"/>
            <w:shd w:val="clear" w:color="auto" w:fill="F2F2F2"/>
            <w:vAlign w:val="center"/>
          </w:tcPr>
          <w:p>
            <w:pPr>
              <w:jc w:val="center"/>
            </w:pPr>
            <w:r>
              <w:rPr>
                <w:rFonts w:ascii="Times New Roman" w:hAnsi="Times New Roman"/>
                <w:b w:val="0"/>
                <w:i w:val="0"/>
                <w:color w:val="000000"/>
                <w:sz w:val="22"/>
              </w:rPr>
              <w:t>6</w:t>
            </w:r>
          </w:p>
        </w:tc>
        <w:tc>
          <w:tcPr>
            <w:tcW w:type="dxa" w:w="2304"/>
            <w:shd w:val="clear" w:color="auto" w:fill="F2F2F2"/>
            <w:vAlign w:val="center"/>
          </w:tcPr>
          <w:p>
            <w:pPr>
              <w:jc w:val="center"/>
            </w:pPr>
            <w:r>
              <w:rPr>
                <w:rFonts w:ascii="Times New Roman" w:hAnsi="Times New Roman"/>
                <w:b w:val="0"/>
                <w:i w:val="0"/>
                <w:color w:val="000000"/>
                <w:sz w:val="22"/>
              </w:rPr>
              <w:t>OT-301 (Coastal)</w:t>
            </w:r>
          </w:p>
        </w:tc>
        <w:tc>
          <w:tcPr>
            <w:tcW w:type="dxa" w:w="1440"/>
            <w:shd w:val="clear" w:color="auto" w:fill="F2F2F2"/>
            <w:vAlign w:val="center"/>
          </w:tcPr>
          <w:p>
            <w:pPr>
              <w:jc w:val="center"/>
            </w:pPr>
            <w:r>
              <w:rPr>
                <w:rFonts w:ascii="Times New Roman" w:hAnsi="Times New Roman"/>
                <w:b w:val="0"/>
                <w:i w:val="0"/>
                <w:color w:val="000000"/>
                <w:sz w:val="22"/>
              </w:rPr>
              <w:t>3</w:t>
            </w:r>
          </w:p>
        </w:tc>
        <w:tc>
          <w:tcPr>
            <w:tcW w:type="dxa" w:w="4464"/>
            <w:shd w:val="clear" w:color="auto" w:fill="F2F2F2"/>
            <w:vAlign w:val="center"/>
          </w:tcPr>
          <w:p>
            <w:pPr>
              <w:jc w:val="center"/>
            </w:pPr>
            <w:r>
              <w:rPr>
                <w:rFonts w:ascii="Times New Roman" w:hAnsi="Times New Roman"/>
                <w:b w:val="0"/>
                <w:i w:val="0"/>
                <w:color w:val="000000"/>
                <w:sz w:val="22"/>
              </w:rPr>
              <w:t>Organ Transplant &amp; Microvascular</w:t>
            </w:r>
          </w:p>
        </w:tc>
      </w:tr>
    </w:tbl>
    <w:p>
      <w:pPr>
        <w:spacing w:before="6" w:after="6"/>
      </w:pPr>
    </w:p>
    <w:p>
      <w:pPr>
        <w:jc w:val="left"/>
        <w:spacing w:before="200" w:after="80"/>
      </w:pPr>
      <w:r>
        <w:rPr>
          <w:rFonts w:ascii="Times New Roman" w:hAnsi="Times New Roman"/>
          <w:b/>
          <w:i w:val="0"/>
          <w:color w:val="000000"/>
          <w:sz w:val="24"/>
        </w:rPr>
        <w:t>3.6.3  Patient</w:t>
      </w:r>
    </w:p>
    <w:p>
      <w:pPr>
        <w:jc w:val="both"/>
        <w:spacing w:before="0" w:after="80"/>
      </w:pPr>
      <w:r>
        <w:rPr>
          <w:rFonts w:ascii="Times New Roman" w:hAnsi="Times New Roman"/>
          <w:b w:val="0"/>
          <w:i w:val="0"/>
          <w:color w:val="000000"/>
          <w:sz w:val="24"/>
        </w:rPr>
        <w:t>Five patient records spanning a broad demographic range were inserted to enable realistic scheduling scenarios. Date-of-birth values allow derivation of patient age at the time of scheduling, which may be surfaced in clinical dashboards.</w:t>
      </w:r>
    </w:p>
    <w:p>
      <w:pPr>
        <w:jc w:val="center"/>
        <w:spacing w:before="120" w:after="60"/>
      </w:pPr>
      <w:r>
        <w:rPr>
          <w:rFonts w:ascii="Times New Roman" w:hAnsi="Times New Roman"/>
          <w:b/>
          <w:i/>
          <w:color w:val="000000"/>
          <w:sz w:val="22"/>
        </w:rPr>
        <w:t>Table 3.6.3 - Patient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1584"/>
            <w:shd w:val="clear" w:color="auto" w:fill="D9D9D9"/>
            <w:vAlign w:val="center"/>
          </w:tcPr>
          <w:p>
            <w:pPr>
              <w:jc w:val="center"/>
            </w:pPr>
            <w:r>
              <w:rPr>
                <w:rFonts w:ascii="Times New Roman" w:hAnsi="Times New Roman"/>
                <w:b/>
                <w:i w:val="0"/>
                <w:color w:val="000000"/>
                <w:sz w:val="22"/>
              </w:rPr>
              <w:t>Patient ID</w:t>
            </w:r>
          </w:p>
        </w:tc>
        <w:tc>
          <w:tcPr>
            <w:tcW w:type="dxa" w:w="3312"/>
            <w:shd w:val="clear" w:color="auto" w:fill="D9D9D9"/>
            <w:vAlign w:val="center"/>
          </w:tcPr>
          <w:p>
            <w:pPr>
              <w:jc w:val="center"/>
            </w:pPr>
            <w:r>
              <w:rPr>
                <w:rFonts w:ascii="Times New Roman" w:hAnsi="Times New Roman"/>
                <w:b/>
                <w:i w:val="0"/>
                <w:color w:val="000000"/>
                <w:sz w:val="22"/>
              </w:rPr>
              <w:t>Full Name</w:t>
            </w:r>
          </w:p>
        </w:tc>
        <w:tc>
          <w:tcPr>
            <w:tcW w:type="dxa" w:w="2592"/>
            <w:shd w:val="clear" w:color="auto" w:fill="D9D9D9"/>
            <w:vAlign w:val="center"/>
          </w:tcPr>
          <w:p>
            <w:pPr>
              <w:jc w:val="center"/>
            </w:pPr>
            <w:r>
              <w:rPr>
                <w:rFonts w:ascii="Times New Roman" w:hAnsi="Times New Roman"/>
                <w:b/>
                <w:i w:val="0"/>
                <w:color w:val="000000"/>
                <w:sz w:val="22"/>
              </w:rPr>
              <w:t>Date of Birth</w:t>
            </w:r>
          </w:p>
        </w:tc>
      </w:tr>
      <w:tr>
        <w:tc>
          <w:tcPr>
            <w:tcW w:type="dxa" w:w="1584"/>
            <w:shd w:val="clear" w:color="auto" w:fill="FFFFFF"/>
            <w:vAlign w:val="center"/>
          </w:tcPr>
          <w:p>
            <w:pPr>
              <w:jc w:val="center"/>
            </w:pPr>
            <w:r>
              <w:rPr>
                <w:rFonts w:ascii="Times New Roman" w:hAnsi="Times New Roman"/>
                <w:b w:val="0"/>
                <w:i w:val="0"/>
                <w:color w:val="000000"/>
                <w:sz w:val="22"/>
              </w:rPr>
              <w:t>1</w:t>
            </w:r>
          </w:p>
        </w:tc>
        <w:tc>
          <w:tcPr>
            <w:tcW w:type="dxa" w:w="3312"/>
            <w:shd w:val="clear" w:color="auto" w:fill="FFFFFF"/>
            <w:vAlign w:val="center"/>
          </w:tcPr>
          <w:p>
            <w:pPr>
              <w:jc w:val="center"/>
            </w:pPr>
            <w:r>
              <w:rPr>
                <w:rFonts w:ascii="Times New Roman" w:hAnsi="Times New Roman"/>
                <w:b w:val="0"/>
                <w:i w:val="0"/>
                <w:color w:val="000000"/>
                <w:sz w:val="22"/>
              </w:rPr>
              <w:t>Ramesh Solanki</w:t>
            </w:r>
          </w:p>
        </w:tc>
        <w:tc>
          <w:tcPr>
            <w:tcW w:type="dxa" w:w="2592"/>
            <w:shd w:val="clear" w:color="auto" w:fill="FFFFFF"/>
            <w:vAlign w:val="center"/>
          </w:tcPr>
          <w:p>
            <w:pPr>
              <w:jc w:val="center"/>
            </w:pPr>
            <w:r>
              <w:rPr>
                <w:rFonts w:ascii="Times New Roman" w:hAnsi="Times New Roman"/>
                <w:b w:val="0"/>
                <w:i w:val="0"/>
                <w:color w:val="000000"/>
                <w:sz w:val="22"/>
              </w:rPr>
              <w:t>1968-05-14</w:t>
            </w:r>
          </w:p>
        </w:tc>
      </w:tr>
      <w:tr>
        <w:tc>
          <w:tcPr>
            <w:tcW w:type="dxa" w:w="1584"/>
            <w:shd w:val="clear" w:color="auto" w:fill="F2F2F2"/>
            <w:vAlign w:val="center"/>
          </w:tcPr>
          <w:p>
            <w:pPr>
              <w:jc w:val="center"/>
            </w:pPr>
            <w:r>
              <w:rPr>
                <w:rFonts w:ascii="Times New Roman" w:hAnsi="Times New Roman"/>
                <w:b w:val="0"/>
                <w:i w:val="0"/>
                <w:color w:val="000000"/>
                <w:sz w:val="22"/>
              </w:rPr>
              <w:t>2</w:t>
            </w:r>
          </w:p>
        </w:tc>
        <w:tc>
          <w:tcPr>
            <w:tcW w:type="dxa" w:w="3312"/>
            <w:shd w:val="clear" w:color="auto" w:fill="F2F2F2"/>
            <w:vAlign w:val="center"/>
          </w:tcPr>
          <w:p>
            <w:pPr>
              <w:jc w:val="center"/>
            </w:pPr>
            <w:r>
              <w:rPr>
                <w:rFonts w:ascii="Times New Roman" w:hAnsi="Times New Roman"/>
                <w:b w:val="0"/>
                <w:i w:val="0"/>
                <w:color w:val="000000"/>
                <w:sz w:val="22"/>
              </w:rPr>
              <w:t>Sunita Joshi</w:t>
            </w:r>
          </w:p>
        </w:tc>
        <w:tc>
          <w:tcPr>
            <w:tcW w:type="dxa" w:w="2592"/>
            <w:shd w:val="clear" w:color="auto" w:fill="F2F2F2"/>
            <w:vAlign w:val="center"/>
          </w:tcPr>
          <w:p>
            <w:pPr>
              <w:jc w:val="center"/>
            </w:pPr>
            <w:r>
              <w:rPr>
                <w:rFonts w:ascii="Times New Roman" w:hAnsi="Times New Roman"/>
                <w:b w:val="0"/>
                <w:i w:val="0"/>
                <w:color w:val="000000"/>
                <w:sz w:val="22"/>
              </w:rPr>
              <w:t>1982-11-22</w:t>
            </w:r>
          </w:p>
        </w:tc>
      </w:tr>
      <w:tr>
        <w:tc>
          <w:tcPr>
            <w:tcW w:type="dxa" w:w="1584"/>
            <w:shd w:val="clear" w:color="auto" w:fill="FFFFFF"/>
            <w:vAlign w:val="center"/>
          </w:tcPr>
          <w:p>
            <w:pPr>
              <w:jc w:val="center"/>
            </w:pPr>
            <w:r>
              <w:rPr>
                <w:rFonts w:ascii="Times New Roman" w:hAnsi="Times New Roman"/>
                <w:b w:val="0"/>
                <w:i w:val="0"/>
                <w:color w:val="000000"/>
                <w:sz w:val="22"/>
              </w:rPr>
              <w:t>3</w:t>
            </w:r>
          </w:p>
        </w:tc>
        <w:tc>
          <w:tcPr>
            <w:tcW w:type="dxa" w:w="3312"/>
            <w:shd w:val="clear" w:color="auto" w:fill="FFFFFF"/>
            <w:vAlign w:val="center"/>
          </w:tcPr>
          <w:p>
            <w:pPr>
              <w:jc w:val="center"/>
            </w:pPr>
            <w:r>
              <w:rPr>
                <w:rFonts w:ascii="Times New Roman" w:hAnsi="Times New Roman"/>
                <w:b w:val="0"/>
                <w:i w:val="0"/>
                <w:color w:val="000000"/>
                <w:sz w:val="22"/>
              </w:rPr>
              <w:t>Arjun Mehta</w:t>
            </w:r>
          </w:p>
        </w:tc>
        <w:tc>
          <w:tcPr>
            <w:tcW w:type="dxa" w:w="2592"/>
            <w:shd w:val="clear" w:color="auto" w:fill="FFFFFF"/>
            <w:vAlign w:val="center"/>
          </w:tcPr>
          <w:p>
            <w:pPr>
              <w:jc w:val="center"/>
            </w:pPr>
            <w:r>
              <w:rPr>
                <w:rFonts w:ascii="Times New Roman" w:hAnsi="Times New Roman"/>
                <w:b w:val="0"/>
                <w:i w:val="0"/>
                <w:color w:val="000000"/>
                <w:sz w:val="22"/>
              </w:rPr>
              <w:t>1995-03-30</w:t>
            </w:r>
          </w:p>
        </w:tc>
      </w:tr>
      <w:tr>
        <w:tc>
          <w:tcPr>
            <w:tcW w:type="dxa" w:w="1584"/>
            <w:shd w:val="clear" w:color="auto" w:fill="F2F2F2"/>
            <w:vAlign w:val="center"/>
          </w:tcPr>
          <w:p>
            <w:pPr>
              <w:jc w:val="center"/>
            </w:pPr>
            <w:r>
              <w:rPr>
                <w:rFonts w:ascii="Times New Roman" w:hAnsi="Times New Roman"/>
                <w:b w:val="0"/>
                <w:i w:val="0"/>
                <w:color w:val="000000"/>
                <w:sz w:val="22"/>
              </w:rPr>
              <w:t>4</w:t>
            </w:r>
          </w:p>
        </w:tc>
        <w:tc>
          <w:tcPr>
            <w:tcW w:type="dxa" w:w="3312"/>
            <w:shd w:val="clear" w:color="auto" w:fill="F2F2F2"/>
            <w:vAlign w:val="center"/>
          </w:tcPr>
          <w:p>
            <w:pPr>
              <w:jc w:val="center"/>
            </w:pPr>
            <w:r>
              <w:rPr>
                <w:rFonts w:ascii="Times New Roman" w:hAnsi="Times New Roman"/>
                <w:b w:val="0"/>
                <w:i w:val="0"/>
                <w:color w:val="000000"/>
                <w:sz w:val="22"/>
              </w:rPr>
              <w:t>Priya Shah</w:t>
            </w:r>
          </w:p>
        </w:tc>
        <w:tc>
          <w:tcPr>
            <w:tcW w:type="dxa" w:w="2592"/>
            <w:shd w:val="clear" w:color="auto" w:fill="F2F2F2"/>
            <w:vAlign w:val="center"/>
          </w:tcPr>
          <w:p>
            <w:pPr>
              <w:jc w:val="center"/>
            </w:pPr>
            <w:r>
              <w:rPr>
                <w:rFonts w:ascii="Times New Roman" w:hAnsi="Times New Roman"/>
                <w:b w:val="0"/>
                <w:i w:val="0"/>
                <w:color w:val="000000"/>
                <w:sz w:val="22"/>
              </w:rPr>
              <w:t>2001-08-19</w:t>
            </w:r>
          </w:p>
        </w:tc>
      </w:tr>
      <w:tr>
        <w:tc>
          <w:tcPr>
            <w:tcW w:type="dxa" w:w="1584"/>
            <w:shd w:val="clear" w:color="auto" w:fill="FFFFFF"/>
            <w:vAlign w:val="center"/>
          </w:tcPr>
          <w:p>
            <w:pPr>
              <w:jc w:val="center"/>
            </w:pPr>
            <w:r>
              <w:rPr>
                <w:rFonts w:ascii="Times New Roman" w:hAnsi="Times New Roman"/>
                <w:b w:val="0"/>
                <w:i w:val="0"/>
                <w:color w:val="000000"/>
                <w:sz w:val="22"/>
              </w:rPr>
              <w:t>5</w:t>
            </w:r>
          </w:p>
        </w:tc>
        <w:tc>
          <w:tcPr>
            <w:tcW w:type="dxa" w:w="3312"/>
            <w:shd w:val="clear" w:color="auto" w:fill="FFFFFF"/>
            <w:vAlign w:val="center"/>
          </w:tcPr>
          <w:p>
            <w:pPr>
              <w:jc w:val="center"/>
            </w:pPr>
            <w:r>
              <w:rPr>
                <w:rFonts w:ascii="Times New Roman" w:hAnsi="Times New Roman"/>
                <w:b w:val="0"/>
                <w:i w:val="0"/>
                <w:color w:val="000000"/>
                <w:sz w:val="22"/>
              </w:rPr>
              <w:t>Dinesh Gawde</w:t>
            </w:r>
          </w:p>
        </w:tc>
        <w:tc>
          <w:tcPr>
            <w:tcW w:type="dxa" w:w="2592"/>
            <w:shd w:val="clear" w:color="auto" w:fill="FFFFFF"/>
            <w:vAlign w:val="center"/>
          </w:tcPr>
          <w:p>
            <w:pPr>
              <w:jc w:val="center"/>
            </w:pPr>
            <w:r>
              <w:rPr>
                <w:rFonts w:ascii="Times New Roman" w:hAnsi="Times New Roman"/>
                <w:b w:val="0"/>
                <w:i w:val="0"/>
                <w:color w:val="000000"/>
                <w:sz w:val="22"/>
              </w:rPr>
              <w:t>1974-01-09</w:t>
            </w:r>
          </w:p>
        </w:tc>
      </w:tr>
    </w:tbl>
    <w:p>
      <w:pPr>
        <w:spacing w:before="6" w:after="6"/>
      </w:pPr>
    </w:p>
    <w:p>
      <w:pPr>
        <w:jc w:val="left"/>
        <w:spacing w:before="200" w:after="80"/>
      </w:pPr>
      <w:r>
        <w:rPr>
          <w:rFonts w:ascii="Times New Roman" w:hAnsi="Times New Roman"/>
          <w:b/>
          <w:i w:val="0"/>
          <w:color w:val="000000"/>
          <w:sz w:val="24"/>
        </w:rPr>
        <w:t>3.6.4  Staff</w:t>
      </w:r>
    </w:p>
    <w:p>
      <w:pPr>
        <w:jc w:val="both"/>
        <w:spacing w:before="0" w:after="80"/>
      </w:pPr>
      <w:r>
        <w:rPr>
          <w:rFonts w:ascii="Times New Roman" w:hAnsi="Times New Roman"/>
          <w:b w:val="0"/>
          <w:i w:val="0"/>
          <w:color w:val="000000"/>
          <w:sz w:val="24"/>
        </w:rPr>
        <w:t>Eight staff members representing a complete surgical team were registered in the system. The specialization attribute stores each staff member's clinical or technical role, enabling the booking module to assign appropriate personnel to each procedure.</w:t>
      </w:r>
    </w:p>
    <w:p>
      <w:pPr>
        <w:jc w:val="center"/>
        <w:spacing w:before="120" w:after="60"/>
      </w:pPr>
      <w:r>
        <w:rPr>
          <w:rFonts w:ascii="Times New Roman" w:hAnsi="Times New Roman"/>
          <w:b/>
          <w:i/>
          <w:color w:val="000000"/>
          <w:sz w:val="22"/>
        </w:rPr>
        <w:t>Table 3.6.4 - Staff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1296"/>
            <w:shd w:val="clear" w:color="auto" w:fill="D9D9D9"/>
            <w:vAlign w:val="center"/>
          </w:tcPr>
          <w:p>
            <w:pPr>
              <w:jc w:val="center"/>
            </w:pPr>
            <w:r>
              <w:rPr>
                <w:rFonts w:ascii="Times New Roman" w:hAnsi="Times New Roman"/>
                <w:b/>
                <w:i w:val="0"/>
                <w:color w:val="000000"/>
                <w:sz w:val="22"/>
              </w:rPr>
              <w:t>Staff ID</w:t>
            </w:r>
          </w:p>
        </w:tc>
        <w:tc>
          <w:tcPr>
            <w:tcW w:type="dxa" w:w="2880"/>
            <w:shd w:val="clear" w:color="auto" w:fill="D9D9D9"/>
            <w:vAlign w:val="center"/>
          </w:tcPr>
          <w:p>
            <w:pPr>
              <w:jc w:val="center"/>
            </w:pPr>
            <w:r>
              <w:rPr>
                <w:rFonts w:ascii="Times New Roman" w:hAnsi="Times New Roman"/>
                <w:b/>
                <w:i w:val="0"/>
                <w:color w:val="000000"/>
                <w:sz w:val="22"/>
              </w:rPr>
              <w:t>Full Name</w:t>
            </w:r>
          </w:p>
        </w:tc>
        <w:tc>
          <w:tcPr>
            <w:tcW w:type="dxa" w:w="5040"/>
            <w:shd w:val="clear" w:color="auto" w:fill="D9D9D9"/>
            <w:vAlign w:val="center"/>
          </w:tcPr>
          <w:p>
            <w:pPr>
              <w:jc w:val="center"/>
            </w:pPr>
            <w:r>
              <w:rPr>
                <w:rFonts w:ascii="Times New Roman" w:hAnsi="Times New Roman"/>
                <w:b/>
                <w:i w:val="0"/>
                <w:color w:val="000000"/>
                <w:sz w:val="22"/>
              </w:rPr>
              <w:t>Specialization / Role</w:t>
            </w:r>
          </w:p>
        </w:tc>
      </w:tr>
      <w:tr>
        <w:tc>
          <w:tcPr>
            <w:tcW w:type="dxa" w:w="1296"/>
            <w:shd w:val="clear" w:color="auto" w:fill="FFFFFF"/>
            <w:vAlign w:val="center"/>
          </w:tcPr>
          <w:p>
            <w:pPr>
              <w:jc w:val="center"/>
            </w:pPr>
            <w:r>
              <w:rPr>
                <w:rFonts w:ascii="Times New Roman" w:hAnsi="Times New Roman"/>
                <w:b w:val="0"/>
                <w:i w:val="0"/>
                <w:color w:val="000000"/>
                <w:sz w:val="22"/>
              </w:rPr>
              <w:t>1</w:t>
            </w:r>
          </w:p>
        </w:tc>
        <w:tc>
          <w:tcPr>
            <w:tcW w:type="dxa" w:w="2880"/>
            <w:shd w:val="clear" w:color="auto" w:fill="FFFFFF"/>
            <w:vAlign w:val="center"/>
          </w:tcPr>
          <w:p>
            <w:pPr>
              <w:jc w:val="center"/>
            </w:pPr>
            <w:r>
              <w:rPr>
                <w:rFonts w:ascii="Times New Roman" w:hAnsi="Times New Roman"/>
                <w:b w:val="0"/>
                <w:i w:val="0"/>
                <w:color w:val="000000"/>
                <w:sz w:val="22"/>
              </w:rPr>
              <w:t>Aditya Kulkarni</w:t>
            </w:r>
          </w:p>
        </w:tc>
        <w:tc>
          <w:tcPr>
            <w:tcW w:type="dxa" w:w="5040"/>
            <w:shd w:val="clear" w:color="auto" w:fill="FFFFFF"/>
            <w:vAlign w:val="center"/>
          </w:tcPr>
          <w:p>
            <w:pPr>
              <w:jc w:val="center"/>
            </w:pPr>
            <w:r>
              <w:rPr>
                <w:rFonts w:ascii="Times New Roman" w:hAnsi="Times New Roman"/>
                <w:b w:val="0"/>
                <w:i w:val="0"/>
                <w:color w:val="000000"/>
                <w:sz w:val="22"/>
              </w:rPr>
              <w:t>Chief Cardiac Surgeon</w:t>
            </w:r>
          </w:p>
        </w:tc>
      </w:tr>
      <w:tr>
        <w:tc>
          <w:tcPr>
            <w:tcW w:type="dxa" w:w="1296"/>
            <w:shd w:val="clear" w:color="auto" w:fill="F2F2F2"/>
            <w:vAlign w:val="center"/>
          </w:tcPr>
          <w:p>
            <w:pPr>
              <w:jc w:val="center"/>
            </w:pPr>
            <w:r>
              <w:rPr>
                <w:rFonts w:ascii="Times New Roman" w:hAnsi="Times New Roman"/>
                <w:b w:val="0"/>
                <w:i w:val="0"/>
                <w:color w:val="000000"/>
                <w:sz w:val="22"/>
              </w:rPr>
              <w:t>2</w:t>
            </w:r>
          </w:p>
        </w:tc>
        <w:tc>
          <w:tcPr>
            <w:tcW w:type="dxa" w:w="2880"/>
            <w:shd w:val="clear" w:color="auto" w:fill="F2F2F2"/>
            <w:vAlign w:val="center"/>
          </w:tcPr>
          <w:p>
            <w:pPr>
              <w:jc w:val="center"/>
            </w:pPr>
            <w:r>
              <w:rPr>
                <w:rFonts w:ascii="Times New Roman" w:hAnsi="Times New Roman"/>
                <w:b w:val="0"/>
                <w:i w:val="0"/>
                <w:color w:val="000000"/>
                <w:sz w:val="22"/>
              </w:rPr>
              <w:t>Pooja Nair</w:t>
            </w:r>
          </w:p>
        </w:tc>
        <w:tc>
          <w:tcPr>
            <w:tcW w:type="dxa" w:w="5040"/>
            <w:shd w:val="clear" w:color="auto" w:fill="F2F2F2"/>
            <w:vAlign w:val="center"/>
          </w:tcPr>
          <w:p>
            <w:pPr>
              <w:jc w:val="center"/>
            </w:pPr>
            <w:r>
              <w:rPr>
                <w:rFonts w:ascii="Times New Roman" w:hAnsi="Times New Roman"/>
                <w:b w:val="0"/>
                <w:i w:val="0"/>
                <w:color w:val="000000"/>
                <w:sz w:val="22"/>
              </w:rPr>
              <w:t>Senior Anesthesiologist</w:t>
            </w:r>
          </w:p>
        </w:tc>
      </w:tr>
      <w:tr>
        <w:tc>
          <w:tcPr>
            <w:tcW w:type="dxa" w:w="1296"/>
            <w:shd w:val="clear" w:color="auto" w:fill="FFFFFF"/>
            <w:vAlign w:val="center"/>
          </w:tcPr>
          <w:p>
            <w:pPr>
              <w:jc w:val="center"/>
            </w:pPr>
            <w:r>
              <w:rPr>
                <w:rFonts w:ascii="Times New Roman" w:hAnsi="Times New Roman"/>
                <w:b w:val="0"/>
                <w:i w:val="0"/>
                <w:color w:val="000000"/>
                <w:sz w:val="22"/>
              </w:rPr>
              <w:t>3</w:t>
            </w:r>
          </w:p>
        </w:tc>
        <w:tc>
          <w:tcPr>
            <w:tcW w:type="dxa" w:w="2880"/>
            <w:shd w:val="clear" w:color="auto" w:fill="FFFFFF"/>
            <w:vAlign w:val="center"/>
          </w:tcPr>
          <w:p>
            <w:pPr>
              <w:jc w:val="center"/>
            </w:pPr>
            <w:r>
              <w:rPr>
                <w:rFonts w:ascii="Times New Roman" w:hAnsi="Times New Roman"/>
                <w:b w:val="0"/>
                <w:i w:val="0"/>
                <w:color w:val="000000"/>
                <w:sz w:val="22"/>
              </w:rPr>
              <w:t>Vikram Deshmukh</w:t>
            </w:r>
          </w:p>
        </w:tc>
        <w:tc>
          <w:tcPr>
            <w:tcW w:type="dxa" w:w="5040"/>
            <w:shd w:val="clear" w:color="auto" w:fill="FFFFFF"/>
            <w:vAlign w:val="center"/>
          </w:tcPr>
          <w:p>
            <w:pPr>
              <w:jc w:val="center"/>
            </w:pPr>
            <w:r>
              <w:rPr>
                <w:rFonts w:ascii="Times New Roman" w:hAnsi="Times New Roman"/>
                <w:b w:val="0"/>
                <w:i w:val="0"/>
                <w:color w:val="000000"/>
                <w:sz w:val="22"/>
              </w:rPr>
              <w:t>Trauma &amp; Orthopedic Specialist</w:t>
            </w:r>
          </w:p>
        </w:tc>
      </w:tr>
      <w:tr>
        <w:tc>
          <w:tcPr>
            <w:tcW w:type="dxa" w:w="1296"/>
            <w:shd w:val="clear" w:color="auto" w:fill="F2F2F2"/>
            <w:vAlign w:val="center"/>
          </w:tcPr>
          <w:p>
            <w:pPr>
              <w:jc w:val="center"/>
            </w:pPr>
            <w:r>
              <w:rPr>
                <w:rFonts w:ascii="Times New Roman" w:hAnsi="Times New Roman"/>
                <w:b w:val="0"/>
                <w:i w:val="0"/>
                <w:color w:val="000000"/>
                <w:sz w:val="22"/>
              </w:rPr>
              <w:t>4</w:t>
            </w:r>
          </w:p>
        </w:tc>
        <w:tc>
          <w:tcPr>
            <w:tcW w:type="dxa" w:w="2880"/>
            <w:shd w:val="clear" w:color="auto" w:fill="F2F2F2"/>
            <w:vAlign w:val="center"/>
          </w:tcPr>
          <w:p>
            <w:pPr>
              <w:jc w:val="center"/>
            </w:pPr>
            <w:r>
              <w:rPr>
                <w:rFonts w:ascii="Times New Roman" w:hAnsi="Times New Roman"/>
                <w:b w:val="0"/>
                <w:i w:val="0"/>
                <w:color w:val="000000"/>
                <w:sz w:val="22"/>
              </w:rPr>
              <w:t>Deepa Iyer</w:t>
            </w:r>
          </w:p>
        </w:tc>
        <w:tc>
          <w:tcPr>
            <w:tcW w:type="dxa" w:w="5040"/>
            <w:shd w:val="clear" w:color="auto" w:fill="F2F2F2"/>
            <w:vAlign w:val="center"/>
          </w:tcPr>
          <w:p>
            <w:pPr>
              <w:jc w:val="center"/>
            </w:pPr>
            <w:r>
              <w:rPr>
                <w:rFonts w:ascii="Times New Roman" w:hAnsi="Times New Roman"/>
                <w:b w:val="0"/>
                <w:i w:val="0"/>
                <w:color w:val="000000"/>
                <w:sz w:val="22"/>
              </w:rPr>
              <w:t>Neurosurgeon</w:t>
            </w:r>
          </w:p>
        </w:tc>
      </w:tr>
      <w:tr>
        <w:tc>
          <w:tcPr>
            <w:tcW w:type="dxa" w:w="1296"/>
            <w:shd w:val="clear" w:color="auto" w:fill="FFFFFF"/>
            <w:vAlign w:val="center"/>
          </w:tcPr>
          <w:p>
            <w:pPr>
              <w:jc w:val="center"/>
            </w:pPr>
            <w:r>
              <w:rPr>
                <w:rFonts w:ascii="Times New Roman" w:hAnsi="Times New Roman"/>
                <w:b w:val="0"/>
                <w:i w:val="0"/>
                <w:color w:val="000000"/>
                <w:sz w:val="22"/>
              </w:rPr>
              <w:t>5</w:t>
            </w:r>
          </w:p>
        </w:tc>
        <w:tc>
          <w:tcPr>
            <w:tcW w:type="dxa" w:w="2880"/>
            <w:shd w:val="clear" w:color="auto" w:fill="FFFFFF"/>
            <w:vAlign w:val="center"/>
          </w:tcPr>
          <w:p>
            <w:pPr>
              <w:jc w:val="center"/>
            </w:pPr>
            <w:r>
              <w:rPr>
                <w:rFonts w:ascii="Times New Roman" w:hAnsi="Times New Roman"/>
                <w:b w:val="0"/>
                <w:i w:val="0"/>
                <w:color w:val="000000"/>
                <w:sz w:val="22"/>
              </w:rPr>
              <w:t>Rohit Verma</w:t>
            </w:r>
          </w:p>
        </w:tc>
        <w:tc>
          <w:tcPr>
            <w:tcW w:type="dxa" w:w="5040"/>
            <w:shd w:val="clear" w:color="auto" w:fill="FFFFFF"/>
            <w:vAlign w:val="center"/>
          </w:tcPr>
          <w:p>
            <w:pPr>
              <w:jc w:val="center"/>
            </w:pPr>
            <w:r>
              <w:rPr>
                <w:rFonts w:ascii="Times New Roman" w:hAnsi="Times New Roman"/>
                <w:b w:val="0"/>
                <w:i w:val="0"/>
                <w:color w:val="000000"/>
                <w:sz w:val="22"/>
              </w:rPr>
              <w:t>Lead Perfusionist</w:t>
            </w:r>
          </w:p>
        </w:tc>
      </w:tr>
      <w:tr>
        <w:tc>
          <w:tcPr>
            <w:tcW w:type="dxa" w:w="1296"/>
            <w:shd w:val="clear" w:color="auto" w:fill="F2F2F2"/>
            <w:vAlign w:val="center"/>
          </w:tcPr>
          <w:p>
            <w:pPr>
              <w:jc w:val="center"/>
            </w:pPr>
            <w:r>
              <w:rPr>
                <w:rFonts w:ascii="Times New Roman" w:hAnsi="Times New Roman"/>
                <w:b w:val="0"/>
                <w:i w:val="0"/>
                <w:color w:val="000000"/>
                <w:sz w:val="22"/>
              </w:rPr>
              <w:t>6</w:t>
            </w:r>
          </w:p>
        </w:tc>
        <w:tc>
          <w:tcPr>
            <w:tcW w:type="dxa" w:w="2880"/>
            <w:shd w:val="clear" w:color="auto" w:fill="F2F2F2"/>
            <w:vAlign w:val="center"/>
          </w:tcPr>
          <w:p>
            <w:pPr>
              <w:jc w:val="center"/>
            </w:pPr>
            <w:r>
              <w:rPr>
                <w:rFonts w:ascii="Times New Roman" w:hAnsi="Times New Roman"/>
                <w:b w:val="0"/>
                <w:i w:val="0"/>
                <w:color w:val="000000"/>
                <w:sz w:val="22"/>
              </w:rPr>
              <w:t>Kavita Patil</w:t>
            </w:r>
          </w:p>
        </w:tc>
        <w:tc>
          <w:tcPr>
            <w:tcW w:type="dxa" w:w="5040"/>
            <w:shd w:val="clear" w:color="auto" w:fill="F2F2F2"/>
            <w:vAlign w:val="center"/>
          </w:tcPr>
          <w:p>
            <w:pPr>
              <w:jc w:val="center"/>
            </w:pPr>
            <w:r>
              <w:rPr>
                <w:rFonts w:ascii="Times New Roman" w:hAnsi="Times New Roman"/>
                <w:b w:val="0"/>
                <w:i w:val="0"/>
                <w:color w:val="000000"/>
                <w:sz w:val="22"/>
              </w:rPr>
              <w:t>Senior Scrub Nurse</w:t>
            </w:r>
          </w:p>
        </w:tc>
      </w:tr>
      <w:tr>
        <w:tc>
          <w:tcPr>
            <w:tcW w:type="dxa" w:w="1296"/>
            <w:shd w:val="clear" w:color="auto" w:fill="FFFFFF"/>
            <w:vAlign w:val="center"/>
          </w:tcPr>
          <w:p>
            <w:pPr>
              <w:jc w:val="center"/>
            </w:pPr>
            <w:r>
              <w:rPr>
                <w:rFonts w:ascii="Times New Roman" w:hAnsi="Times New Roman"/>
                <w:b w:val="0"/>
                <w:i w:val="0"/>
                <w:color w:val="000000"/>
                <w:sz w:val="22"/>
              </w:rPr>
              <w:t>7</w:t>
            </w:r>
          </w:p>
        </w:tc>
        <w:tc>
          <w:tcPr>
            <w:tcW w:type="dxa" w:w="2880"/>
            <w:shd w:val="clear" w:color="auto" w:fill="FFFFFF"/>
            <w:vAlign w:val="center"/>
          </w:tcPr>
          <w:p>
            <w:pPr>
              <w:jc w:val="center"/>
            </w:pPr>
            <w:r>
              <w:rPr>
                <w:rFonts w:ascii="Times New Roman" w:hAnsi="Times New Roman"/>
                <w:b w:val="0"/>
                <w:i w:val="0"/>
                <w:color w:val="000000"/>
                <w:sz w:val="22"/>
              </w:rPr>
              <w:t>Suresh Bhosale</w:t>
            </w:r>
          </w:p>
        </w:tc>
        <w:tc>
          <w:tcPr>
            <w:tcW w:type="dxa" w:w="5040"/>
            <w:shd w:val="clear" w:color="auto" w:fill="FFFFFF"/>
            <w:vAlign w:val="center"/>
          </w:tcPr>
          <w:p>
            <w:pPr>
              <w:jc w:val="center"/>
            </w:pPr>
            <w:r>
              <w:rPr>
                <w:rFonts w:ascii="Times New Roman" w:hAnsi="Times New Roman"/>
                <w:b w:val="0"/>
                <w:i w:val="0"/>
                <w:color w:val="000000"/>
                <w:sz w:val="22"/>
              </w:rPr>
              <w:t>Surgical Technologist</w:t>
            </w:r>
          </w:p>
        </w:tc>
      </w:tr>
      <w:tr>
        <w:tc>
          <w:tcPr>
            <w:tcW w:type="dxa" w:w="1296"/>
            <w:shd w:val="clear" w:color="auto" w:fill="F2F2F2"/>
            <w:vAlign w:val="center"/>
          </w:tcPr>
          <w:p>
            <w:pPr>
              <w:jc w:val="center"/>
            </w:pPr>
            <w:r>
              <w:rPr>
                <w:rFonts w:ascii="Times New Roman" w:hAnsi="Times New Roman"/>
                <w:b w:val="0"/>
                <w:i w:val="0"/>
                <w:color w:val="000000"/>
                <w:sz w:val="22"/>
              </w:rPr>
              <w:t>8</w:t>
            </w:r>
          </w:p>
        </w:tc>
        <w:tc>
          <w:tcPr>
            <w:tcW w:type="dxa" w:w="2880"/>
            <w:shd w:val="clear" w:color="auto" w:fill="F2F2F2"/>
            <w:vAlign w:val="center"/>
          </w:tcPr>
          <w:p>
            <w:pPr>
              <w:jc w:val="center"/>
            </w:pPr>
            <w:r>
              <w:rPr>
                <w:rFonts w:ascii="Times New Roman" w:hAnsi="Times New Roman"/>
                <w:b w:val="0"/>
                <w:i w:val="0"/>
                <w:color w:val="000000"/>
                <w:sz w:val="22"/>
              </w:rPr>
              <w:t>Anjali Menon</w:t>
            </w:r>
          </w:p>
        </w:tc>
        <w:tc>
          <w:tcPr>
            <w:tcW w:type="dxa" w:w="5040"/>
            <w:shd w:val="clear" w:color="auto" w:fill="F2F2F2"/>
            <w:vAlign w:val="center"/>
          </w:tcPr>
          <w:p>
            <w:pPr>
              <w:jc w:val="center"/>
            </w:pPr>
            <w:r>
              <w:rPr>
                <w:rFonts w:ascii="Times New Roman" w:hAnsi="Times New Roman"/>
                <w:b w:val="0"/>
                <w:i w:val="0"/>
                <w:color w:val="000000"/>
                <w:sz w:val="22"/>
              </w:rPr>
              <w:t>Emergency Medicine Lead</w:t>
            </w:r>
          </w:p>
        </w:tc>
      </w:tr>
    </w:tbl>
    <w:p>
      <w:pPr>
        <w:spacing w:before="6" w:after="6"/>
      </w:pPr>
    </w:p>
    <w:p>
      <w:pPr>
        <w:jc w:val="left"/>
        <w:spacing w:before="200" w:after="80"/>
      </w:pPr>
      <w:r>
        <w:rPr>
          <w:rFonts w:ascii="Times New Roman" w:hAnsi="Times New Roman"/>
          <w:b/>
          <w:i w:val="0"/>
          <w:color w:val="000000"/>
          <w:sz w:val="24"/>
        </w:rPr>
        <w:t>3.6.5  Surgical Asset (Sterilization State Demonstration)</w:t>
      </w:r>
    </w:p>
    <w:p>
      <w:pPr>
        <w:jc w:val="both"/>
        <w:spacing w:before="0" w:after="80"/>
      </w:pPr>
      <w:r>
        <w:rPr>
          <w:rFonts w:ascii="Times New Roman" w:hAnsi="Times New Roman"/>
          <w:b w:val="0"/>
          <w:i w:val="0"/>
          <w:color w:val="000000"/>
          <w:sz w:val="24"/>
        </w:rPr>
        <w:t>The surgical_asset table tracks high-value equipment alongside its real-time sterilization status. The status column is constrained to the enumerated domain {Ready, In Sterilization, Maintenance, Decommissioned}, reflecting the full equipment lifecycle. The records below were deliberately selected to demonstrate all three active states simultaneously, validating that the CHECK constraint permits each value independently.</w:t>
      </w:r>
    </w:p>
    <w:p>
      <w:pPr>
        <w:jc w:val="center"/>
        <w:spacing w:before="120" w:after="60"/>
      </w:pPr>
      <w:r>
        <w:rPr>
          <w:rFonts w:ascii="Times New Roman" w:hAnsi="Times New Roman"/>
          <w:b/>
          <w:i/>
          <w:color w:val="000000"/>
          <w:sz w:val="22"/>
        </w:rPr>
        <w:t>Table 3.6.5 - Surgical Asset Records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33"/>
        <w:gridCol w:w="3033"/>
        <w:gridCol w:w="3033"/>
      </w:tblGrid>
      <w:tr>
        <w:tc>
          <w:tcPr>
            <w:tcW w:type="dxa" w:w="1296"/>
            <w:shd w:val="clear" w:color="auto" w:fill="D9D9D9"/>
            <w:vAlign w:val="center"/>
          </w:tcPr>
          <w:p>
            <w:pPr>
              <w:jc w:val="center"/>
            </w:pPr>
            <w:r>
              <w:rPr>
                <w:rFonts w:ascii="Times New Roman" w:hAnsi="Times New Roman"/>
                <w:b/>
                <w:i w:val="0"/>
                <w:color w:val="000000"/>
                <w:sz w:val="22"/>
              </w:rPr>
              <w:t>Asset ID</w:t>
            </w:r>
          </w:p>
        </w:tc>
        <w:tc>
          <w:tcPr>
            <w:tcW w:type="dxa" w:w="5040"/>
            <w:shd w:val="clear" w:color="auto" w:fill="D9D9D9"/>
            <w:vAlign w:val="center"/>
          </w:tcPr>
          <w:p>
            <w:pPr>
              <w:jc w:val="center"/>
            </w:pPr>
            <w:r>
              <w:rPr>
                <w:rFonts w:ascii="Times New Roman" w:hAnsi="Times New Roman"/>
                <w:b/>
                <w:i w:val="0"/>
                <w:color w:val="000000"/>
                <w:sz w:val="22"/>
              </w:rPr>
              <w:t>Asset Name</w:t>
            </w:r>
          </w:p>
        </w:tc>
        <w:tc>
          <w:tcPr>
            <w:tcW w:type="dxa" w:w="2880"/>
            <w:shd w:val="clear" w:color="auto" w:fill="D9D9D9"/>
            <w:vAlign w:val="center"/>
          </w:tcPr>
          <w:p>
            <w:pPr>
              <w:jc w:val="center"/>
            </w:pPr>
            <w:r>
              <w:rPr>
                <w:rFonts w:ascii="Times New Roman" w:hAnsi="Times New Roman"/>
                <w:b/>
                <w:i w:val="0"/>
                <w:color w:val="000000"/>
                <w:sz w:val="22"/>
              </w:rPr>
              <w:t>Sterilization Status</w:t>
            </w:r>
          </w:p>
        </w:tc>
      </w:tr>
      <w:tr>
        <w:tc>
          <w:tcPr>
            <w:tcW w:type="dxa" w:w="1296"/>
            <w:shd w:val="clear" w:color="auto" w:fill="FFFFFF"/>
            <w:vAlign w:val="center"/>
          </w:tcPr>
          <w:p>
            <w:pPr>
              <w:jc w:val="center"/>
            </w:pPr>
            <w:r>
              <w:rPr>
                <w:rFonts w:ascii="Times New Roman" w:hAnsi="Times New Roman"/>
                <w:b w:val="0"/>
                <w:i w:val="0"/>
                <w:color w:val="000000"/>
                <w:sz w:val="22"/>
              </w:rPr>
              <w:t>1</w:t>
            </w:r>
          </w:p>
        </w:tc>
        <w:tc>
          <w:tcPr>
            <w:tcW w:type="dxa" w:w="5040"/>
            <w:shd w:val="clear" w:color="auto" w:fill="FFFFFF"/>
            <w:vAlign w:val="center"/>
          </w:tcPr>
          <w:p>
            <w:pPr>
              <w:jc w:val="center"/>
            </w:pPr>
            <w:r>
              <w:rPr>
                <w:rFonts w:ascii="Times New Roman" w:hAnsi="Times New Roman"/>
                <w:b w:val="0"/>
                <w:i w:val="0"/>
                <w:color w:val="000000"/>
                <w:sz w:val="22"/>
              </w:rPr>
              <w:t>da Vinci Xi Surgical Robot System</w:t>
            </w:r>
          </w:p>
        </w:tc>
        <w:tc>
          <w:tcPr>
            <w:tcW w:type="dxa" w:w="2880"/>
            <w:shd w:val="clear" w:color="auto" w:fill="FFFFFF"/>
            <w:vAlign w:val="center"/>
          </w:tcPr>
          <w:p>
            <w:pPr>
              <w:jc w:val="center"/>
            </w:pPr>
            <w:r>
              <w:rPr>
                <w:rFonts w:ascii="Times New Roman" w:hAnsi="Times New Roman"/>
                <w:b w:val="0"/>
                <w:i w:val="0"/>
                <w:color w:val="000000"/>
                <w:sz w:val="22"/>
              </w:rPr>
              <w:t>Ready</w:t>
            </w:r>
          </w:p>
        </w:tc>
      </w:tr>
      <w:tr>
        <w:tc>
          <w:tcPr>
            <w:tcW w:type="dxa" w:w="1296"/>
            <w:shd w:val="clear" w:color="auto" w:fill="F2F2F2"/>
            <w:vAlign w:val="center"/>
          </w:tcPr>
          <w:p>
            <w:pPr>
              <w:jc w:val="center"/>
            </w:pPr>
            <w:r>
              <w:rPr>
                <w:rFonts w:ascii="Times New Roman" w:hAnsi="Times New Roman"/>
                <w:b w:val="0"/>
                <w:i w:val="0"/>
                <w:color w:val="000000"/>
                <w:sz w:val="22"/>
              </w:rPr>
              <w:t>2</w:t>
            </w:r>
          </w:p>
        </w:tc>
        <w:tc>
          <w:tcPr>
            <w:tcW w:type="dxa" w:w="5040"/>
            <w:shd w:val="clear" w:color="auto" w:fill="F2F2F2"/>
            <w:vAlign w:val="center"/>
          </w:tcPr>
          <w:p>
            <w:pPr>
              <w:jc w:val="center"/>
            </w:pPr>
            <w:r>
              <w:rPr>
                <w:rFonts w:ascii="Times New Roman" w:hAnsi="Times New Roman"/>
                <w:b w:val="0"/>
                <w:i w:val="0"/>
                <w:color w:val="000000"/>
                <w:sz w:val="22"/>
              </w:rPr>
              <w:t>Maquet HL 20 Heart-Lung Bypass Machine</w:t>
            </w:r>
          </w:p>
        </w:tc>
        <w:tc>
          <w:tcPr>
            <w:tcW w:type="dxa" w:w="2880"/>
            <w:shd w:val="clear" w:color="auto" w:fill="F2F2F2"/>
            <w:vAlign w:val="center"/>
          </w:tcPr>
          <w:p>
            <w:pPr>
              <w:jc w:val="center"/>
            </w:pPr>
            <w:r>
              <w:rPr>
                <w:rFonts w:ascii="Times New Roman" w:hAnsi="Times New Roman"/>
                <w:b w:val="0"/>
                <w:i w:val="0"/>
                <w:color w:val="000000"/>
                <w:sz w:val="22"/>
              </w:rPr>
              <w:t>Ready</w:t>
            </w:r>
          </w:p>
        </w:tc>
      </w:tr>
      <w:tr>
        <w:tc>
          <w:tcPr>
            <w:tcW w:type="dxa" w:w="1296"/>
            <w:shd w:val="clear" w:color="auto" w:fill="FFFFFF"/>
            <w:vAlign w:val="center"/>
          </w:tcPr>
          <w:p>
            <w:pPr>
              <w:jc w:val="center"/>
            </w:pPr>
            <w:r>
              <w:rPr>
                <w:rFonts w:ascii="Times New Roman" w:hAnsi="Times New Roman"/>
                <w:b w:val="0"/>
                <w:i w:val="0"/>
                <w:color w:val="000000"/>
                <w:sz w:val="22"/>
              </w:rPr>
              <w:t>8</w:t>
            </w:r>
          </w:p>
        </w:tc>
        <w:tc>
          <w:tcPr>
            <w:tcW w:type="dxa" w:w="5040"/>
            <w:shd w:val="clear" w:color="auto" w:fill="FFFFFF"/>
            <w:vAlign w:val="center"/>
          </w:tcPr>
          <w:p>
            <w:pPr>
              <w:jc w:val="center"/>
            </w:pPr>
            <w:r>
              <w:rPr>
                <w:rFonts w:ascii="Times New Roman" w:hAnsi="Times New Roman"/>
                <w:b w:val="0"/>
                <w:i w:val="0"/>
                <w:color w:val="000000"/>
                <w:sz w:val="22"/>
              </w:rPr>
              <w:t>Harmonic HD 1000i Ultrasonic Scalpel</w:t>
            </w:r>
          </w:p>
        </w:tc>
        <w:tc>
          <w:tcPr>
            <w:tcW w:type="dxa" w:w="2880"/>
            <w:shd w:val="clear" w:color="auto" w:fill="FFFFFF"/>
            <w:vAlign w:val="center"/>
          </w:tcPr>
          <w:p>
            <w:pPr>
              <w:jc w:val="center"/>
            </w:pPr>
            <w:r>
              <w:rPr>
                <w:rFonts w:ascii="Times New Roman" w:hAnsi="Times New Roman"/>
                <w:b w:val="0"/>
                <w:i w:val="0"/>
                <w:color w:val="000000"/>
                <w:sz w:val="22"/>
              </w:rPr>
              <w:t>In Sterilization</w:t>
            </w:r>
          </w:p>
        </w:tc>
      </w:tr>
      <w:tr>
        <w:tc>
          <w:tcPr>
            <w:tcW w:type="dxa" w:w="1296"/>
            <w:shd w:val="clear" w:color="auto" w:fill="F2F2F2"/>
            <w:vAlign w:val="center"/>
          </w:tcPr>
          <w:p>
            <w:pPr>
              <w:jc w:val="center"/>
            </w:pPr>
            <w:r>
              <w:rPr>
                <w:rFonts w:ascii="Times New Roman" w:hAnsi="Times New Roman"/>
                <w:b w:val="0"/>
                <w:i w:val="0"/>
                <w:color w:val="000000"/>
                <w:sz w:val="22"/>
              </w:rPr>
              <w:t>10</w:t>
            </w:r>
          </w:p>
        </w:tc>
        <w:tc>
          <w:tcPr>
            <w:tcW w:type="dxa" w:w="5040"/>
            <w:shd w:val="clear" w:color="auto" w:fill="F2F2F2"/>
            <w:vAlign w:val="center"/>
          </w:tcPr>
          <w:p>
            <w:pPr>
              <w:jc w:val="center"/>
            </w:pPr>
            <w:r>
              <w:rPr>
                <w:rFonts w:ascii="Times New Roman" w:hAnsi="Times New Roman"/>
                <w:b w:val="0"/>
                <w:i w:val="0"/>
                <w:color w:val="000000"/>
                <w:sz w:val="22"/>
              </w:rPr>
              <w:t>Zeiss Kinevo 900 Surgical Microscope</w:t>
            </w:r>
          </w:p>
        </w:tc>
        <w:tc>
          <w:tcPr>
            <w:tcW w:type="dxa" w:w="2880"/>
            <w:shd w:val="clear" w:color="auto" w:fill="F2F2F2"/>
            <w:vAlign w:val="center"/>
          </w:tcPr>
          <w:p>
            <w:pPr>
              <w:jc w:val="center"/>
            </w:pPr>
            <w:r>
              <w:rPr>
                <w:rFonts w:ascii="Times New Roman" w:hAnsi="Times New Roman"/>
                <w:b w:val="0"/>
                <w:i w:val="0"/>
                <w:color w:val="000000"/>
                <w:sz w:val="22"/>
              </w:rPr>
              <w:t>Maintenance</w:t>
            </w:r>
          </w:p>
        </w:tc>
      </w:tr>
    </w:tbl>
    <w:p>
      <w:pPr>
        <w:spacing w:before="6" w:after="6"/>
      </w:pPr>
    </w:p>
    <w:p>
      <w:pPr>
        <w:jc w:val="both"/>
        <w:spacing w:before="0" w:after="80"/>
      </w:pPr>
      <w:r>
        <w:rPr>
          <w:rFonts w:ascii="Times New Roman" w:hAnsi="Times New Roman"/>
          <w:b w:val="0"/>
          <w:i w:val="0"/>
          <w:color w:val="000000"/>
          <w:sz w:val="24"/>
        </w:rPr>
        <w:t>Assets flagged as Ready are immediately allocable to a theater booking. Assets with status In Sterilization are temporarily excluded from the scheduling engine's availability query. Assets in Maintenance require technical clearance before re-entering the Ready pool, while Decommissioned assets are archived and ineligible for allocation.</w:t>
      </w:r>
    </w:p>
    <w:p>
      <w:r>
        <w:br w:type="page"/>
      </w:r>
    </w:p>
    <w:p>
      <w:pPr>
        <w:jc w:val="left"/>
        <w:spacing w:before="240" w:after="120"/>
      </w:pPr>
      <w:r>
        <w:rPr>
          <w:rFonts w:ascii="Times New Roman" w:hAnsi="Times New Roman"/>
          <w:b/>
          <w:i w:val="0"/>
          <w:color w:val="000000"/>
          <w:sz w:val="28"/>
        </w:rPr>
        <w:t>4.2  User Interface and Workflow Validation</w:t>
      </w:r>
    </w:p>
    <w:p>
      <w:pPr>
        <w:ind w:firstLine="709"/>
        <w:jc w:val="both"/>
        <w:spacing w:before="0" w:after="80"/>
      </w:pPr>
      <w:r>
        <w:rPr>
          <w:rFonts w:ascii="Times New Roman" w:hAnsi="Times New Roman"/>
          <w:b w:val="0"/>
          <w:i w:val="0"/>
          <w:color w:val="000000"/>
          <w:sz w:val="24"/>
        </w:rPr>
        <w:t>Beyond functional SQL verification, the project's success criterion extends to demonstrating that the Next.js frontend correctly reflects database state in real-time and that the full request-response cycle between the browser, the Next.js Server Actions layer, and the PostgreSQL backend operates without perceptible latency. This section documents the live application behavior observed during validation, corroborating the architecture described in Section 3.7 (Front-End Connectivity).</w:t>
      </w:r>
    </w:p>
    <w:p>
      <w:pPr>
        <w:jc w:val="left"/>
        <w:spacing w:before="200" w:after="80"/>
      </w:pPr>
      <w:r>
        <w:rPr>
          <w:rFonts w:ascii="Times New Roman" w:hAnsi="Times New Roman"/>
          <w:b/>
          <w:i w:val="0"/>
          <w:color w:val="000000"/>
          <w:sz w:val="24"/>
        </w:rPr>
        <w:t>4.2.1  Dashboard Layout: Responsive Bento Box Architecture</w:t>
      </w:r>
    </w:p>
    <w:p>
      <w:pPr>
        <w:ind w:firstLine="709"/>
        <w:jc w:val="both"/>
        <w:spacing w:before="0" w:after="80"/>
      </w:pPr>
      <w:r>
        <w:rPr>
          <w:rFonts w:ascii="Times New Roman" w:hAnsi="Times New Roman"/>
          <w:b w:val="0"/>
          <w:i w:val="0"/>
          <w:color w:val="000000"/>
          <w:sz w:val="24"/>
        </w:rPr>
        <w:t>The CareReserve frontend, hosted at the project repository (https://github.com/Rohann29/CareReserve), is built with Next.js (App Router) and adopts a responsive Bento Box grid layout. This design pattern segments the dashboard into distinct, purpose-driven tiles that reflow fluidly across desktop, tablet, and mobile viewports. Three primary components are rendered on the main dashboard:</w:t>
      </w:r>
    </w:p>
    <w:p>
      <w:pPr>
        <w:pStyle w:val="ListBullet"/>
        <w:jc w:val="both"/>
      </w:pPr>
      <w:r>
        <w:rPr>
          <w:rFonts w:ascii="Times New Roman" w:hAnsi="Times New Roman"/>
          <w:b w:val="0"/>
          <w:i w:val="0"/>
          <w:color w:val="000000"/>
          <w:sz w:val="24"/>
        </w:rPr>
        <w:t>Hospital Branches Panel: Fetches and displays each branch's name, city, and real-time capacity utilization. Capacity is derived from a live COUNT query against the surgery_booking table, ensuring the displayed figure always reflects the current number of active reservations at that branch.</w:t>
      </w:r>
    </w:p>
    <w:p>
      <w:pPr>
        <w:pStyle w:val="ListBullet"/>
        <w:jc w:val="both"/>
      </w:pPr>
      <w:r>
        <w:rPr>
          <w:rFonts w:ascii="Times New Roman" w:hAnsi="Times New Roman"/>
          <w:b w:val="0"/>
          <w:i w:val="0"/>
          <w:color w:val="000000"/>
          <w:sz w:val="24"/>
        </w:rPr>
        <w:t>Schedule Surgery Form: Provides input fields for Patient ID, Operating Theater ID, and Scheduled Start datetime. On submission, the form invokes a Next.js Server Action that executes a parameterized INSERT into surgery_booking, bypassing a traditional REST API layer entirely.</w:t>
      </w:r>
    </w:p>
    <w:p>
      <w:pPr>
        <w:pStyle w:val="ListBullet"/>
        <w:jc w:val="both"/>
      </w:pPr>
      <w:r>
        <w:rPr>
          <w:rFonts w:ascii="Times New Roman" w:hAnsi="Times New Roman"/>
          <w:b w:val="0"/>
          <w:i w:val="0"/>
          <w:color w:val="000000"/>
          <w:sz w:val="24"/>
        </w:rPr>
        <w:t>Emergency Override Panel: A dedicated control surface for urgent, out-of-band bookings that supersede standard scheduling rules. This panel executes a high-priority variant of the booking Server Action, flagging the inserted record with an emergency indicator for immediate clinical attention.</w:t>
      </w:r>
    </w:p>
    <w:p>
      <w:pPr>
        <w:jc w:val="left"/>
        <w:spacing w:before="200" w:after="80"/>
      </w:pPr>
      <w:r>
        <w:rPr>
          <w:rFonts w:ascii="Times New Roman" w:hAnsi="Times New Roman"/>
          <w:b/>
          <w:i w:val="0"/>
          <w:color w:val="000000"/>
          <w:sz w:val="24"/>
        </w:rPr>
        <w:t>4.2.2  Active OTs Feed: Empty-State Behaviour</w:t>
      </w:r>
    </w:p>
    <w:p>
      <w:pPr>
        <w:ind w:firstLine="709"/>
        <w:jc w:val="both"/>
        <w:spacing w:before="0" w:after="80"/>
      </w:pPr>
      <w:r>
        <w:rPr>
          <w:rFonts w:ascii="Times New Roman" w:hAnsi="Times New Roman"/>
          <w:b w:val="0"/>
          <w:i w:val="0"/>
          <w:color w:val="000000"/>
          <w:sz w:val="24"/>
        </w:rPr>
        <w:t>The Active OTs feed presents a continuously updated view of all current surgery_booking records. During system initialization, before any bookings have been submitted, the component executes the following query:</w:t>
      </w:r>
    </w:p>
    <w:p>
      <w:pPr>
        <w:jc w:val="left"/>
      </w:pPr>
      <w:r>
        <w:rPr>
          <w:rFonts w:ascii="Courier New" w:hAnsi="Courier New"/>
          <w:color w:val="202080"/>
          <w:sz w:val="20"/>
        </w:rPr>
        <w:t xml:space="preserve">    SELECT * FROM surgery_booking WHERE status = 'Active';</w:t>
      </w:r>
    </w:p>
    <w:p>
      <w:pPr>
        <w:jc w:val="both"/>
        <w:spacing w:before="0" w:after="80"/>
      </w:pPr>
      <w:r>
        <w:rPr>
          <w:rFonts w:ascii="Times New Roman" w:hAnsi="Times New Roman"/>
          <w:b w:val="0"/>
          <w:i w:val="0"/>
          <w:color w:val="000000"/>
          <w:sz w:val="24"/>
        </w:rPr>
        <w:t>When the result set is empty (i.e., the surgery_booking table contains no rows), the frontend renders the placeholder message: "No active reservations." This empty-state handling was validated immediately after schema creation, confirming that the Server Action correctly propagates a null result set to the React component and that the component's conditional rendering branch executes as expected.</w:t>
      </w:r>
    </w:p>
    <w:p>
      <w:pPr>
        <w:jc w:val="left"/>
        <w:spacing w:before="200" w:after="80"/>
      </w:pPr>
      <w:r>
        <w:rPr>
          <w:rFonts w:ascii="Times New Roman" w:hAnsi="Times New Roman"/>
          <w:b/>
          <w:i w:val="0"/>
          <w:color w:val="000000"/>
          <w:sz w:val="24"/>
        </w:rPr>
        <w:t>4.2.3  Real-Time Booking: Server Actions Connectivity Validation</w:t>
      </w:r>
    </w:p>
    <w:p>
      <w:pPr>
        <w:ind w:firstLine="709"/>
        <w:jc w:val="both"/>
        <w:spacing w:before="0" w:after="80"/>
      </w:pPr>
      <w:r>
        <w:rPr>
          <w:rFonts w:ascii="Times New Roman" w:hAnsi="Times New Roman"/>
          <w:b w:val="0"/>
          <w:i w:val="0"/>
          <w:color w:val="000000"/>
          <w:sz w:val="24"/>
        </w:rPr>
        <w:t>The core integration test involved submitting the Schedule Surgery form with the following representative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49"/>
        <w:gridCol w:w="4549"/>
      </w:tblGrid>
      <w:tr>
        <w:tc>
          <w:tcPr>
            <w:tcW w:type="dxa" w:w="2880"/>
            <w:shd w:val="clear" w:color="auto" w:fill="D9D9D9"/>
            <w:vAlign w:val="center"/>
          </w:tcPr>
          <w:p>
            <w:pPr>
              <w:jc w:val="center"/>
            </w:pPr>
            <w:r>
              <w:rPr>
                <w:rFonts w:ascii="Times New Roman" w:hAnsi="Times New Roman"/>
                <w:b/>
                <w:i w:val="0"/>
                <w:color w:val="000000"/>
                <w:sz w:val="22"/>
              </w:rPr>
              <w:t>Form Field</w:t>
            </w:r>
          </w:p>
        </w:tc>
        <w:tc>
          <w:tcPr>
            <w:tcW w:type="dxa" w:w="6192"/>
            <w:shd w:val="clear" w:color="auto" w:fill="D9D9D9"/>
            <w:vAlign w:val="center"/>
          </w:tcPr>
          <w:p>
            <w:pPr>
              <w:jc w:val="center"/>
            </w:pPr>
            <w:r>
              <w:rPr>
                <w:rFonts w:ascii="Times New Roman" w:hAnsi="Times New Roman"/>
                <w:b/>
                <w:i w:val="0"/>
                <w:color w:val="000000"/>
                <w:sz w:val="22"/>
              </w:rPr>
              <w:t>Value Submitted</w:t>
            </w:r>
          </w:p>
        </w:tc>
      </w:tr>
      <w:tr>
        <w:tc>
          <w:tcPr>
            <w:tcW w:type="dxa" w:w="2880"/>
            <w:shd w:val="clear" w:color="auto" w:fill="FFFFFF"/>
            <w:vAlign w:val="center"/>
          </w:tcPr>
          <w:p>
            <w:pPr>
              <w:jc w:val="center"/>
            </w:pPr>
            <w:r>
              <w:rPr>
                <w:rFonts w:ascii="Times New Roman" w:hAnsi="Times New Roman"/>
                <w:b w:val="0"/>
                <w:i w:val="0"/>
                <w:color w:val="000000"/>
                <w:sz w:val="22"/>
              </w:rPr>
              <w:t>Patient ID</w:t>
            </w:r>
          </w:p>
        </w:tc>
        <w:tc>
          <w:tcPr>
            <w:tcW w:type="dxa" w:w="6192"/>
            <w:shd w:val="clear" w:color="auto" w:fill="FFFFFF"/>
            <w:vAlign w:val="center"/>
          </w:tcPr>
          <w:p>
            <w:pPr>
              <w:jc w:val="center"/>
            </w:pPr>
            <w:r>
              <w:rPr>
                <w:rFonts w:ascii="Times New Roman" w:hAnsi="Times New Roman"/>
                <w:b w:val="0"/>
                <w:i w:val="0"/>
                <w:color w:val="000000"/>
                <w:sz w:val="22"/>
              </w:rPr>
              <w:t>3  (Arjun Mehta)</w:t>
            </w:r>
          </w:p>
        </w:tc>
      </w:tr>
      <w:tr>
        <w:tc>
          <w:tcPr>
            <w:tcW w:type="dxa" w:w="2880"/>
            <w:shd w:val="clear" w:color="auto" w:fill="F2F2F2"/>
            <w:vAlign w:val="center"/>
          </w:tcPr>
          <w:p>
            <w:pPr>
              <w:jc w:val="center"/>
            </w:pPr>
            <w:r>
              <w:rPr>
                <w:rFonts w:ascii="Times New Roman" w:hAnsi="Times New Roman"/>
                <w:b w:val="0"/>
                <w:i w:val="0"/>
                <w:color w:val="000000"/>
                <w:sz w:val="22"/>
              </w:rPr>
              <w:t>Operating Theater</w:t>
            </w:r>
          </w:p>
        </w:tc>
        <w:tc>
          <w:tcPr>
            <w:tcW w:type="dxa" w:w="6192"/>
            <w:shd w:val="clear" w:color="auto" w:fill="F2F2F2"/>
            <w:vAlign w:val="center"/>
          </w:tcPr>
          <w:p>
            <w:pPr>
              <w:jc w:val="center"/>
            </w:pPr>
            <w:r>
              <w:rPr>
                <w:rFonts w:ascii="Times New Roman" w:hAnsi="Times New Roman"/>
                <w:b w:val="0"/>
                <w:i w:val="0"/>
                <w:color w:val="000000"/>
                <w:sz w:val="22"/>
              </w:rPr>
              <w:t>1  (OT-101, Apex -- Cardiothoracic &amp; Vascular)</w:t>
            </w:r>
          </w:p>
        </w:tc>
      </w:tr>
      <w:tr>
        <w:tc>
          <w:tcPr>
            <w:tcW w:type="dxa" w:w="2880"/>
            <w:shd w:val="clear" w:color="auto" w:fill="FFFFFF"/>
            <w:vAlign w:val="center"/>
          </w:tcPr>
          <w:p>
            <w:pPr>
              <w:jc w:val="center"/>
            </w:pPr>
            <w:r>
              <w:rPr>
                <w:rFonts w:ascii="Times New Roman" w:hAnsi="Times New Roman"/>
                <w:b w:val="0"/>
                <w:i w:val="0"/>
                <w:color w:val="000000"/>
                <w:sz w:val="22"/>
              </w:rPr>
              <w:t>Scheduled Start</w:t>
            </w:r>
          </w:p>
        </w:tc>
        <w:tc>
          <w:tcPr>
            <w:tcW w:type="dxa" w:w="6192"/>
            <w:shd w:val="clear" w:color="auto" w:fill="FFFFFF"/>
            <w:vAlign w:val="center"/>
          </w:tcPr>
          <w:p>
            <w:pPr>
              <w:jc w:val="center"/>
            </w:pPr>
            <w:r>
              <w:rPr>
                <w:rFonts w:ascii="Times New Roman" w:hAnsi="Times New Roman"/>
                <w:b w:val="0"/>
                <w:i w:val="0"/>
                <w:color w:val="000000"/>
                <w:sz w:val="22"/>
              </w:rPr>
              <w:t>2024-12-15  09:00</w:t>
            </w:r>
          </w:p>
        </w:tc>
      </w:tr>
    </w:tbl>
    <w:p>
      <w:pPr>
        <w:spacing w:before="6" w:after="6"/>
      </w:pPr>
    </w:p>
    <w:p>
      <w:pPr>
        <w:jc w:val="both"/>
        <w:spacing w:before="0" w:after="80"/>
      </w:pPr>
      <w:r>
        <w:rPr>
          <w:rFonts w:ascii="Times New Roman" w:hAnsi="Times New Roman"/>
          <w:b w:val="0"/>
          <w:i w:val="0"/>
          <w:color w:val="000000"/>
          <w:sz w:val="24"/>
        </w:rPr>
        <w:t>Upon clicking Submit, the following sequence was observed and validated:</w:t>
      </w:r>
    </w:p>
    <w:p>
      <w:pPr>
        <w:jc w:val="both"/>
        <w:spacing w:before="60" w:after="60"/>
      </w:pPr>
      <w:r>
        <w:rPr>
          <w:rFonts w:ascii="Times New Roman" w:hAnsi="Times New Roman"/>
          <w:b/>
          <w:i w:val="0"/>
          <w:color w:val="000000"/>
          <w:sz w:val="24"/>
        </w:rPr>
        <w:t xml:space="preserve">1. Server Action Invocation:  </w:t>
      </w:r>
      <w:r>
        <w:rPr>
          <w:rFonts w:ascii="Times New Roman" w:hAnsi="Times New Roman"/>
          <w:b w:val="0"/>
          <w:i w:val="0"/>
          <w:color w:val="000000"/>
          <w:sz w:val="24"/>
        </w:rPr>
        <w:t>The Next.js runtime serialized the form data and dispatched it to the designated createBooking Server Action, executing entirely on the server with no client-side fetch call required.</w:t>
      </w:r>
    </w:p>
    <w:p>
      <w:pPr>
        <w:jc w:val="both"/>
        <w:spacing w:before="60" w:after="60"/>
      </w:pPr>
      <w:r>
        <w:rPr>
          <w:rFonts w:ascii="Times New Roman" w:hAnsi="Times New Roman"/>
          <w:b/>
          <w:i w:val="0"/>
          <w:color w:val="000000"/>
          <w:sz w:val="24"/>
        </w:rPr>
        <w:t xml:space="preserve">2. Parameterized INSERT Execution:  </w:t>
      </w:r>
      <w:r>
        <w:rPr>
          <w:rFonts w:ascii="Times New Roman" w:hAnsi="Times New Roman"/>
          <w:b w:val="0"/>
          <w:i w:val="0"/>
          <w:color w:val="000000"/>
          <w:sz w:val="24"/>
        </w:rPr>
        <w:t>The Server Action constructed and executed a parameterized SQL INSERT against the PostgreSQL surgery_booking table using the pg client, preventing SQL injection by design.</w:t>
      </w:r>
    </w:p>
    <w:p>
      <w:pPr>
        <w:jc w:val="both"/>
        <w:spacing w:before="60" w:after="60"/>
      </w:pPr>
      <w:r>
        <w:rPr>
          <w:rFonts w:ascii="Times New Roman" w:hAnsi="Times New Roman"/>
          <w:b/>
          <w:i w:val="0"/>
          <w:color w:val="000000"/>
          <w:sz w:val="24"/>
        </w:rPr>
        <w:t xml:space="preserve">3. Cache Revalidation:  </w:t>
      </w:r>
      <w:r>
        <w:rPr>
          <w:rFonts w:ascii="Times New Roman" w:hAnsi="Times New Roman"/>
          <w:b w:val="0"/>
          <w:i w:val="0"/>
          <w:color w:val="000000"/>
          <w:sz w:val="24"/>
        </w:rPr>
        <w:t>After a successful INSERT, the Server Action invoked revalidatePath('/'), instructing Next.js to invalidate the cached page data and trigger a fresh server-side render of the Active OTs feed component.</w:t>
      </w:r>
    </w:p>
    <w:p>
      <w:pPr>
        <w:jc w:val="both"/>
        <w:spacing w:before="60" w:after="60"/>
      </w:pPr>
      <w:r>
        <w:rPr>
          <w:rFonts w:ascii="Times New Roman" w:hAnsi="Times New Roman"/>
          <w:b/>
          <w:i w:val="0"/>
          <w:color w:val="000000"/>
          <w:sz w:val="24"/>
        </w:rPr>
        <w:t xml:space="preserve">4. Instant UI Update:  </w:t>
      </w:r>
      <w:r>
        <w:rPr>
          <w:rFonts w:ascii="Times New Roman" w:hAnsi="Times New Roman"/>
          <w:b w:val="0"/>
          <w:i w:val="0"/>
          <w:color w:val="000000"/>
          <w:sz w:val="24"/>
        </w:rPr>
        <w:t>The Active OTs panel populated with the new booking record -- displaying patient name, theater code, and scheduled time -- without requiring a manual page refresh. This confirmed end-to-end real-time connectivity between the React frontend and the PostgreSQL backend.</w:t>
      </w:r>
    </w:p>
    <w:p>
      <w:pPr>
        <w:ind w:firstLine="709"/>
        <w:jc w:val="both"/>
        <w:spacing w:before="0" w:after="80"/>
      </w:pPr>
      <w:r>
        <w:rPr>
          <w:rFonts w:ascii="Times New Roman" w:hAnsi="Times New Roman"/>
          <w:b w:val="0"/>
          <w:i w:val="0"/>
          <w:color w:val="000000"/>
          <w:sz w:val="24"/>
        </w:rPr>
        <w:t>The successful completion of this test validates that the full technology stack -- PostgreSQL schema design, Next.js Server Actions, and React component rendering -- functions as an integrated, real-time surgical booking system, meeting all objectives stated in Chapter 1.</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