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Times New Roman" w:hAnsi="Times New Roman"/>
          <w:b w:val="0"/>
          <w:i w:val="0"/>
          <w:sz w:val="40"/>
        </w:rPr>
        <w:t>Code Comprehension and Debugging Platform</w:t>
        <w:br/>
        <w:t>Using RAG</w:t>
      </w:r>
    </w:p>
    <w:tbl>
      <w:tblPr>
        <w:tblW w:type="auto" w:w="0"/>
        <w:tblLayout w:type="fixed"/>
        <w:tblLook w:firstColumn="1" w:firstRow="1" w:lastColumn="0" w:lastRow="0" w:noHBand="0" w:noVBand="1" w:val="04A0"/>
      </w:tblPr>
      <w:tblGrid>
        <w:gridCol w:w="3289"/>
        <w:gridCol w:w="3289"/>
        <w:gridCol w:w="3289"/>
      </w:tblGrid>
      <w:tr>
        <w:tc>
          <w:tcPr>
            <w:tcW w:type="dxa" w:w="3288"/>
            <w:tcBorders>
              <w:top w:val="none"/>
              <w:left w:val="none"/>
              <w:bottom w:val="none"/>
              <w:right w:val="none"/>
              <w:insideH w:val="none"/>
              <w:insideV w:val="none"/>
            </w:tcBorders>
          </w:tcPr>
          <w:p>
            <w:pPr>
              <w:spacing w:before="0" w:after="0" w:line="220" w:lineRule="exact"/>
              <w:jc w:val="center"/>
            </w:pPr>
            <w:r>
              <w:rPr>
                <w:rFonts w:ascii="Times New Roman" w:hAnsi="Times New Roman"/>
                <w:b w:val="0"/>
                <w:i/>
                <w:sz w:val="18"/>
              </w:rPr>
              <w:t>Karnala Akaniksha</w:t>
              <w:br/>
            </w:r>
            <w:r>
              <w:rPr>
                <w:rFonts w:ascii="Times New Roman" w:hAnsi="Times New Roman"/>
                <w:b w:val="0"/>
                <w:i/>
                <w:sz w:val="18"/>
              </w:rPr>
              <w:t>Computer Science and Engineering (AI</w:t>
              <w:br/>
              <w:t>&amp; ML)</w:t>
              <w:br/>
            </w:r>
            <w:r>
              <w:rPr>
                <w:rFonts w:ascii="Times New Roman" w:hAnsi="Times New Roman"/>
                <w:b w:val="0"/>
                <w:i/>
                <w:sz w:val="18"/>
              </w:rPr>
              <w:t>Nalla Malla Reddy Engineering</w:t>
              <w:br/>
              <w:t>College</w:t>
              <w:br/>
            </w:r>
            <w:r>
              <w:rPr>
                <w:rFonts w:ascii="Times New Roman" w:hAnsi="Times New Roman"/>
                <w:b w:val="0"/>
                <w:i/>
                <w:sz w:val="18"/>
              </w:rPr>
              <w:t>Hyderabad, India</w:t>
              <w:br/>
            </w:r>
            <w:r>
              <w:rPr>
                <w:rFonts w:ascii="Times New Roman" w:hAnsi="Times New Roman"/>
                <w:b w:val="0"/>
                <w:i w:val="0"/>
                <w:sz w:val="18"/>
              </w:rPr>
              <w:t>karnalaakaniksha11@nmrec.edu.in</w:t>
            </w:r>
          </w:p>
        </w:tc>
        <w:tc>
          <w:tcPr>
            <w:tcW w:type="dxa" w:w="3288"/>
            <w:tcBorders>
              <w:top w:val="none"/>
              <w:left w:val="none"/>
              <w:bottom w:val="none"/>
              <w:right w:val="none"/>
              <w:insideH w:val="none"/>
              <w:insideV w:val="none"/>
            </w:tcBorders>
          </w:tcPr>
          <w:p>
            <w:pPr>
              <w:spacing w:before="0" w:after="0" w:line="220" w:lineRule="exact"/>
              <w:jc w:val="center"/>
            </w:pPr>
            <w:r>
              <w:rPr>
                <w:rFonts w:ascii="Times New Roman" w:hAnsi="Times New Roman"/>
                <w:b w:val="0"/>
                <w:i/>
                <w:sz w:val="18"/>
              </w:rPr>
              <w:t>Kommu Tharun Kumar</w:t>
              <w:br/>
            </w:r>
            <w:r>
              <w:rPr>
                <w:rFonts w:ascii="Times New Roman" w:hAnsi="Times New Roman"/>
                <w:b w:val="0"/>
                <w:i/>
                <w:sz w:val="18"/>
              </w:rPr>
              <w:t>Computer Science and Engineering (AI</w:t>
              <w:br/>
              <w:t>&amp; ML)</w:t>
              <w:br/>
            </w:r>
            <w:r>
              <w:rPr>
                <w:rFonts w:ascii="Times New Roman" w:hAnsi="Times New Roman"/>
                <w:b w:val="0"/>
                <w:i/>
                <w:sz w:val="18"/>
              </w:rPr>
              <w:t>Nalla Malla Reddy Engineering</w:t>
              <w:br/>
              <w:t>College</w:t>
              <w:br/>
            </w:r>
            <w:r>
              <w:rPr>
                <w:rFonts w:ascii="Times New Roman" w:hAnsi="Times New Roman"/>
                <w:b w:val="0"/>
                <w:i/>
                <w:sz w:val="18"/>
              </w:rPr>
              <w:t>Hyderabad, India</w:t>
              <w:br/>
            </w:r>
            <w:r>
              <w:rPr>
                <w:rFonts w:ascii="Times New Roman" w:hAnsi="Times New Roman"/>
                <w:b w:val="0"/>
                <w:i w:val="0"/>
                <w:sz w:val="18"/>
              </w:rPr>
              <w:t>tharun28k@gmail.com</w:t>
            </w:r>
          </w:p>
        </w:tc>
        <w:tc>
          <w:tcPr>
            <w:tcW w:type="dxa" w:w="3288"/>
            <w:tcBorders>
              <w:top w:val="none"/>
              <w:left w:val="none"/>
              <w:bottom w:val="none"/>
              <w:right w:val="none"/>
              <w:insideH w:val="none"/>
              <w:insideV w:val="none"/>
            </w:tcBorders>
          </w:tcPr>
          <w:p>
            <w:pPr>
              <w:spacing w:before="0" w:after="0" w:line="220" w:lineRule="exact"/>
              <w:jc w:val="center"/>
            </w:pPr>
            <w:r>
              <w:rPr>
                <w:rFonts w:ascii="Times New Roman" w:hAnsi="Times New Roman"/>
                <w:b w:val="0"/>
                <w:i/>
                <w:sz w:val="18"/>
              </w:rPr>
              <w:t>Ajmeera Rakesh Kumar</w:t>
              <w:br/>
            </w:r>
            <w:r>
              <w:rPr>
                <w:rFonts w:ascii="Times New Roman" w:hAnsi="Times New Roman"/>
                <w:b w:val="0"/>
                <w:i/>
                <w:sz w:val="18"/>
              </w:rPr>
              <w:t>Computer Science and Engineering (AI</w:t>
              <w:br/>
              <w:t>&amp; ML)</w:t>
              <w:br/>
            </w:r>
            <w:r>
              <w:rPr>
                <w:rFonts w:ascii="Times New Roman" w:hAnsi="Times New Roman"/>
                <w:b w:val="0"/>
                <w:i/>
                <w:sz w:val="18"/>
              </w:rPr>
              <w:t>Nalla Malla Reddy Engineering</w:t>
              <w:br/>
              <w:t>College</w:t>
              <w:br/>
            </w:r>
            <w:r>
              <w:rPr>
                <w:rFonts w:ascii="Times New Roman" w:hAnsi="Times New Roman"/>
                <w:b w:val="0"/>
                <w:i/>
                <w:sz w:val="18"/>
              </w:rPr>
              <w:t>Hyderabad, India</w:t>
              <w:br/>
            </w:r>
            <w:r>
              <w:rPr>
                <w:rFonts w:ascii="Times New Roman" w:hAnsi="Times New Roman"/>
                <w:b w:val="0"/>
                <w:i w:val="0"/>
                <w:sz w:val="18"/>
              </w:rPr>
              <w:t>ajmeerarakeshkumar@gmail.com</w:t>
            </w:r>
          </w:p>
        </w:tc>
      </w:tr>
      <w:tr>
        <w:tc>
          <w:tcPr>
            <w:tcW w:type="dxa" w:w="3288"/>
            <w:tcBorders>
              <w:top w:val="none"/>
              <w:left w:val="none"/>
              <w:bottom w:val="none"/>
              <w:right w:val="none"/>
              <w:insideH w:val="none"/>
              <w:insideV w:val="none"/>
            </w:tcBorders>
          </w:tcPr>
          <w:p>
            <w:pPr>
              <w:spacing w:before="160" w:after="0" w:line="220" w:lineRule="exact"/>
              <w:jc w:val="center"/>
            </w:pPr>
            <w:r>
              <w:rPr>
                <w:rFonts w:ascii="Times New Roman" w:hAnsi="Times New Roman"/>
                <w:b w:val="0"/>
                <w:i/>
                <w:sz w:val="18"/>
              </w:rPr>
              <w:t>Ranga Rohan</w:t>
              <w:br/>
            </w:r>
            <w:r>
              <w:rPr>
                <w:rFonts w:ascii="Times New Roman" w:hAnsi="Times New Roman"/>
                <w:b w:val="0"/>
                <w:i/>
                <w:sz w:val="18"/>
              </w:rPr>
              <w:t>Computer Science and Engineering (AI</w:t>
              <w:br/>
              <w:t>&amp; ML)</w:t>
              <w:br/>
            </w:r>
            <w:r>
              <w:rPr>
                <w:rFonts w:ascii="Times New Roman" w:hAnsi="Times New Roman"/>
                <w:b w:val="0"/>
                <w:i/>
                <w:sz w:val="18"/>
              </w:rPr>
              <w:t>Nalla Malla Reddy Engineering</w:t>
              <w:br/>
              <w:t>College</w:t>
              <w:br/>
            </w:r>
            <w:r>
              <w:rPr>
                <w:rFonts w:ascii="Times New Roman" w:hAnsi="Times New Roman"/>
                <w:b w:val="0"/>
                <w:i/>
                <w:sz w:val="18"/>
              </w:rPr>
              <w:t>Hyderabad, India</w:t>
              <w:br/>
            </w:r>
            <w:r>
              <w:rPr>
                <w:rFonts w:ascii="Times New Roman" w:hAnsi="Times New Roman"/>
                <w:b w:val="0"/>
                <w:i w:val="0"/>
                <w:sz w:val="18"/>
              </w:rPr>
              <w:t>uniquerohankumar@gmail.com</w:t>
            </w:r>
          </w:p>
        </w:tc>
        <w:tc>
          <w:tcPr>
            <w:tcW w:type="dxa" w:w="3288"/>
            <w:tcBorders>
              <w:top w:val="none"/>
              <w:left w:val="none"/>
              <w:bottom w:val="none"/>
              <w:right w:val="none"/>
              <w:insideH w:val="none"/>
              <w:insideV w:val="none"/>
            </w:tcBorders>
          </w:tcPr>
          <w:p>
            <w:pPr>
              <w:spacing w:before="160" w:after="0" w:line="220" w:lineRule="exact"/>
              <w:jc w:val="center"/>
            </w:pPr>
            <w:r>
              <w:rPr>
                <w:rFonts w:ascii="Times New Roman" w:hAnsi="Times New Roman"/>
                <w:b w:val="0"/>
                <w:i/>
                <w:sz w:val="18"/>
              </w:rPr>
              <w:t>Baswapathiruni Krishna Kumar</w:t>
              <w:br/>
            </w:r>
            <w:r>
              <w:rPr>
                <w:rFonts w:ascii="Times New Roman" w:hAnsi="Times New Roman"/>
                <w:b w:val="0"/>
                <w:i/>
                <w:sz w:val="18"/>
              </w:rPr>
              <w:t>Computer Science and Engineering (AI</w:t>
              <w:br/>
              <w:t>&amp; ML)</w:t>
              <w:br/>
            </w:r>
            <w:r>
              <w:rPr>
                <w:rFonts w:ascii="Times New Roman" w:hAnsi="Times New Roman"/>
                <w:b w:val="0"/>
                <w:i/>
                <w:sz w:val="18"/>
              </w:rPr>
              <w:t>Nalla Malla Reddy Engineering</w:t>
              <w:br/>
              <w:t>College</w:t>
              <w:br/>
            </w:r>
            <w:r>
              <w:rPr>
                <w:rFonts w:ascii="Times New Roman" w:hAnsi="Times New Roman"/>
                <w:b w:val="0"/>
                <w:i/>
                <w:sz w:val="18"/>
              </w:rPr>
              <w:t>Hyderabad, India</w:t>
              <w:br/>
            </w:r>
            <w:r>
              <w:rPr>
                <w:rFonts w:ascii="Times New Roman" w:hAnsi="Times New Roman"/>
                <w:b w:val="0"/>
                <w:i w:val="0"/>
                <w:sz w:val="18"/>
              </w:rPr>
              <w:t>krishnakumar.cse@nmrec.edu.in</w:t>
            </w:r>
          </w:p>
        </w:tc>
        <w:tc>
          <w:tcPr>
            <w:tcW w:type="dxa" w:w="3288"/>
            <w:tcBorders>
              <w:top w:val="none"/>
              <w:left w:val="none"/>
              <w:bottom w:val="none"/>
              <w:right w:val="none"/>
              <w:insideH w:val="none"/>
              <w:insideV w:val="none"/>
            </w:tcBorders>
          </w:tcPr>
          <w:p>
            <w:pPr>
              <w:spacing w:before="160" w:after="0" w:line="220" w:lineRule="exact"/>
              <w:jc w:val="center"/>
            </w:pPr>
            <w:r>
              <w:rPr>
                <w:rFonts w:ascii="Times New Roman" w:hAnsi="Times New Roman"/>
                <w:b w:val="0"/>
                <w:i/>
                <w:sz w:val="18"/>
              </w:rPr>
              <w:t>S. Ramchandra Reddy</w:t>
              <w:br/>
            </w:r>
            <w:r>
              <w:rPr>
                <w:rFonts w:ascii="Times New Roman" w:hAnsi="Times New Roman"/>
                <w:b w:val="0"/>
                <w:i/>
                <w:sz w:val="18"/>
              </w:rPr>
              <w:t>Computer Science and Engineering (AI</w:t>
              <w:br/>
              <w:t>&amp; ML)</w:t>
              <w:br/>
            </w:r>
            <w:r>
              <w:rPr>
                <w:rFonts w:ascii="Times New Roman" w:hAnsi="Times New Roman"/>
                <w:b w:val="0"/>
                <w:i/>
                <w:sz w:val="18"/>
              </w:rPr>
              <w:t>Nalla Malla Reddy Engineering</w:t>
              <w:br/>
              <w:t>College</w:t>
              <w:br/>
            </w:r>
            <w:r>
              <w:rPr>
                <w:rFonts w:ascii="Times New Roman" w:hAnsi="Times New Roman"/>
                <w:b w:val="0"/>
                <w:i/>
                <w:sz w:val="18"/>
              </w:rPr>
              <w:t>Hyderabad, India</w:t>
              <w:br/>
            </w:r>
            <w:r>
              <w:rPr>
                <w:rFonts w:ascii="Times New Roman" w:hAnsi="Times New Roman"/>
                <w:b w:val="0"/>
                <w:i w:val="0"/>
                <w:sz w:val="18"/>
              </w:rPr>
              <w:t>rcreddy79@gmail.com</w:t>
            </w:r>
          </w:p>
        </w:tc>
      </w:tr>
    </w:tbl>
    <w:p>
      <w:pPr>
        <w:spacing w:before="160" w:after="0"/>
      </w:pPr>
    </w:p>
    <w:p>
      <w:pPr>
        <w:sectPr>
          <w:pgSz w:w="11906" w:h="16838"/>
          <w:pgMar w:top="1134" w:right="1020" w:bottom="1247" w:left="1020" w:header="720" w:footer="720" w:gutter="0"/>
          <w:cols w:space="720"/>
          <w:docGrid w:linePitch="360"/>
        </w:sectPr>
      </w:pPr>
    </w:p>
    <w:p>
      <w:pPr>
        <w:spacing w:before="20" w:after="60" w:line="230" w:lineRule="exact"/>
        <w:jc w:val="both"/>
      </w:pPr>
      <w:r>
        <w:rPr>
          <w:rFonts w:ascii="Times New Roman" w:hAnsi="Times New Roman"/>
          <w:b/>
          <w:i/>
          <w:sz w:val="18"/>
        </w:rPr>
        <w:t>Abstract</w:t>
      </w:r>
      <w:r>
        <w:rPr>
          <w:rFonts w:ascii="Times New Roman" w:hAnsi="Times New Roman"/>
          <w:b w:val="0"/>
          <w:i w:val="0"/>
          <w:sz w:val="18"/>
        </w:rPr>
        <w:t>—Getting to grips with a codebase you've never seen before is one of those tasks that sounds simpler than it actually is. You pull the repository, get it running, and then you're left completely on your own to figure out what any of it actually does. This paper describes CodeSonar, a web-based tool we built specifically to shorten that disorienting gap. A developer pastes a GitHub URL, or uploads a zip file, and within a minute or so gets back a plain-English summary of the whole project, an explanation of each file, a diagram of how the modules relate to each other, a rundown of possible bugs and security gaps, and a chat panel for whatever follow-up questions they still have. Under the hood, it uses Retrieval-Augmented Generation—ranking code segments by relevance before handing any of it to Google’s Gemini 2.5 Flash model—so the responses stay grounded in the actual repository. Nothing is stored on our end, which sidesteps the usual worry about sending proprietary code to an external service. We ran the tool on ten open-source projects of different sizes and found that the explanations rated noticeably better than generic LLM output, especially on projects with sparse or absent documentation.</w:t>
      </w:r>
    </w:p>
    <w:p>
      <w:pPr>
        <w:spacing w:after="60" w:line="230" w:lineRule="exact"/>
        <w:jc w:val="both"/>
      </w:pPr>
      <w:r>
        <w:rPr>
          <w:rFonts w:ascii="Times New Roman" w:hAnsi="Times New Roman"/>
          <w:b/>
          <w:i/>
          <w:sz w:val="18"/>
        </w:rPr>
        <w:t>Keywords—</w:t>
      </w:r>
      <w:r>
        <w:rPr>
          <w:rFonts w:ascii="Times New Roman" w:hAnsi="Times New Roman"/>
          <w:b w:val="0"/>
          <w:i/>
          <w:sz w:val="18"/>
        </w:rPr>
        <w:t>code comprehension, GitHub repository analysis, Retrieval-Augmented Generation, Gemini 2.5 Flash, multi-agent LLM, architecture visualization, complexity analysis, AI-assisted debugging</w:t>
      </w:r>
    </w:p>
    <w:p>
      <w:pPr>
        <w:spacing w:before="80" w:after="20"/>
        <w:jc w:val="center"/>
      </w:pPr>
      <w:r>
        <w:rPr>
          <w:rFonts w:ascii="Times New Roman" w:hAnsi="Times New Roman"/>
          <w:b/>
          <w:i w:val="0"/>
          <w:sz w:val="20"/>
        </w:rPr>
        <w:t>I.   INTRODUCTION</w:t>
      </w:r>
    </w:p>
    <w:p>
      <w:pPr>
        <w:spacing w:before="0" w:after="40" w:line="230" w:lineRule="exact"/>
        <w:jc w:val="both"/>
      </w:pPr>
      <w:r>
        <w:rPr>
          <w:rFonts w:ascii="Times New Roman" w:hAnsi="Times New Roman"/>
          <w:b w:val="0"/>
          <w:i w:val="0"/>
          <w:sz w:val="20"/>
        </w:rPr>
        <w:t>Anyone exploring open-source software quickly runs into a familiar roadblock: you clone a project, get it to compile, and then stare blankly at the folder structure trying to guess how everything wires together. README files almost entirely focus on setup steps. Code comments, if they exist, usually speak to people who are already deeply involved in the project. Unit tests reveal what functions should return, but rarely explain why the architecture was designed that way in the first place. This leaves newcomers feeling like they showed up to a movie during the third act, struggling to piece the plot together without any outside help.</w:t>
      </w:r>
    </w:p>
    <w:p>
      <w:pPr>
        <w:spacing w:before="0" w:after="40" w:line="230" w:lineRule="exact"/>
        <w:jc w:val="both"/>
      </w:pPr>
      <w:r>
        <w:rPr>
          <w:rFonts w:ascii="Times New Roman" w:hAnsi="Times New Roman"/>
          <w:b w:val="0"/>
          <w:i w:val="0"/>
          <w:sz w:val="20"/>
        </w:rPr>
        <w:t>A common misconception is that this confusion mainly affects junior programmers. In reality, even seasoned engineers can lose days trying to build a mental map of a sprawling backend service they just inherited. The core difficulty originates from the sheer volume of material. With platforms like GitHub hosting massive numbers of repositories, nobody has enough time to manually trace every function call just to evaluate if a codebase is worth using or modifying.</w:t>
      </w:r>
    </w:p>
    <w:p>
      <w:pPr>
        <w:spacing w:before="0" w:after="40" w:line="230" w:lineRule="exact"/>
        <w:jc w:val="both"/>
      </w:pPr>
      <w:r>
        <w:rPr>
          <w:rFonts w:ascii="Times New Roman" w:hAnsi="Times New Roman"/>
          <w:b w:val="0"/>
          <w:i w:val="0"/>
          <w:sz w:val="20"/>
        </w:rPr>
        <w:t>Of course, we have traditional static analysis. Linters complain about messy syntax, and scanners loudly warn us about outdated dependencies. Yet all of this happens at a purely mechanical level. A linter cannot look at a messy authentication controller and say, 'Hey, this handles user logins but it's dangerously coupled to the database config.' To get that kind of insight, you traditionally had to bother the original developer. Recently, large language models (LLMs) proved they can do some of this explaining for us. However, if you blindly dump an entire modern repository into a chatbot, the system quickly chokes on the token limits.</w:t>
      </w:r>
    </w:p>
    <w:p>
      <w:pPr>
        <w:spacing w:before="0" w:after="40" w:line="230" w:lineRule="exact"/>
        <w:jc w:val="both"/>
      </w:pPr>
      <w:r>
        <w:rPr>
          <w:rFonts w:ascii="Times New Roman" w:hAnsi="Times New Roman"/>
          <w:b w:val="0"/>
          <w:i w:val="0"/>
          <w:sz w:val="20"/>
        </w:rPr>
        <w:t>We built CodeSonar to navigate around exactly that limitation. Rather than shoving thousands of files into an LLM and crossing our fingers, the system aggressively scores and filters code chunks down to just the highly relevant pieces before asking the AI any questions. By adopting a Retrieval-Augmented Generation (RAG) methodology for repository exploration, we managed to create a web platform that takes a fresh GitHub link and returns a full, human-readable technical breakdown in under two minutes.</w:t>
      </w:r>
    </w:p>
    <w:p>
      <w:pPr>
        <w:spacing w:before="80" w:after="20"/>
        <w:jc w:val="center"/>
      </w:pPr>
      <w:r>
        <w:rPr>
          <w:rFonts w:ascii="Times New Roman" w:hAnsi="Times New Roman"/>
          <w:b/>
          <w:i w:val="0"/>
          <w:sz w:val="20"/>
        </w:rPr>
        <w:t>II.   RELATED WORK</w:t>
      </w:r>
    </w:p>
    <w:p>
      <w:pPr>
        <w:spacing w:before="0" w:after="40" w:line="230" w:lineRule="exact"/>
        <w:jc w:val="both"/>
      </w:pPr>
      <w:r>
        <w:rPr>
          <w:rFonts w:ascii="Times New Roman" w:hAnsi="Times New Roman"/>
          <w:b w:val="0"/>
          <w:i w:val="0"/>
          <w:sz w:val="20"/>
        </w:rPr>
        <w:t>The tools developers already rely on for code quality—SonarQube, ESLint, PMD—are good at what they do, but they stay at the surface level. They check syntax, flag known anti-patterns, and count complexity metrics. What they cannot do is read a function, understand what business requirement it satisfies, and explain that in plain language. Documentation generators like Doxygen and TypeDoc get closer but rely entirely on the quality of comments already written into the source. When those comments are missing, which they often are, the generated output is little more than a formatted list of method signatures.</w:t>
      </w:r>
    </w:p>
    <w:p>
      <w:pPr>
        <w:spacing w:before="0" w:after="40" w:line="230" w:lineRule="exact"/>
        <w:jc w:val="both"/>
      </w:pPr>
      <w:r>
        <w:rPr>
          <w:rFonts w:ascii="Times New Roman" w:hAnsi="Times New Roman"/>
          <w:b w:val="0"/>
          <w:i w:val="0"/>
          <w:sz w:val="20"/>
        </w:rPr>
        <w:t>The arrival of large language models opened a new possibility. Nam et al. [11] showed that LLMs can meaningfully help with code understanding when used interactively, though accuracy dropped noticeably on questions that required context from multiple files at once. Mansur et al. [4] addressed a related problem—automated code repair—by retrieving Stack Overflow posts as context before asking the model to suggest a fix. Their results confirmed something that is now fairly well understood: an LLM with good context produces far better answers than an LLM without it.</w:t>
      </w:r>
    </w:p>
    <w:p>
      <w:pPr>
        <w:spacing w:before="0" w:after="40" w:line="230" w:lineRule="exact"/>
        <w:jc w:val="both"/>
      </w:pPr>
      <w:r>
        <w:rPr>
          <w:rFonts w:ascii="Times New Roman" w:hAnsi="Times New Roman"/>
          <w:b w:val="0"/>
          <w:i w:val="0"/>
          <w:sz w:val="20"/>
        </w:rPr>
        <w:t>What has been explored less is whether the same principle holds for whole-repository comprehension rather than isolated bug fixes. Stojanovic et al. [10] built a multi-agent system for software documentation and found that splitting the task across specialized agents produced qualitatively better output than a single large prompt. Ramasamy et al. [19] analysed dependency structures across public repositories and showed that structural patterns can be inferred automatically from import graphs—a technique we use directly in our architecture diagram generator. Swacha and Gracel [17] surveyed RAG chatbot applications in education and found high satisfaction when responses were grounded in specific material rather than general model knowledge.</w:t>
      </w:r>
    </w:p>
    <w:p>
      <w:pPr>
        <w:spacing w:before="0" w:after="40" w:line="230" w:lineRule="exact"/>
        <w:jc w:val="both"/>
      </w:pPr>
      <w:r>
        <w:rPr>
          <w:rFonts w:ascii="Times New Roman" w:hAnsi="Times New Roman"/>
          <w:b w:val="0"/>
          <w:i w:val="0"/>
          <w:sz w:val="20"/>
        </w:rPr>
        <w:t>Taken together, this body of work points toward the same conclusion we arrived at independently: a system that retrieves relevant code and grounds every answer in actual repository content will outperform both generic LLM prompting and traditional static analysis. What had not been built was an integrated, browser-accessible platform combining retrieval, multi-agent inference, visualization, an interactive chatbot, and privacy-preserving real-time processing in one place. That is what CodeSonar provides.</w:t>
      </w:r>
    </w:p>
    <w:p>
      <w:pPr>
        <w:spacing w:before="80" w:after="20"/>
        <w:jc w:val="center"/>
      </w:pPr>
      <w:r>
        <w:rPr>
          <w:rFonts w:ascii="Times New Roman" w:hAnsi="Times New Roman"/>
          <w:b/>
          <w:i w:val="0"/>
          <w:sz w:val="20"/>
        </w:rPr>
        <w:t>III.   SYSTEM ARCHITECTURE</w:t>
      </w:r>
    </w:p>
    <w:p>
      <w:pPr>
        <w:spacing w:before="0" w:after="40" w:line="230" w:lineRule="exact"/>
        <w:jc w:val="both"/>
      </w:pPr>
      <w:r>
        <w:rPr>
          <w:rFonts w:ascii="Times New Roman" w:hAnsi="Times New Roman"/>
          <w:b w:val="0"/>
          <w:i w:val="0"/>
          <w:sz w:val="20"/>
        </w:rPr>
        <w:t>We chose Next.js 14 partly out of familiarity and partly because its App Router lets you collocate API handlers with the frontend without a separate backend service. The overall structure, shown in Fig. 1, has three layers. The browser side is a React application that manages input and renders results. Two server API routes handle the heavy work: /api/analyze runs the full pipeline when a repository is submitted, and /api/chat handles conversational follow-up. All Gemini API calls go through the server so the key never reaches the browser.</w:t>
      </w:r>
    </w:p>
    <w:p>
      <w:pPr>
        <w:spacing w:before="0" w:after="40" w:line="230" w:lineRule="exact"/>
        <w:jc w:val="both"/>
      </w:pPr>
      <w:r>
        <w:rPr>
          <w:rFonts w:ascii="Times New Roman" w:hAnsi="Times New Roman"/>
          <w:b w:val="0"/>
          <w:i w:val="0"/>
          <w:sz w:val="20"/>
        </w:rPr>
        <w:t>We settled on Gemini 2.5 Flash after trying a few alternatives. It has a large enough context window for our needs, responds fast enough that users don't give up waiting, and is priced reasonably for a project on a student budget. Temperature is set to 0.4 across all five agents—low enough to keep factual claims accurate, high enough that the summaries read like prose rather than bullet-pointed output.</w:t>
      </w:r>
    </w:p>
    <w:p>
      <w:pPr>
        <w:spacing w:before="0" w:after="40" w:line="230" w:lineRule="exact"/>
        <w:jc w:val="both"/>
      </w:pPr>
      <w:r>
        <w:rPr>
          <w:rFonts w:ascii="Times New Roman" w:hAnsi="Times New Roman"/>
          <w:b w:val="0"/>
          <w:i w:val="0"/>
          <w:sz w:val="20"/>
        </w:rPr>
        <w:t>One decision we made early and stuck with: no persistent storage. Repository files are fetched, processed in memory, and then the results are returned. Once the response is sent, nothing is retained on the server. This matters because most of the codebases developers want to understand include code they wouldn't want sitting on someone else's servers. The tradeoff is that running the same repository twice means running the pipeline twice, but with the whole thing finishing under ninety seconds that hasn't been a real complaint.</w:t>
      </w:r>
    </w:p>
    <w:p>
      <w:pPr>
        <w:spacing w:before="80" w:after="20"/>
        <w:jc w:val="center"/>
      </w:pPr>
      <w:r>
        <w:drawing>
          <wp:inline xmlns:a="http://schemas.openxmlformats.org/drawingml/2006/main" xmlns:pic="http://schemas.openxmlformats.org/drawingml/2006/picture">
            <wp:extent cx="2700000" cy="2700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2700000" cy="2700000"/>
                    </a:xfrm>
                    <a:prstGeom prst="rect"/>
                  </pic:spPr>
                </pic:pic>
              </a:graphicData>
            </a:graphic>
          </wp:inline>
        </w:drawing>
      </w:r>
    </w:p>
    <w:p>
      <w:pPr>
        <w:spacing w:before="20" w:after="80"/>
        <w:jc w:val="center"/>
      </w:pPr>
      <w:r>
        <w:rPr>
          <w:rFonts w:ascii="Times New Roman" w:hAnsi="Times New Roman"/>
          <w:b w:val="0"/>
          <w:i/>
          <w:sz w:val="17"/>
        </w:rPr>
        <w:t>Fig. 1. Three-Tier Architecture of the CodeSonar Platform</w:t>
      </w:r>
    </w:p>
    <w:p>
      <w:pPr>
        <w:spacing w:before="80" w:after="20"/>
        <w:jc w:val="center"/>
      </w:pPr>
      <w:r>
        <w:rPr>
          <w:rFonts w:ascii="Times New Roman" w:hAnsi="Times New Roman"/>
          <w:b/>
          <w:i w:val="0"/>
          <w:sz w:val="20"/>
        </w:rPr>
        <w:t>IV.   METHODOLOGY</w:t>
      </w:r>
    </w:p>
    <w:p>
      <w:pPr>
        <w:spacing w:before="0" w:after="40" w:line="230" w:lineRule="exact"/>
        <w:jc w:val="both"/>
      </w:pPr>
      <w:r>
        <w:rPr>
          <w:rFonts w:ascii="Times New Roman" w:hAnsi="Times New Roman"/>
          <w:b w:val="0"/>
          <w:i w:val="0"/>
          <w:sz w:val="20"/>
        </w:rPr>
        <w:t>The pipeline that runs when a URL is submitted goes through five distinct stages. None of them is especially complicated on its own; the value is in running them in order and having each stage feed cleanly into the next.</w:t>
      </w:r>
    </w:p>
    <w:p>
      <w:pPr>
        <w:spacing w:before="60" w:after="20"/>
        <w:jc w:val="left"/>
      </w:pPr>
      <w:r>
        <w:rPr>
          <w:rFonts w:ascii="Times New Roman" w:hAnsi="Times New Roman"/>
          <w:b/>
          <w:i w:val="0"/>
          <w:sz w:val="20"/>
        </w:rPr>
        <w:t>A. Fetching the Repository</w:t>
      </w:r>
    </w:p>
    <w:p>
      <w:pPr>
        <w:spacing w:before="0" w:after="40" w:line="230" w:lineRule="exact"/>
        <w:jc w:val="both"/>
      </w:pPr>
      <w:r>
        <w:rPr>
          <w:rFonts w:ascii="Times New Roman" w:hAnsi="Times New Roman"/>
          <w:b w:val="0"/>
          <w:i w:val="0"/>
          <w:sz w:val="20"/>
        </w:rPr>
        <w:t>Submitting a URL triggers a recursive walk of the GitHub Contents API. Every file in the tree gets fetched and held in memory as a path-to-content map. Binary files and anything over a megabyte are skipped—those are usually assets, not code—and the same logic applies when someone uploads a file directly rather than providing a URL.</w:t>
      </w:r>
    </w:p>
    <w:p>
      <w:pPr>
        <w:spacing w:before="60" w:after="20"/>
        <w:jc w:val="left"/>
      </w:pPr>
      <w:r>
        <w:rPr>
          <w:rFonts w:ascii="Times New Roman" w:hAnsi="Times New Roman"/>
          <w:b/>
          <w:i w:val="0"/>
          <w:sz w:val="20"/>
        </w:rPr>
        <w:t>B. Cleaning Up Before Analysis</w:t>
      </w:r>
    </w:p>
    <w:p>
      <w:pPr>
        <w:spacing w:before="0" w:after="40" w:line="230" w:lineRule="exact"/>
        <w:jc w:val="both"/>
      </w:pPr>
      <w:r>
        <w:rPr>
          <w:rFonts w:ascii="Times New Roman" w:hAnsi="Times New Roman"/>
          <w:b w:val="0"/>
          <w:i w:val="0"/>
          <w:sz w:val="20"/>
        </w:rPr>
        <w:t>A typical JavaScript repository comes with its node_modules directory, several lockfiles, compiled output, source maps, and minified bundles. None of those tell you anything useful about how the project works. Our filtering pass removes anything whose path includes node_modules or lock, or whose extension ends in .min.js or .map. What remains is what a developer would actually sit and read. The total size of that cleaned set is:</w:t>
      </w:r>
    </w:p>
    <w:p>
      <w:pPr>
        <w:spacing w:before="40" w:after="40"/>
        <w:jc w:val="center"/>
      </w:pPr>
      <w:r>
        <w:rPr>
          <w:rFonts w:ascii="Times New Roman" w:hAnsi="Times New Roman"/>
          <w:b w:val="0"/>
          <w:i/>
          <w:sz w:val="21"/>
        </w:rPr>
        <w:t>LOC_total  =  Σ (i = 1 to n)  LOC_i</w:t>
      </w:r>
    </w:p>
    <w:p>
      <w:pPr>
        <w:spacing w:before="0" w:after="40" w:line="230" w:lineRule="exact"/>
        <w:jc w:val="both"/>
      </w:pPr>
      <w:r>
        <w:rPr>
          <w:rFonts w:ascii="Times New Roman" w:hAnsi="Times New Roman"/>
          <w:b w:val="0"/>
          <w:i w:val="0"/>
          <w:sz w:val="20"/>
        </w:rPr>
        <w:t>where LOC_i is simply how many lines the i-th file has, and n stands for the total number of files we decided to keep. This count gets prominently displayed to the user and acts as a baseline metric for our later complexity heuristics.</w:t>
      </w:r>
    </w:p>
    <w:p>
      <w:pPr>
        <w:spacing w:before="60" w:after="20"/>
        <w:jc w:val="left"/>
      </w:pPr>
      <w:r>
        <w:rPr>
          <w:rFonts w:ascii="Times New Roman" w:hAnsi="Times New Roman"/>
          <w:b/>
          <w:i w:val="0"/>
          <w:sz w:val="20"/>
        </w:rPr>
        <w:t>C. Per-File Complexity Estimate</w:t>
      </w:r>
    </w:p>
    <w:p>
      <w:pPr>
        <w:spacing w:before="0" w:after="40" w:line="230" w:lineRule="exact"/>
        <w:jc w:val="both"/>
      </w:pPr>
      <w:r>
        <w:rPr>
          <w:rFonts w:ascii="Times New Roman" w:hAnsi="Times New Roman"/>
          <w:b w:val="0"/>
          <w:i w:val="0"/>
          <w:sz w:val="20"/>
        </w:rPr>
        <w:t>Before handing anything over to the LLM agents, we run a rapid local heuristic on every single file. We essentially just tally up the function declarations F and class definitions K, merging them like so:</w:t>
      </w:r>
    </w:p>
    <w:p>
      <w:pPr>
        <w:spacing w:before="40" w:after="40"/>
        <w:jc w:val="center"/>
      </w:pPr>
      <w:r>
        <w:rPr>
          <w:rFonts w:ascii="Times New Roman" w:hAnsi="Times New Roman"/>
          <w:b w:val="0"/>
          <w:i/>
          <w:sz w:val="21"/>
        </w:rPr>
        <w:t>C_f  =  αF  +  βK</w:t>
      </w:r>
    </w:p>
    <w:p>
      <w:pPr>
        <w:spacing w:before="0" w:after="40" w:line="230" w:lineRule="exact"/>
        <w:jc w:val="both"/>
      </w:pPr>
      <w:r>
        <w:rPr>
          <w:rFonts w:ascii="Times New Roman" w:hAnsi="Times New Roman"/>
          <w:b w:val="0"/>
          <w:i w:val="0"/>
          <w:sz w:val="20"/>
        </w:rPr>
        <w:t>For our purposes, we explicitly set α = 1.0 and β = 2.0. We penalize classes more heavily simply because they tend to carry messy state and inheritance chains, which naturally forces readers to juggle more details in their head. Whenever this equation pushes a file's score too high, our dashboard flags it as a prime target for future refactoring efforts.</w:t>
      </w:r>
    </w:p>
    <w:p>
      <w:pPr>
        <w:spacing w:before="60" w:after="20"/>
        <w:jc w:val="left"/>
      </w:pPr>
      <w:r>
        <w:rPr>
          <w:rFonts w:ascii="Times New Roman" w:hAnsi="Times New Roman"/>
          <w:b/>
          <w:i w:val="0"/>
          <w:sz w:val="20"/>
        </w:rPr>
        <w:t>D. RAG Context Selection</w:t>
      </w:r>
    </w:p>
    <w:p>
      <w:pPr>
        <w:spacing w:before="0" w:after="40" w:line="230" w:lineRule="exact"/>
        <w:jc w:val="both"/>
      </w:pPr>
      <w:r>
        <w:rPr>
          <w:rFonts w:ascii="Times New Roman" w:hAnsi="Times New Roman"/>
          <w:b w:val="0"/>
          <w:i w:val="0"/>
          <w:sz w:val="20"/>
        </w:rPr>
        <w:t>The hardest part of this entire pipeline is isolating exactly which snippets of code to actually feed into the prompt. We tackle this by calculating the cosine similarity across TF-IDF vectors:</w:t>
      </w:r>
    </w:p>
    <w:p>
      <w:pPr>
        <w:spacing w:before="40" w:after="40"/>
        <w:jc w:val="center"/>
      </w:pPr>
      <w:r>
        <w:rPr>
          <w:rFonts w:ascii="Times New Roman" w:hAnsi="Times New Roman"/>
          <w:b w:val="0"/>
          <w:i/>
          <w:sz w:val="21"/>
        </w:rPr>
        <w:t>R(q, d)  =  (q · d)  /  ( ‖q‖ · ‖d‖ )</w:t>
      </w:r>
    </w:p>
    <w:p>
      <w:pPr>
        <w:spacing w:before="0" w:after="40" w:line="230" w:lineRule="exact"/>
        <w:jc w:val="both"/>
      </w:pPr>
      <w:r>
        <w:rPr>
          <w:rFonts w:ascii="Times New Roman" w:hAnsi="Times New Roman"/>
          <w:b w:val="0"/>
          <w:i w:val="0"/>
          <w:sz w:val="20"/>
        </w:rPr>
        <w:t>where q acts as the weighted term vector for whatever the AI agent is asking, while d represents the vector of a specific code chunk. By filtering down to just the top eight matches, we ensure the LLM gets enough immediate context to answer intelligently, without overwhelming the model's attention span with irrelevant noise.</w:t>
      </w:r>
    </w:p>
    <w:p>
      <w:pPr>
        <w:spacing w:before="60" w:after="20"/>
        <w:jc w:val="left"/>
      </w:pPr>
      <w:r>
        <w:rPr>
          <w:rFonts w:ascii="Times New Roman" w:hAnsi="Times New Roman"/>
          <w:b/>
          <w:i w:val="0"/>
          <w:sz w:val="20"/>
        </w:rPr>
        <w:t>E. The Agent Chain</w:t>
      </w:r>
    </w:p>
    <w:p>
      <w:pPr>
        <w:spacing w:before="0" w:after="40" w:line="230" w:lineRule="exact"/>
        <w:jc w:val="both"/>
      </w:pPr>
      <w:r>
        <w:rPr>
          <w:rFonts w:ascii="Times New Roman" w:hAnsi="Times New Roman"/>
          <w:b w:val="0"/>
          <w:i w:val="0"/>
          <w:sz w:val="20"/>
        </w:rPr>
        <w:t>Running everything as one large prompt gave broad but shallow output. Splitting the work into five specialized agents, each with a single clearly stated task, gave noticeably better results.</w:t>
      </w:r>
    </w:p>
    <w:p>
      <w:pPr>
        <w:spacing w:before="0" w:after="40" w:line="230" w:lineRule="exact"/>
        <w:jc w:val="both"/>
      </w:pPr>
      <w:r>
        <w:rPr>
          <w:rFonts w:ascii="Times New Roman" w:hAnsi="Times New Roman"/>
          <w:b w:val="0"/>
          <w:i w:val="0"/>
          <w:sz w:val="20"/>
        </w:rPr>
        <w:t>The Tech Stack Agent inspects imports, config files, and extensions to produce a list of every language, framework, and build tool in the project. It's fairly reliable at separating development dependencies from runtime ones.</w:t>
      </w:r>
    </w:p>
    <w:p>
      <w:pPr>
        <w:spacing w:before="0" w:after="40" w:line="230" w:lineRule="exact"/>
        <w:jc w:val="both"/>
      </w:pPr>
      <w:r>
        <w:rPr>
          <w:rFonts w:ascii="Times New Roman" w:hAnsi="Times New Roman"/>
          <w:b w:val="0"/>
          <w:i w:val="0"/>
          <w:sz w:val="20"/>
        </w:rPr>
        <w:t>The Complexity Agent looks for high coupling between modules, obvious duplication, oversized functions, and test-coverage signals. It outputs a 1–10 score plus a plain-English justification—the kind of read-out a senior engineer might give after an initial pass through the code.</w:t>
      </w:r>
    </w:p>
    <w:p>
      <w:pPr>
        <w:spacing w:before="0" w:after="40" w:line="230" w:lineRule="exact"/>
        <w:jc w:val="both"/>
      </w:pPr>
      <w:r>
        <w:rPr>
          <w:rFonts w:ascii="Times New Roman" w:hAnsi="Times New Roman"/>
          <w:b w:val="0"/>
          <w:i w:val="0"/>
          <w:sz w:val="20"/>
        </w:rPr>
        <w:t>The Improvement Agent works like a code reviewer. It finds specific issues tied to real file paths and line ranges rather than offering vague advice, and categorizes each finding as a security problem, a performance issue, or a refactoring opportunity.</w:t>
      </w:r>
    </w:p>
    <w:p>
      <w:pPr>
        <w:spacing w:before="0" w:after="40" w:line="230" w:lineRule="exact"/>
        <w:jc w:val="both"/>
      </w:pPr>
      <w:r>
        <w:rPr>
          <w:rFonts w:ascii="Times New Roman" w:hAnsi="Times New Roman"/>
          <w:b w:val="0"/>
          <w:i w:val="0"/>
          <w:sz w:val="20"/>
        </w:rPr>
        <w:t>The Bug and Explanation Agent does two things in one pass because both require careful line-level reading. It scans for security vulnerabilities—unsanitized inputs, hardcoded secrets, missing access controls—while also writing a plain-English description of every file's purpose. Combining them saved one API call per file, which matters when you're working within a rate limit of fifteen requests per minute.</w:t>
      </w:r>
    </w:p>
    <w:p>
      <w:pPr>
        <w:spacing w:before="0" w:after="40" w:line="230" w:lineRule="exact"/>
        <w:jc w:val="both"/>
      </w:pPr>
      <w:r>
        <w:rPr>
          <w:rFonts w:ascii="Times New Roman" w:hAnsi="Times New Roman"/>
          <w:b w:val="0"/>
          <w:i w:val="0"/>
          <w:sz w:val="20"/>
        </w:rPr>
        <w:t>The Summary Agent runs last. It reads everything the other four produced and writes a few paragraphs describing the project as a whole: what it is, how it's structured, what the code quality is like, and where a new contributor should start. That summary appears at the top of the dashboard and is what most people read first.</w:t>
      </w:r>
    </w:p>
    <w:p>
      <w:pPr>
        <w:spacing w:before="0" w:after="40" w:line="230" w:lineRule="exact"/>
        <w:jc w:val="both"/>
      </w:pPr>
      <w:r>
        <w:rPr>
          <w:rFonts w:ascii="Times New Roman" w:hAnsi="Times New Roman"/>
          <w:b w:val="0"/>
          <w:i w:val="0"/>
          <w:sz w:val="20"/>
        </w:rPr>
        <w:t>Every agent call follows the same pattern:</w:t>
      </w:r>
    </w:p>
    <w:p>
      <w:pPr>
        <w:spacing w:before="40" w:after="40"/>
        <w:jc w:val="center"/>
      </w:pPr>
      <w:r>
        <w:rPr>
          <w:rFonts w:ascii="Times New Roman" w:hAnsi="Times New Roman"/>
          <w:b w:val="0"/>
          <w:i/>
          <w:sz w:val="21"/>
        </w:rPr>
        <w:t>Output  =  LLM( Query + Context )</w:t>
      </w:r>
    </w:p>
    <w:p>
      <w:pPr>
        <w:spacing w:before="0" w:after="40" w:line="230" w:lineRule="exact"/>
        <w:jc w:val="both"/>
      </w:pPr>
      <w:r>
        <w:rPr>
          <w:rFonts w:ascii="Times New Roman" w:hAnsi="Times New Roman"/>
          <w:b w:val="0"/>
          <w:i w:val="0"/>
          <w:sz w:val="20"/>
        </w:rPr>
        <w:t>All five agents share a single Gemini instance and run sequentially to stay within the rate limit. A shared retry helper catches 429 responses, backs off exponentially starting at eight seconds, and gives up after three attempts.</w:t>
      </w:r>
    </w:p>
    <w:p>
      <w:pPr>
        <w:spacing w:before="60" w:after="20"/>
        <w:jc w:val="left"/>
      </w:pPr>
      <w:r>
        <w:rPr>
          <w:rFonts w:ascii="Times New Roman" w:hAnsi="Times New Roman"/>
          <w:b/>
          <w:i w:val="0"/>
          <w:sz w:val="20"/>
        </w:rPr>
        <w:t>F. Architecture Diagram</w:t>
      </w:r>
    </w:p>
    <w:p>
      <w:pPr>
        <w:spacing w:before="0" w:after="40" w:line="230" w:lineRule="exact"/>
        <w:jc w:val="both"/>
      </w:pPr>
      <w:r>
        <w:rPr>
          <w:rFonts w:ascii="Times New Roman" w:hAnsi="Times New Roman"/>
          <w:b w:val="0"/>
          <w:i w:val="0"/>
          <w:sz w:val="20"/>
        </w:rPr>
        <w:t>While the AI agents are busy running their analysis, a completely parallel backend process scans through the project's import syntax (like 'require' or 'import' statements). It constructs a directed network graph G = (V, E), meaning every single file acts as a vertex while their static dependencies form the edges. We then convert this mathematical graph directly into a Mermaid.js diagram so the frontend can draw an interactive map. Honestly, during informal testing, users loved this feature more than almost anything else. Physically seeing the arrows drawn between modules makes a project so much easier to grasp compared to just reading text.</w:t>
      </w:r>
    </w:p>
    <w:p>
      <w:pPr>
        <w:spacing w:before="60" w:after="20"/>
        <w:jc w:val="left"/>
      </w:pPr>
      <w:r>
        <w:rPr>
          <w:rFonts w:ascii="Times New Roman" w:hAnsi="Times New Roman"/>
          <w:b/>
          <w:i w:val="0"/>
          <w:sz w:val="20"/>
        </w:rPr>
        <w:t>G. End-to-End Pipeline Steps</w:t>
      </w:r>
    </w:p>
    <w:p>
      <w:pPr>
        <w:pStyle w:val="ListNumber"/>
        <w:spacing w:after="20" w:line="230" w:lineRule="exact"/>
        <w:jc w:val="both"/>
      </w:pPr>
      <w:r>
        <w:rPr>
          <w:rFonts w:ascii="Times New Roman" w:hAnsi="Times New Roman"/>
          <w:b w:val="0"/>
          <w:i w:val="0"/>
          <w:sz w:val="20"/>
        </w:rPr>
        <w:t>A user pastes a URL or drags a zip file into the landing page.</w:t>
      </w:r>
    </w:p>
    <w:p>
      <w:pPr>
        <w:pStyle w:val="ListNumber"/>
        <w:spacing w:after="20" w:line="230" w:lineRule="exact"/>
        <w:jc w:val="both"/>
      </w:pPr>
      <w:r>
        <w:rPr>
          <w:rFonts w:ascii="Times New Roman" w:hAnsi="Times New Roman"/>
          <w:b w:val="0"/>
          <w:i w:val="0"/>
          <w:sz w:val="20"/>
        </w:rPr>
        <w:t>Our server reaches out via the GitHub API and downloads the raw tree.</w:t>
      </w:r>
    </w:p>
    <w:p>
      <w:pPr>
        <w:pStyle w:val="ListNumber"/>
        <w:spacing w:after="20" w:line="230" w:lineRule="exact"/>
        <w:jc w:val="both"/>
      </w:pPr>
      <w:r>
        <w:rPr>
          <w:rFonts w:ascii="Times New Roman" w:hAnsi="Times New Roman"/>
          <w:b w:val="0"/>
          <w:i w:val="0"/>
          <w:sz w:val="20"/>
        </w:rPr>
        <w:t>A cleanup script aggressively strips out junk like lockfiles and minified bundles.</w:t>
      </w:r>
    </w:p>
    <w:p>
      <w:pPr>
        <w:pStyle w:val="ListNumber"/>
        <w:spacing w:after="20" w:line="230" w:lineRule="exact"/>
        <w:jc w:val="both"/>
      </w:pPr>
      <w:r>
        <w:rPr>
          <w:rFonts w:ascii="Times New Roman" w:hAnsi="Times New Roman"/>
          <w:b w:val="0"/>
          <w:i w:val="0"/>
          <w:sz w:val="20"/>
        </w:rPr>
        <w:t>The surviving code is chopped into chunks and mathematically ranked for relevance.</w:t>
      </w:r>
    </w:p>
    <w:p>
      <w:pPr>
        <w:pStyle w:val="ListNumber"/>
        <w:spacing w:after="20" w:line="230" w:lineRule="exact"/>
        <w:jc w:val="both"/>
      </w:pPr>
      <w:r>
        <w:rPr>
          <w:rFonts w:ascii="Times New Roman" w:hAnsi="Times New Roman"/>
          <w:b w:val="0"/>
          <w:i w:val="0"/>
          <w:sz w:val="20"/>
        </w:rPr>
        <w:t>The Tech Stack AI runs first, swiftly followed by the Complexity AI.</w:t>
      </w:r>
    </w:p>
    <w:p>
      <w:pPr>
        <w:pStyle w:val="ListNumber"/>
        <w:spacing w:after="20" w:line="230" w:lineRule="exact"/>
        <w:jc w:val="both"/>
      </w:pPr>
      <w:r>
        <w:rPr>
          <w:rFonts w:ascii="Times New Roman" w:hAnsi="Times New Roman"/>
          <w:b w:val="0"/>
          <w:i w:val="0"/>
          <w:sz w:val="20"/>
        </w:rPr>
        <w:t>Next up, the Improvement AI and Bug Explanation agents process the code.</w:t>
      </w:r>
    </w:p>
    <w:p>
      <w:pPr>
        <w:pStyle w:val="ListNumber"/>
        <w:spacing w:after="20" w:line="230" w:lineRule="exact"/>
        <w:jc w:val="both"/>
      </w:pPr>
      <w:r>
        <w:rPr>
          <w:rFonts w:ascii="Times New Roman" w:hAnsi="Times New Roman"/>
          <w:b w:val="0"/>
          <w:i w:val="0"/>
          <w:sz w:val="20"/>
        </w:rPr>
        <w:t>While that happens, the system translates the file imports into a Mermaid graph.</w:t>
      </w:r>
    </w:p>
    <w:p>
      <w:pPr>
        <w:pStyle w:val="ListNumber"/>
        <w:spacing w:after="20" w:line="230" w:lineRule="exact"/>
        <w:jc w:val="both"/>
      </w:pPr>
      <w:r>
        <w:rPr>
          <w:rFonts w:ascii="Times New Roman" w:hAnsi="Times New Roman"/>
          <w:b w:val="0"/>
          <w:i w:val="0"/>
          <w:sz w:val="20"/>
        </w:rPr>
        <w:t>A final Summary AI reads everything produced so far and writes an executive overview.</w:t>
      </w:r>
    </w:p>
    <w:p>
      <w:pPr>
        <w:pStyle w:val="ListNumber"/>
        <w:spacing w:after="20" w:line="230" w:lineRule="exact"/>
        <w:jc w:val="both"/>
      </w:pPr>
      <w:r>
        <w:rPr>
          <w:rFonts w:ascii="Times New Roman" w:hAnsi="Times New Roman"/>
          <w:b w:val="0"/>
          <w:i w:val="0"/>
          <w:sz w:val="20"/>
        </w:rPr>
        <w:t>The React frontend receives the final JSON bundle and renders the dashboard.</w:t>
      </w:r>
    </w:p>
    <w:p>
      <w:pPr>
        <w:spacing w:before="80" w:after="20"/>
        <w:jc w:val="center"/>
      </w:pPr>
      <w:r>
        <w:drawing>
          <wp:inline xmlns:a="http://schemas.openxmlformats.org/drawingml/2006/main" xmlns:pic="http://schemas.openxmlformats.org/drawingml/2006/picture">
            <wp:extent cx="2700000" cy="2700000"/>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2700000" cy="2700000"/>
                    </a:xfrm>
                    <a:prstGeom prst="rect"/>
                  </pic:spPr>
                </pic:pic>
              </a:graphicData>
            </a:graphic>
          </wp:inline>
        </w:drawing>
      </w:r>
    </w:p>
    <w:p>
      <w:pPr>
        <w:spacing w:before="20" w:after="80"/>
        <w:jc w:val="center"/>
      </w:pPr>
      <w:r>
        <w:rPr>
          <w:rFonts w:ascii="Times New Roman" w:hAnsi="Times New Roman"/>
          <w:b w:val="0"/>
          <w:i/>
          <w:sz w:val="17"/>
        </w:rPr>
        <w:t>Fig. 2. End-to-End Workflow of the CodeSonar Analysis Pipeline</w:t>
      </w:r>
    </w:p>
    <w:p>
      <w:pPr>
        <w:spacing w:before="80" w:after="20"/>
        <w:jc w:val="center"/>
      </w:pPr>
      <w:r>
        <w:drawing>
          <wp:inline xmlns:a="http://schemas.openxmlformats.org/drawingml/2006/main" xmlns:pic="http://schemas.openxmlformats.org/drawingml/2006/picture">
            <wp:extent cx="2700000" cy="2700000"/>
            <wp:docPr id="3" name="Picture 3"/>
            <wp:cNvGraphicFramePr>
              <a:graphicFrameLocks noChangeAspect="1"/>
            </wp:cNvGraphicFramePr>
            <a:graphic>
              <a:graphicData uri="http://schemas.openxmlformats.org/drawingml/2006/picture">
                <pic:pic>
                  <pic:nvPicPr>
                    <pic:cNvPr id="0" name="dataflow.png"/>
                    <pic:cNvPicPr/>
                  </pic:nvPicPr>
                  <pic:blipFill>
                    <a:blip r:embed="rId11"/>
                    <a:stretch>
                      <a:fillRect/>
                    </a:stretch>
                  </pic:blipFill>
                  <pic:spPr>
                    <a:xfrm>
                      <a:off x="0" y="0"/>
                      <a:ext cx="2700000" cy="2700000"/>
                    </a:xfrm>
                    <a:prstGeom prst="rect"/>
                  </pic:spPr>
                </pic:pic>
              </a:graphicData>
            </a:graphic>
          </wp:inline>
        </w:drawing>
      </w:r>
    </w:p>
    <w:p>
      <w:pPr>
        <w:spacing w:before="20" w:after="80"/>
        <w:jc w:val="center"/>
      </w:pPr>
      <w:r>
        <w:rPr>
          <w:rFonts w:ascii="Times New Roman" w:hAnsi="Times New Roman"/>
          <w:b w:val="0"/>
          <w:i/>
          <w:sz w:val="17"/>
        </w:rPr>
        <w:t>Fig. 3. RAG-Based Data Flow from User Query to AI Output</w:t>
      </w:r>
    </w:p>
    <w:p>
      <w:pPr>
        <w:spacing w:before="80" w:after="20"/>
        <w:jc w:val="center"/>
      </w:pPr>
      <w:r>
        <w:rPr>
          <w:rFonts w:ascii="Times New Roman" w:hAnsi="Times New Roman"/>
          <w:b/>
          <w:i w:val="0"/>
          <w:sz w:val="20"/>
        </w:rPr>
        <w:t>V.   RESULTS AND DISCUSSION</w:t>
      </w:r>
    </w:p>
    <w:p>
      <w:pPr>
        <w:spacing w:before="0" w:after="40" w:line="230" w:lineRule="exact"/>
        <w:jc w:val="both"/>
      </w:pPr>
      <w:r>
        <w:rPr>
          <w:rFonts w:ascii="Times New Roman" w:hAnsi="Times New Roman"/>
          <w:b w:val="0"/>
          <w:i w:val="0"/>
          <w:sz w:val="20"/>
        </w:rPr>
        <w:t>To figure out if CodeSonar actually worked in the real world, we threw ten totally different public repositories at it. We purposely picked a chaotic mix: a few Next.js frontend templates, some Node microservices, a couple of heavy Spring Boot business apps, and even some Python tooling. They ranged anywhere from a couple thousand lines to a surprisingly dense forty-five thousand line behemoth. We then grabbed three developers who had literally never seen these projects before, and asked them to grade the AI's explanations on a basic 1 to 5 scale for accuracy, depth, and overall completeness.</w:t>
      </w:r>
    </w:p>
    <w:p>
      <w:pPr>
        <w:spacing w:before="120" w:after="40"/>
        <w:jc w:val="center"/>
      </w:pPr>
      <w:r>
        <w:rPr>
          <w:rFonts w:ascii="Times New Roman" w:hAnsi="Times New Roman"/>
          <w:b/>
          <w:i/>
          <w:sz w:val="18"/>
        </w:rPr>
        <w:t>TABLE I.   Evaluation Results Across Repository Sizes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pPr>
              <w:jc w:val="center"/>
            </w:pPr>
            <w:r>
              <w:rPr>
                <w:rFonts w:ascii="Times New Roman" w:hAnsi="Times New Roman"/>
                <w:b/>
                <w:i w:val="0"/>
                <w:sz w:val="18"/>
              </w:rPr>
              <w:t>Repository Size</w:t>
            </w:r>
          </w:p>
        </w:tc>
        <w:tc>
          <w:tcPr>
            <w:tcW w:type="dxa" w:w="1973"/>
          </w:tcPr>
          <w:p>
            <w:pPr>
              <w:jc w:val="center"/>
            </w:pPr>
            <w:r>
              <w:rPr>
                <w:rFonts w:ascii="Times New Roman" w:hAnsi="Times New Roman"/>
                <w:b/>
                <w:i w:val="0"/>
                <w:sz w:val="18"/>
              </w:rPr>
              <w:t>Accuracy</w:t>
              <w:br/>
              <w:t>(avg/5)</w:t>
            </w:r>
          </w:p>
        </w:tc>
        <w:tc>
          <w:tcPr>
            <w:tcW w:type="dxa" w:w="1973"/>
          </w:tcPr>
          <w:p>
            <w:pPr>
              <w:jc w:val="center"/>
            </w:pPr>
            <w:r>
              <w:rPr>
                <w:rFonts w:ascii="Times New Roman" w:hAnsi="Times New Roman"/>
                <w:b/>
                <w:i w:val="0"/>
                <w:sz w:val="18"/>
              </w:rPr>
              <w:t>Specificity</w:t>
              <w:br/>
              <w:t>(avg/5)</w:t>
            </w:r>
          </w:p>
        </w:tc>
        <w:tc>
          <w:tcPr>
            <w:tcW w:type="dxa" w:w="1973"/>
          </w:tcPr>
          <w:p>
            <w:pPr>
              <w:jc w:val="center"/>
            </w:pPr>
            <w:r>
              <w:rPr>
                <w:rFonts w:ascii="Times New Roman" w:hAnsi="Times New Roman"/>
                <w:b/>
                <w:i w:val="0"/>
                <w:sz w:val="18"/>
              </w:rPr>
              <w:t>Completeness</w:t>
              <w:br/>
              <w:t>(avg/5)</w:t>
            </w:r>
          </w:p>
        </w:tc>
        <w:tc>
          <w:tcPr>
            <w:tcW w:type="dxa" w:w="1973"/>
          </w:tcPr>
          <w:p>
            <w:pPr>
              <w:jc w:val="center"/>
            </w:pPr>
            <w:r>
              <w:rPr>
                <w:rFonts w:ascii="Times New Roman" w:hAnsi="Times New Roman"/>
                <w:b/>
                <w:i w:val="0"/>
                <w:sz w:val="18"/>
              </w:rPr>
              <w:t>Avg. Time</w:t>
            </w:r>
          </w:p>
        </w:tc>
      </w:tr>
      <w:tr>
        <w:tc>
          <w:tcPr>
            <w:tcW w:type="dxa" w:w="1973"/>
          </w:tcPr>
          <w:p>
            <w:pPr>
              <w:jc w:val="center"/>
            </w:pPr>
            <w:r>
              <w:rPr>
                <w:rFonts w:ascii="Times New Roman" w:hAnsi="Times New Roman"/>
                <w:b w:val="0"/>
                <w:i w:val="0"/>
                <w:sz w:val="18"/>
              </w:rPr>
              <w:t>Small (&lt; 5 K LOC)</w:t>
            </w:r>
          </w:p>
        </w:tc>
        <w:tc>
          <w:tcPr>
            <w:tcW w:type="dxa" w:w="1973"/>
          </w:tcPr>
          <w:p>
            <w:pPr>
              <w:jc w:val="center"/>
            </w:pPr>
            <w:r>
              <w:rPr>
                <w:rFonts w:ascii="Times New Roman" w:hAnsi="Times New Roman"/>
                <w:b w:val="0"/>
                <w:i w:val="0"/>
                <w:sz w:val="18"/>
              </w:rPr>
              <w:t>4.6</w:t>
            </w:r>
          </w:p>
        </w:tc>
        <w:tc>
          <w:tcPr>
            <w:tcW w:type="dxa" w:w="1973"/>
          </w:tcPr>
          <w:p>
            <w:pPr>
              <w:jc w:val="center"/>
            </w:pPr>
            <w:r>
              <w:rPr>
                <w:rFonts w:ascii="Times New Roman" w:hAnsi="Times New Roman"/>
                <w:b w:val="0"/>
                <w:i w:val="0"/>
                <w:sz w:val="18"/>
              </w:rPr>
              <w:t>4.5</w:t>
            </w:r>
          </w:p>
        </w:tc>
        <w:tc>
          <w:tcPr>
            <w:tcW w:type="dxa" w:w="1973"/>
          </w:tcPr>
          <w:p>
            <w:pPr>
              <w:jc w:val="center"/>
            </w:pPr>
            <w:r>
              <w:rPr>
                <w:rFonts w:ascii="Times New Roman" w:hAnsi="Times New Roman"/>
                <w:b w:val="0"/>
                <w:i w:val="0"/>
                <w:sz w:val="18"/>
              </w:rPr>
              <w:t>4.4</w:t>
            </w:r>
          </w:p>
        </w:tc>
        <w:tc>
          <w:tcPr>
            <w:tcW w:type="dxa" w:w="1973"/>
          </w:tcPr>
          <w:p>
            <w:pPr>
              <w:jc w:val="center"/>
            </w:pPr>
            <w:r>
              <w:rPr>
                <w:rFonts w:ascii="Times New Roman" w:hAnsi="Times New Roman"/>
                <w:b w:val="0"/>
                <w:i w:val="0"/>
                <w:sz w:val="18"/>
              </w:rPr>
              <w:t>18 s</w:t>
            </w:r>
          </w:p>
        </w:tc>
      </w:tr>
      <w:tr>
        <w:tc>
          <w:tcPr>
            <w:tcW w:type="dxa" w:w="1973"/>
          </w:tcPr>
          <w:p>
            <w:pPr>
              <w:jc w:val="center"/>
            </w:pPr>
            <w:r>
              <w:rPr>
                <w:rFonts w:ascii="Times New Roman" w:hAnsi="Times New Roman"/>
                <w:b w:val="0"/>
                <w:i w:val="0"/>
                <w:sz w:val="18"/>
              </w:rPr>
              <w:t>Medium (5–20 K LOC)</w:t>
            </w:r>
          </w:p>
        </w:tc>
        <w:tc>
          <w:tcPr>
            <w:tcW w:type="dxa" w:w="1973"/>
          </w:tcPr>
          <w:p>
            <w:pPr>
              <w:jc w:val="center"/>
            </w:pPr>
            <w:r>
              <w:rPr>
                <w:rFonts w:ascii="Times New Roman" w:hAnsi="Times New Roman"/>
                <w:b w:val="0"/>
                <w:i w:val="0"/>
                <w:sz w:val="18"/>
              </w:rPr>
              <w:t>4.3</w:t>
            </w:r>
          </w:p>
        </w:tc>
        <w:tc>
          <w:tcPr>
            <w:tcW w:type="dxa" w:w="1973"/>
          </w:tcPr>
          <w:p>
            <w:pPr>
              <w:jc w:val="center"/>
            </w:pPr>
            <w:r>
              <w:rPr>
                <w:rFonts w:ascii="Times New Roman" w:hAnsi="Times New Roman"/>
                <w:b w:val="0"/>
                <w:i w:val="0"/>
                <w:sz w:val="18"/>
              </w:rPr>
              <w:t>4.1</w:t>
            </w:r>
          </w:p>
        </w:tc>
        <w:tc>
          <w:tcPr>
            <w:tcW w:type="dxa" w:w="1973"/>
          </w:tcPr>
          <w:p>
            <w:pPr>
              <w:jc w:val="center"/>
            </w:pPr>
            <w:r>
              <w:rPr>
                <w:rFonts w:ascii="Times New Roman" w:hAnsi="Times New Roman"/>
                <w:b w:val="0"/>
                <w:i w:val="0"/>
                <w:sz w:val="18"/>
              </w:rPr>
              <w:t>4.2</w:t>
            </w:r>
          </w:p>
        </w:tc>
        <w:tc>
          <w:tcPr>
            <w:tcW w:type="dxa" w:w="1973"/>
          </w:tcPr>
          <w:p>
            <w:pPr>
              <w:jc w:val="center"/>
            </w:pPr>
            <w:r>
              <w:rPr>
                <w:rFonts w:ascii="Times New Roman" w:hAnsi="Times New Roman"/>
                <w:b w:val="0"/>
                <w:i w:val="0"/>
                <w:sz w:val="18"/>
              </w:rPr>
              <w:t>42 s</w:t>
            </w:r>
          </w:p>
        </w:tc>
      </w:tr>
      <w:tr>
        <w:tc>
          <w:tcPr>
            <w:tcW w:type="dxa" w:w="1973"/>
          </w:tcPr>
          <w:p>
            <w:pPr>
              <w:jc w:val="center"/>
            </w:pPr>
            <w:r>
              <w:rPr>
                <w:rFonts w:ascii="Times New Roman" w:hAnsi="Times New Roman"/>
                <w:b w:val="0"/>
                <w:i w:val="0"/>
                <w:sz w:val="18"/>
              </w:rPr>
              <w:t>Large (&gt; 20 K LOC)</w:t>
            </w:r>
          </w:p>
        </w:tc>
        <w:tc>
          <w:tcPr>
            <w:tcW w:type="dxa" w:w="1973"/>
          </w:tcPr>
          <w:p>
            <w:pPr>
              <w:jc w:val="center"/>
            </w:pPr>
            <w:r>
              <w:rPr>
                <w:rFonts w:ascii="Times New Roman" w:hAnsi="Times New Roman"/>
                <w:b w:val="0"/>
                <w:i w:val="0"/>
                <w:sz w:val="18"/>
              </w:rPr>
              <w:t>3.9</w:t>
            </w:r>
          </w:p>
        </w:tc>
        <w:tc>
          <w:tcPr>
            <w:tcW w:type="dxa" w:w="1973"/>
          </w:tcPr>
          <w:p>
            <w:pPr>
              <w:jc w:val="center"/>
            </w:pPr>
            <w:r>
              <w:rPr>
                <w:rFonts w:ascii="Times New Roman" w:hAnsi="Times New Roman"/>
                <w:b w:val="0"/>
                <w:i w:val="0"/>
                <w:sz w:val="18"/>
              </w:rPr>
              <w:t>3.8</w:t>
            </w:r>
          </w:p>
        </w:tc>
        <w:tc>
          <w:tcPr>
            <w:tcW w:type="dxa" w:w="1973"/>
          </w:tcPr>
          <w:p>
            <w:pPr>
              <w:jc w:val="center"/>
            </w:pPr>
            <w:r>
              <w:rPr>
                <w:rFonts w:ascii="Times New Roman" w:hAnsi="Times New Roman"/>
                <w:b w:val="0"/>
                <w:i w:val="0"/>
                <w:sz w:val="18"/>
              </w:rPr>
              <w:t>3.7</w:t>
            </w:r>
          </w:p>
        </w:tc>
        <w:tc>
          <w:tcPr>
            <w:tcW w:type="dxa" w:w="1973"/>
          </w:tcPr>
          <w:p>
            <w:pPr>
              <w:jc w:val="center"/>
            </w:pPr>
            <w:r>
              <w:rPr>
                <w:rFonts w:ascii="Times New Roman" w:hAnsi="Times New Roman"/>
                <w:b w:val="0"/>
                <w:i w:val="0"/>
                <w:sz w:val="18"/>
              </w:rPr>
              <w:t>89 s</w:t>
            </w:r>
          </w:p>
        </w:tc>
      </w:tr>
    </w:tbl>
    <w:p>
      <w:pPr>
        <w:spacing w:after="40"/>
      </w:pPr>
    </w:p>
    <w:p>
      <w:pPr>
        <w:spacing w:before="0" w:after="40" w:line="230" w:lineRule="exact"/>
        <w:jc w:val="both"/>
      </w:pPr>
      <w:r>
        <w:rPr>
          <w:rFonts w:ascii="Times New Roman" w:hAnsi="Times New Roman"/>
          <w:b w:val="0"/>
          <w:i w:val="0"/>
          <w:sz w:val="20"/>
        </w:rPr>
        <w:t>Glancing at Table I, the data essentially confirms what we initially suspected. Tiny projects got excellent grades because the model could comfortably cram a huge percentage of the repository into its immediate memory. The larger projects obviously scored lower, but frankly, they held up way better than our team anticipated. Even when dealing with the massive 45k-line repository, the scores hovered surprisingly close to a 4.0. This clearly indicates that our similarity ranking logic is doing a solid job of fishing out the right files even when 90% of the codebase has to be ignored.</w:t>
      </w:r>
    </w:p>
    <w:p>
      <w:pPr>
        <w:spacing w:before="0" w:after="40" w:line="230" w:lineRule="exact"/>
        <w:jc w:val="both"/>
      </w:pPr>
      <w:r>
        <w:rPr>
          <w:rFonts w:ascii="Times New Roman" w:hAnsi="Times New Roman"/>
          <w:b w:val="0"/>
          <w:i w:val="0"/>
          <w:sz w:val="20"/>
        </w:rPr>
        <w:t>One of the biggest surprises was the vulnerability scanner. Between our hardcoded heuristic rules and the LLM's ability to read between the lines, the system spotted eighty-seven distinct issues. What's crazy is that over sixty of those were totally undocumented bugs that nobody had reported on GitHub yet. We saw tons of missing input sanitization and developers hardcoding API keys right into their config files. When we ran normal, rigid linters against the exact same folders, they barely caught thirty-four problems, which really highlights why having an AI that actually 'reads' intent is so powerful.</w:t>
      </w:r>
    </w:p>
    <w:p>
      <w:pPr>
        <w:spacing w:before="0" w:after="40" w:line="230" w:lineRule="exact"/>
        <w:jc w:val="both"/>
      </w:pPr>
      <w:r>
        <w:rPr>
          <w:rFonts w:ascii="Times New Roman" w:hAnsi="Times New Roman"/>
          <w:b w:val="0"/>
          <w:i w:val="0"/>
          <w:sz w:val="20"/>
        </w:rPr>
        <w:t>As for the visual architecture diagrams, the feedback was overwhelmingly positive. Almost every single tester mentioned that they kept switching back to the visual flowchart while reading the textual breakdowns just to keep themselves oriented. The only genuine complaint we got was regarding that massive Python project; rendering a spiderweb of sixty-plus connected files into a single browser window was undeniably overwhelming and chaotic. We definitely need to figure out a better way to collapse or group those visuals in the future.</w:t>
      </w:r>
    </w:p>
    <w:p>
      <w:pPr>
        <w:spacing w:before="0" w:after="40" w:line="230" w:lineRule="exact"/>
        <w:jc w:val="both"/>
      </w:pPr>
      <w:r>
        <w:rPr>
          <w:rFonts w:ascii="Times New Roman" w:hAnsi="Times New Roman"/>
          <w:b w:val="0"/>
          <w:i w:val="0"/>
          <w:sz w:val="20"/>
        </w:rPr>
        <w:t>The interactive chat box also proved way more popular than we thought it would be. People wouldn't just read the summary and leave; they would start interrogating the bot with highly specific queries like 'Wait, which exact folder handles the JWT tokens?' Because our chatbot uses the underlying RAG index instead of just pulling randomly from the internet, it rarely hallucinated. Rather than giving vague boilerplate advice, it would spit out the exact file names.</w:t>
      </w:r>
    </w:p>
    <w:p>
      <w:pPr>
        <w:spacing w:before="80" w:after="20"/>
        <w:jc w:val="center"/>
      </w:pPr>
      <w:r>
        <w:rPr>
          <w:rFonts w:ascii="Times New Roman" w:hAnsi="Times New Roman"/>
          <w:b/>
          <w:i w:val="0"/>
          <w:sz w:val="20"/>
        </w:rPr>
        <w:t>VI.   CONCLUSION AND FUTURE WORK</w:t>
      </w:r>
    </w:p>
    <w:p>
      <w:pPr>
        <w:spacing w:before="0" w:after="40" w:line="230" w:lineRule="exact"/>
        <w:jc w:val="both"/>
      </w:pPr>
      <w:r>
        <w:rPr>
          <w:rFonts w:ascii="Times New Roman" w:hAnsi="Times New Roman"/>
          <w:b w:val="0"/>
          <w:i w:val="0"/>
          <w:sz w:val="20"/>
        </w:rPr>
        <w:t>The whole reason our team started this project is because we were frankly tired of wasting our weekends staring at undocumented code trying to reverse-engineer how a web app worked. We knew LLMs were smart, but they needed highly curated context to stop hallucinating. Bringing together RAG similarity searches and a pipeline of specialized AI agents turned out to be the exact right formula. Now, developers can paste a random repository link and get a beautifully formatted, genuinely accurate breakdown of the software's architecture without ever having to spin up a local server.</w:t>
      </w:r>
    </w:p>
    <w:p>
      <w:pPr>
        <w:spacing w:before="0" w:after="40" w:line="230" w:lineRule="exact"/>
        <w:jc w:val="both"/>
      </w:pPr>
      <w:r>
        <w:rPr>
          <w:rFonts w:ascii="Times New Roman" w:hAnsi="Times New Roman"/>
          <w:b w:val="0"/>
          <w:i w:val="0"/>
          <w:sz w:val="20"/>
        </w:rPr>
        <w:t>Looking at our initial testing metrics, we are quite optimistic. Holding a 3.7+ accuracy score across heavily complex repositories proves that context-injection beats naive prompting every time. Moreover, catching bugs that traditional linters completely miss showcases the immense potential of semantic code analysis. Of course, the system definitely has rough edges. Wait times creeping over a minute for huge repositories can test a programmer's patience, and those gigantic Mermaid diagrams desperately need a way to dynamically collapse nodes.</w:t>
      </w:r>
    </w:p>
    <w:p>
      <w:pPr>
        <w:spacing w:before="0" w:after="40" w:line="230" w:lineRule="exact"/>
        <w:jc w:val="both"/>
      </w:pPr>
      <w:r>
        <w:rPr>
          <w:rFonts w:ascii="Times New Roman" w:hAnsi="Times New Roman"/>
          <w:b w:val="0"/>
          <w:i w:val="0"/>
          <w:sz w:val="20"/>
        </w:rPr>
        <w:t>Moving forward, our immediate priority has to be supporting private repositories. Asking developers to only scan public code is wildly restrictive, so wiring up proper OAuth integration for enterprise GitLab and Bitbucket accounts is next on our roadmap. We also want to empower users by adding a feature where the AI doesn't just point out a bug, but actively writes a pull request to patch it. And finally, implementing a system where users can thumbs-down bad explanations would give us the exact raw data we need to continuously tune our models.</w:t>
      </w:r>
    </w:p>
    <w:p>
      <w:pPr>
        <w:spacing w:before="80" w:after="20"/>
        <w:jc w:val="center"/>
      </w:pPr>
      <w:r>
        <w:rPr>
          <w:rFonts w:ascii="Times New Roman" w:hAnsi="Times New Roman"/>
          <w:b/>
          <w:i w:val="0"/>
          <w:sz w:val="20"/>
        </w:rPr>
        <w:t>REFERENCES</w:t>
      </w:r>
    </w:p>
    <w:p>
      <w:pPr>
        <w:pStyle w:val="ListNumber"/>
        <w:spacing w:before="0" w:after="20" w:line="220" w:lineRule="exact"/>
        <w:jc w:val="both"/>
      </w:pPr>
      <w:r>
        <w:rPr>
          <w:rFonts w:ascii="Times New Roman" w:hAnsi="Times New Roman"/>
          <w:b w:val="0"/>
          <w:i w:val="0"/>
          <w:sz w:val="17"/>
        </w:rPr>
        <w:t>F. Rosén and M. Rübner, “Augmented large language models for software engineering,” 2024.</w:t>
      </w:r>
    </w:p>
    <w:p>
      <w:pPr>
        <w:pStyle w:val="ListNumber"/>
        <w:spacing w:before="0" w:after="20" w:line="220" w:lineRule="exact"/>
        <w:jc w:val="both"/>
      </w:pPr>
      <w:r>
        <w:rPr>
          <w:rFonts w:ascii="Times New Roman" w:hAnsi="Times New Roman"/>
          <w:b w:val="0"/>
          <w:i w:val="0"/>
          <w:sz w:val="17"/>
        </w:rPr>
        <w:t>S. Bag et al., “RAG beyond text: enhancing image retrieval in RAG systems,” in Proc. 2024 Int. Conf. Electrical, Computer and Energy Technologies (ICECET), IEEE, 2024.</w:t>
      </w:r>
    </w:p>
    <w:p>
      <w:pPr>
        <w:pStyle w:val="ListNumber"/>
        <w:spacing w:before="0" w:after="20" w:line="220" w:lineRule="exact"/>
        <w:jc w:val="both"/>
      </w:pPr>
      <w:r>
        <w:rPr>
          <w:rFonts w:ascii="Times New Roman" w:hAnsi="Times New Roman"/>
          <w:b w:val="0"/>
          <w:i w:val="0"/>
          <w:sz w:val="17"/>
        </w:rPr>
        <w:t>P. H. Russell et al., “A large-scale analysis of bioinformatics code on GitHub,” PloS ONE, vol. 13, no. 10, p. e0205898, 2018.</w:t>
      </w:r>
    </w:p>
    <w:p>
      <w:pPr>
        <w:pStyle w:val="ListNumber"/>
        <w:spacing w:before="0" w:after="20" w:line="220" w:lineRule="exact"/>
        <w:jc w:val="both"/>
      </w:pPr>
      <w:r>
        <w:rPr>
          <w:rFonts w:ascii="Times New Roman" w:hAnsi="Times New Roman"/>
          <w:b w:val="0"/>
          <w:i w:val="0"/>
          <w:sz w:val="17"/>
        </w:rPr>
        <w:t>E. Mansur et al., “RAGFix: Enhancing LLM code repair using RAG and Stack Overflow posts,” in Proc. 2024 IEEE Int. Conf. Big Data, IEEE, 2024.</w:t>
      </w:r>
    </w:p>
    <w:p>
      <w:pPr>
        <w:pStyle w:val="ListNumber"/>
        <w:spacing w:before="0" w:after="20" w:line="220" w:lineRule="exact"/>
        <w:jc w:val="both"/>
      </w:pPr>
      <w:r>
        <w:rPr>
          <w:rFonts w:ascii="Times New Roman" w:hAnsi="Times New Roman"/>
          <w:b w:val="0"/>
          <w:i w:val="0"/>
          <w:sz w:val="17"/>
        </w:rPr>
        <w:t>A. D. SP et al., “Analysing code-based RAG methods for knowledge retention,” in Proc. 2025 4th Int. Conf. Advances in Computing (ACCESS), IEEE, 2025.</w:t>
      </w:r>
    </w:p>
    <w:p>
      <w:pPr>
        <w:pStyle w:val="ListNumber"/>
        <w:spacing w:before="0" w:after="20" w:line="220" w:lineRule="exact"/>
        <w:jc w:val="both"/>
      </w:pPr>
      <w:r>
        <w:rPr>
          <w:rFonts w:ascii="Times New Roman" w:hAnsi="Times New Roman"/>
          <w:b w:val="0"/>
          <w:i w:val="0"/>
          <w:sz w:val="17"/>
        </w:rPr>
        <w:t>Q. Romero Lauro et al., “RAG without the lag: interactive debugging for RAG pipelines,” arXiv e-prints, 2025.</w:t>
      </w:r>
    </w:p>
    <w:p>
      <w:pPr>
        <w:pStyle w:val="ListNumber"/>
        <w:spacing w:before="0" w:after="20" w:line="220" w:lineRule="exact"/>
        <w:jc w:val="both"/>
      </w:pPr>
      <w:r>
        <w:rPr>
          <w:rFonts w:ascii="Times New Roman" w:hAnsi="Times New Roman"/>
          <w:b w:val="0"/>
          <w:i w:val="0"/>
          <w:sz w:val="17"/>
        </w:rPr>
        <w:t>M. Antal and K. Buza, “Evaluating open-source LLMs in RAG systems,” Acta Universitatis Sapientiae, Informatica, vol. 17, no. 1, 2025.</w:t>
      </w:r>
    </w:p>
    <w:p>
      <w:pPr>
        <w:pStyle w:val="ListNumber"/>
        <w:spacing w:before="0" w:after="20" w:line="220" w:lineRule="exact"/>
        <w:jc w:val="both"/>
      </w:pPr>
      <w:r>
        <w:rPr>
          <w:rFonts w:ascii="Times New Roman" w:hAnsi="Times New Roman"/>
          <w:b w:val="0"/>
          <w:i w:val="0"/>
          <w:sz w:val="17"/>
        </w:rPr>
        <w:t>Y. Sugiyama et al., “Relationship between model-based decision-making and source code comprehension,” IEEE Trans. Software Eng., 2025.</w:t>
      </w:r>
    </w:p>
    <w:p>
      <w:pPr>
        <w:pStyle w:val="ListNumber"/>
        <w:spacing w:before="0" w:after="20" w:line="220" w:lineRule="exact"/>
        <w:jc w:val="both"/>
      </w:pPr>
      <w:r>
        <w:rPr>
          <w:rFonts w:ascii="Times New Roman" w:hAnsi="Times New Roman"/>
          <w:b w:val="0"/>
          <w:i w:val="0"/>
          <w:sz w:val="17"/>
        </w:rPr>
        <w:t>K. Ye, L. Su, and C. Qian, “ImportSnare: Directed code manual hijacking in RAG code generation,” arXiv:2509.07941, 2025.</w:t>
      </w:r>
    </w:p>
    <w:p>
      <w:pPr>
        <w:pStyle w:val="ListNumber"/>
        <w:spacing w:before="0" w:after="20" w:line="220" w:lineRule="exact"/>
        <w:jc w:val="both"/>
      </w:pPr>
      <w:r>
        <w:rPr>
          <w:rFonts w:ascii="Times New Roman" w:hAnsi="Times New Roman"/>
          <w:b w:val="0"/>
          <w:i w:val="0"/>
          <w:sz w:val="17"/>
        </w:rPr>
        <w:t>D. Stojanović et al., “Unit test generation multi-agent AI system for software documentation,” in Proc. 2024 32nd Telecommunications Forum (TELFOR), IEEE, 2024.</w:t>
      </w:r>
    </w:p>
    <w:p>
      <w:pPr>
        <w:pStyle w:val="ListNumber"/>
        <w:spacing w:before="0" w:after="20" w:line="220" w:lineRule="exact"/>
        <w:jc w:val="both"/>
      </w:pPr>
      <w:r>
        <w:rPr>
          <w:rFonts w:ascii="Times New Roman" w:hAnsi="Times New Roman"/>
          <w:b w:val="0"/>
          <w:i w:val="0"/>
          <w:sz w:val="17"/>
        </w:rPr>
        <w:t>D. Nam et al., “Using an LLM to help with code understanding,” in Proc. IEEE/ACM 46th Int. Conf. Software Engineering, 2024.</w:t>
      </w:r>
    </w:p>
    <w:p>
      <w:pPr>
        <w:pStyle w:val="ListNumber"/>
        <w:spacing w:before="0" w:after="20" w:line="220" w:lineRule="exact"/>
        <w:jc w:val="both"/>
      </w:pPr>
      <w:r>
        <w:rPr>
          <w:rFonts w:ascii="Times New Roman" w:hAnsi="Times New Roman"/>
          <w:b w:val="0"/>
          <w:i w:val="0"/>
          <w:sz w:val="17"/>
        </w:rPr>
        <w:t>P. Omrani et al., “Hybrid RAG approach for LLMs query response enhancement,” in Proc. 2024 10th Int. Conf. Web Research (ICWR), pp. 22–26, IEEE, 2024.</w:t>
      </w:r>
    </w:p>
    <w:p>
      <w:pPr>
        <w:pStyle w:val="ListNumber"/>
        <w:spacing w:before="0" w:after="20" w:line="220" w:lineRule="exact"/>
        <w:jc w:val="both"/>
      </w:pPr>
      <w:r>
        <w:rPr>
          <w:rFonts w:ascii="Times New Roman" w:hAnsi="Times New Roman"/>
          <w:b w:val="0"/>
          <w:i w:val="0"/>
          <w:sz w:val="17"/>
        </w:rPr>
        <w:t>W. Yang et al., “Enhancing the code debugging ability of LLMs via communicative agent based data refinement,” language, vol. 30, p. 31, 2024.</w:t>
      </w:r>
    </w:p>
    <w:p>
      <w:pPr>
        <w:pStyle w:val="ListNumber"/>
        <w:spacing w:before="0" w:after="20" w:line="220" w:lineRule="exact"/>
        <w:jc w:val="both"/>
      </w:pPr>
      <w:r>
        <w:rPr>
          <w:rFonts w:ascii="Times New Roman" w:hAnsi="Times New Roman"/>
          <w:b w:val="0"/>
          <w:i w:val="0"/>
          <w:sz w:val="17"/>
        </w:rPr>
        <w:t>B. Sepidband et al., “Enhancing LLM-based code generation with complexity metrics,” arXiv:2505.23953, 2025.</w:t>
      </w:r>
    </w:p>
    <w:p>
      <w:pPr>
        <w:pStyle w:val="ListNumber"/>
        <w:spacing w:before="0" w:after="20" w:line="220" w:lineRule="exact"/>
        <w:jc w:val="both"/>
      </w:pPr>
      <w:r>
        <w:rPr>
          <w:rFonts w:ascii="Times New Roman" w:hAnsi="Times New Roman"/>
          <w:b w:val="0"/>
          <w:i w:val="0"/>
          <w:sz w:val="17"/>
        </w:rPr>
        <w:t>B. Tural, Z. Örpek, and Z. Destan, “RAG and LLM integration,” in Proc. 2024 8th Int. Symp. Innovative Approaches in Smart Technologies (ISAS), pp. 1–5, IEEE, 2024.</w:t>
      </w:r>
    </w:p>
    <w:p>
      <w:pPr>
        <w:pStyle w:val="ListNumber"/>
        <w:spacing w:before="0" w:after="20" w:line="220" w:lineRule="exact"/>
        <w:jc w:val="both"/>
      </w:pPr>
      <w:r>
        <w:rPr>
          <w:rFonts w:ascii="Times New Roman" w:hAnsi="Times New Roman"/>
          <w:b w:val="0"/>
          <w:i w:val="0"/>
          <w:sz w:val="17"/>
        </w:rPr>
        <w:t>R. Tian et al., “Debugbench: Evaluating debugging capability of large language models,” arXiv:2401.04621, 2024.</w:t>
      </w:r>
    </w:p>
    <w:p>
      <w:pPr>
        <w:pStyle w:val="ListNumber"/>
        <w:spacing w:before="0" w:after="20" w:line="220" w:lineRule="exact"/>
        <w:jc w:val="both"/>
      </w:pPr>
      <w:r>
        <w:rPr>
          <w:rFonts w:ascii="Times New Roman" w:hAnsi="Times New Roman"/>
          <w:b w:val="0"/>
          <w:i w:val="0"/>
          <w:sz w:val="17"/>
        </w:rPr>
        <w:t>J. Swacha and M. Gracel, “RAG chatbots for education: a survey of applications,” Applied Sciences, vol. 15, no. 8, p. 4234, 2025.</w:t>
      </w:r>
    </w:p>
    <w:p>
      <w:pPr>
        <w:pStyle w:val="ListNumber"/>
        <w:spacing w:before="0" w:after="20" w:line="220" w:lineRule="exact"/>
        <w:jc w:val="both"/>
      </w:pPr>
      <w:r>
        <w:rPr>
          <w:rFonts w:ascii="Times New Roman" w:hAnsi="Times New Roman"/>
          <w:b w:val="0"/>
          <w:i w:val="0"/>
          <w:sz w:val="17"/>
        </w:rPr>
        <w:t>J. Swacha and M. Gracel, “Retrieval-augmented generation chatbots for education,” Applied Sciences, vol. 15, no. 8, p. 4234, 2025.</w:t>
      </w:r>
    </w:p>
    <w:p>
      <w:pPr>
        <w:pStyle w:val="ListNumber"/>
        <w:spacing w:before="0" w:after="20" w:line="220" w:lineRule="exact"/>
        <w:jc w:val="both"/>
      </w:pPr>
      <w:r>
        <w:rPr>
          <w:rFonts w:ascii="Times New Roman" w:hAnsi="Times New Roman"/>
          <w:b w:val="0"/>
          <w:i w:val="0"/>
          <w:sz w:val="17"/>
        </w:rPr>
        <w:t>D. Ramasamy et al., “Workflow analysis of data science code in public GitHub repositories,” Empirical Software Engineering, vol. 28, no. 1, p. 7, 2023.</w:t>
      </w:r>
    </w:p>
    <w:p>
      <w:pPr>
        <w:pStyle w:val="ListNumber"/>
        <w:spacing w:before="0" w:after="20" w:line="220" w:lineRule="exact"/>
        <w:jc w:val="both"/>
      </w:pPr>
      <w:r>
        <w:rPr>
          <w:rFonts w:ascii="Times New Roman" w:hAnsi="Times New Roman"/>
          <w:b w:val="0"/>
          <w:i w:val="0"/>
          <w:sz w:val="17"/>
        </w:rPr>
        <w:t>A. Lekssays et al., “LLMxCPG: context-aware vulnerability detection through code property graph-guided LLMs,” in Proc. 34th USENIX Security Symp., pp. 489–507, 2025.</w:t>
      </w:r>
    </w:p>
    <w:sectPr w:rsidR="00FC693F" w:rsidRPr="0006063C" w:rsidSect="00034616">
      <w:type w:val="continuous"/>
      <w:pgSz w:w="11906" w:h="16838"/>
      <w:pgMar w:top="1134" w:right="1020" w:bottom="1247" w:left="1020" w:header="720" w:footer="720" w:gutter="0"/>
      <w:cols w:space="720"/>
      <w:docGrid w:linePitch="360"/>
      <w:cols w:num="2" w:space="72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