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2E8B" w14:textId="77777777" w:rsidR="00447D08" w:rsidRDefault="00447D08" w:rsidP="00447D08">
      <w:r>
        <w:t>RBI KYC Master Direction Update</w:t>
      </w:r>
    </w:p>
    <w:p w14:paraId="411D3E92" w14:textId="77777777" w:rsidR="00447D08" w:rsidRDefault="00447D08" w:rsidP="00447D08"/>
    <w:p w14:paraId="19F64A19" w14:textId="77777777" w:rsidR="00447D08" w:rsidRDefault="00447D08" w:rsidP="00447D08">
      <w:r>
        <w:t>Banks must review high-risk customer KYC every 6 months.</w:t>
      </w:r>
    </w:p>
    <w:p w14:paraId="18855981" w14:textId="77777777" w:rsidR="00447D08" w:rsidRDefault="00447D08" w:rsidP="00447D08"/>
    <w:p w14:paraId="4EC77B16" w14:textId="77777777" w:rsidR="00447D08" w:rsidRDefault="00447D08" w:rsidP="00447D08">
      <w:r>
        <w:t>Banks must maintain digital audit logs for all customer verification activities.</w:t>
      </w:r>
    </w:p>
    <w:p w14:paraId="55C9D0EF" w14:textId="77777777" w:rsidR="00447D08" w:rsidRDefault="00447D08" w:rsidP="00447D08"/>
    <w:p w14:paraId="3A6147C7" w14:textId="77777777" w:rsidR="00447D08" w:rsidRDefault="00447D08" w:rsidP="00447D08">
      <w:r>
        <w:t>Banks must retain audit logs for a minimum period of 5 years.</w:t>
      </w:r>
    </w:p>
    <w:p w14:paraId="410B66CC" w14:textId="77777777" w:rsidR="00447D08" w:rsidRDefault="00447D08" w:rsidP="00447D08"/>
    <w:p w14:paraId="6D738137" w14:textId="77777777" w:rsidR="00447D08" w:rsidRDefault="00447D08" w:rsidP="00447D08">
      <w:r>
        <w:t>Banks must implement automated alerts for overdue high-risk KYC reviews.</w:t>
      </w:r>
    </w:p>
    <w:p w14:paraId="03310469" w14:textId="77777777" w:rsidR="00447D08" w:rsidRDefault="00447D08" w:rsidP="00447D08"/>
    <w:p w14:paraId="0A82D324" w14:textId="77777777" w:rsidR="00447D08" w:rsidRDefault="00447D08" w:rsidP="00447D08">
      <w:r>
        <w:t>Compliance teams must submit a quarterly KYC compliance status report to senior management.</w:t>
      </w:r>
    </w:p>
    <w:p w14:paraId="57EAB8E3" w14:textId="77777777" w:rsidR="00447D08" w:rsidRDefault="00447D08" w:rsidP="00447D08"/>
    <w:p w14:paraId="374169E0" w14:textId="62C3BEC2" w:rsidR="00FD345B" w:rsidRDefault="00447D08" w:rsidP="00447D08">
      <w:r>
        <w:t>Any exceptions to high-risk customer review timelines must be documented and approved by the Compliance Head.</w:t>
      </w:r>
    </w:p>
    <w:sectPr w:rsidR="00FD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5B"/>
    <w:rsid w:val="00447D08"/>
    <w:rsid w:val="00794779"/>
    <w:rsid w:val="00865F2D"/>
    <w:rsid w:val="00FD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8163"/>
  <w15:chartTrackingRefBased/>
  <w15:docId w15:val="{9F59B5E1-2B6D-43D6-B01E-41CB6BFC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N, Rohini</dc:creator>
  <cp:keywords/>
  <dc:description/>
  <cp:lastModifiedBy>M N, Rohini</cp:lastModifiedBy>
  <cp:revision>3</cp:revision>
  <dcterms:created xsi:type="dcterms:W3CDTF">2026-05-03T12:01:00Z</dcterms:created>
  <dcterms:modified xsi:type="dcterms:W3CDTF">2026-05-03T12:02:00Z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2026-05-03T12:01:35Z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64b0c033-1535-4efe-aeee-9eff7e8e9608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