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jc w:val="center"/>
      </w:pPr>
      <w:r>
        <w:rPr>
          <w:b/>
          <w:bCs/>
          <w:color w:val="1a5276"/>
          <w:sz w:val="56"/>
          <w:szCs w:val="56"/>
        </w:rPr>
        <w:t xml:space="preserve">LIVER TRANSPLANT</w:t>
      </w:r>
    </w:p>
    <w:p>
      <w:pPr>
        <w:jc w:val="center"/>
      </w:pPr>
      <w:r>
        <w:rPr>
          <w:b/>
          <w:bCs/>
          <w:color w:val="1a5276"/>
          <w:sz w:val="56"/>
          <w:szCs w:val="56"/>
        </w:rPr>
        <w:t xml:space="preserve">OUTCOMES PREDICTION</w:t>
      </w:r>
    </w:p>
    <w:p>
      <w:pPr>
        <w:spacing w:after="400"/>
      </w:pPr>
    </w:p>
    <w:p>
      <w:pPr>
        <w:jc w:val="center"/>
      </w:pPr>
      <w:r>
        <w:rPr>
          <w:i/>
          <w:iCs/>
          <w:color w:val="2874a6"/>
          <w:sz w:val="32"/>
          <w:szCs w:val="32"/>
        </w:rPr>
        <w:t xml:space="preserve">Machine Learning Analysis Report</w:t>
      </w:r>
    </w:p>
    <w:p>
      <w:pPr>
        <w:spacing w:after="800"/>
      </w:pPr>
    </w:p>
    <w:p>
      <w:pPr>
        <w:jc w:val="center"/>
      </w:pPr>
      <w:r>
        <w:rPr>
          <w:sz w:val="26"/>
          <w:szCs w:val="26"/>
        </w:rPr>
        <w:t xml:space="preserve">Predicting 30-Day Hospital Readmission and</w:t>
      </w:r>
    </w:p>
    <w:p>
      <w:pPr>
        <w:jc w:val="center"/>
      </w:pPr>
      <w:r>
        <w:rPr>
          <w:sz w:val="26"/>
          <w:szCs w:val="26"/>
        </w:rPr>
        <w:t xml:space="preserve">Post-Transplant Complication Risk</w:t>
      </w:r>
    </w:p>
    <w:p>
      <w:pPr>
        <w:spacing w:after="1200"/>
      </w:pPr>
    </w:p>
    <w:p>
      <w:pPr>
        <w:jc w:val="center"/>
      </w:pPr>
      <w:r>
        <w:rPr>
          <w:b/>
          <w:bCs/>
          <w:color w:val="1a5276"/>
          <w:sz w:val="28"/>
          <w:szCs w:val="28"/>
        </w:rPr>
        <w:t xml:space="preserve">Rohini Vishwanathan</w:t>
      </w:r>
    </w:p>
    <w:p>
      <w:pPr>
        <w:jc w:val="center"/>
      </w:pPr>
      <w:r>
        <w:rPr>
          <w:sz w:val="24"/>
          <w:szCs w:val="24"/>
        </w:rPr>
        <w:t xml:space="preserve">January 2025</w:t>
      </w:r>
    </w:p>
    <w:p>
      <w:r>
        <w:br w:type="page"/>
      </w:r>
    </w:p>
    <w:p>
      <w:pPr>
        <w:pStyle w:val="Heading1"/>
      </w:pPr>
      <w:r>
        <w:t xml:space="preserve">Executive Summary</w:t>
      </w:r>
    </w:p>
    <w:p>
      <w:pPr>
        <w:spacing w:after="200"/>
      </w:pPr>
      <w:r>
        <w:rPr>
          <w:sz w:val="24"/>
          <w:szCs w:val="24"/>
        </w:rPr>
        <w:t xml:space="preserve">This report presents a comprehensive machine learning analysis of liver transplant patient outcomes using de-identified data from the Liver Outcome Monitoring Registry. The analysis focuses on two primary prediction tasks: 30-day hospital readmission and post-transplant complication risk (Composite Index).</w:t>
      </w:r>
    </w:p>
    <w:p>
      <w:pPr>
        <w:spacing w:after="200"/>
      </w:pPr>
      <w:r>
        <w:rPr>
          <w:b/>
          <w:bCs/>
          <w:sz w:val="24"/>
          <w:szCs w:val="24"/>
        </w:rPr>
        <w:t xml:space="preserve">Key Findings:</w:t>
      </w:r>
    </w:p>
    <w:p>
      <w:pPr>
        <w:spacing w:after="120"/>
      </w:pPr>
      <w:r>
        <w:rPr>
          <w:sz w:val="24"/>
          <w:szCs w:val="24"/>
        </w:rPr>
        <w:t xml:space="preserve">• Dataset: 1,390 liver transplant patients with 40 clinical features for readmission analysis; 2,387 patients with 52 features for complication prediction</w:t>
      </w:r>
    </w:p>
    <w:p>
      <w:pPr>
        <w:spacing w:after="120"/>
      </w:pPr>
      <w:r>
        <w:rPr>
          <w:sz w:val="24"/>
          <w:szCs w:val="24"/>
        </w:rPr>
        <w:t xml:space="preserve">• Readmission Prediction: Models achieved AUC-ROC of 0.52-0.56, indicating readmission is inherently difficult to predict from pre-discharge data alone</w:t>
      </w:r>
    </w:p>
    <w:p>
      <w:pPr>
        <w:spacing w:after="120"/>
      </w:pPr>
      <w:r>
        <w:rPr>
          <w:sz w:val="24"/>
          <w:szCs w:val="24"/>
        </w:rPr>
        <w:t xml:space="preserve">• Complication Prediction: Random Forest achieved AUC-ROC of 0.73, demonstrating meaningful predictive capability for identifying high-risk patients</w:t>
      </w:r>
    </w:p>
    <w:p>
      <w:pPr>
        <w:spacing w:after="120"/>
      </w:pPr>
      <w:r>
        <w:rPr>
          <w:sz w:val="24"/>
          <w:szCs w:val="24"/>
        </w:rPr>
        <w:t xml:space="preserve">• Top Risk Factors: Recipient intubation status, hypertension, smoking history, liver enzyme levels, and cold ischemia time emerged as strongest predictors</w:t>
      </w:r>
    </w:p>
    <w:p>
      <w:r>
        <w:br w:type="page"/>
      </w:r>
    </w:p>
    <w:p>
      <w:pPr>
        <w:pStyle w:val="Heading1"/>
      </w:pPr>
      <w:r>
        <w:t xml:space="preserve">1. Introduction</w:t>
      </w:r>
    </w:p>
    <w:p>
      <w:pPr>
        <w:pStyle w:val="Heading2"/>
      </w:pPr>
      <w:r>
        <w:t xml:space="preserve">1.1 Background</w:t>
      </w:r>
    </w:p>
    <w:p>
      <w:pPr>
        <w:spacing w:after="200"/>
      </w:pPr>
      <w:r>
        <w:rPr>
          <w:sz w:val="24"/>
          <w:szCs w:val="24"/>
        </w:rPr>
        <w:t xml:space="preserve">Hospital readmission following liver transplantation represents a significant clinical and financial burden. Early identification of patients at high risk for readmission or complications could enable targeted interventions and improved resource allocation. This analysis builds upon established risk indices in transplant medicine, including the Liver Donor Risk Index (LDRI) developed by Feng et al. (2006), which demonstrated that donor characteristics significantly impact graft outcomes.</w:t>
      </w:r>
    </w:p>
    <w:p>
      <w:pPr>
        <w:pStyle w:val="Heading2"/>
      </w:pPr>
      <w:r>
        <w:t xml:space="preserve">1.2 Objectives</w:t>
      </w:r>
    </w:p>
    <w:p>
      <w:pPr>
        <w:spacing w:after="120"/>
      </w:pPr>
      <w:r>
        <w:rPr>
          <w:sz w:val="24"/>
          <w:szCs w:val="24"/>
        </w:rPr>
        <w:t xml:space="preserve">1. Develop and compare multiple machine learning models for predicting 30-day readmission</w:t>
      </w:r>
    </w:p>
    <w:p>
      <w:pPr>
        <w:spacing w:after="120"/>
      </w:pPr>
      <w:r>
        <w:rPr>
          <w:sz w:val="24"/>
          <w:szCs w:val="24"/>
        </w:rPr>
        <w:t xml:space="preserve">2. Identify key donor and recipient risk factors associated with poor outcomes</w:t>
      </w:r>
    </w:p>
    <w:p>
      <w:pPr>
        <w:spacing w:after="120"/>
      </w:pPr>
      <w:r>
        <w:rPr>
          <w:sz w:val="24"/>
          <w:szCs w:val="24"/>
        </w:rPr>
        <w:t xml:space="preserve">3. Address the class imbalance inherent in medical outcome prediction</w:t>
      </w:r>
    </w:p>
    <w:p>
      <w:pPr>
        <w:spacing w:after="120"/>
      </w:pPr>
      <w:r>
        <w:rPr>
          <w:sz w:val="24"/>
          <w:szCs w:val="24"/>
        </w:rPr>
        <w:t xml:space="preserve">4. Provide actionable insights for clinical decision-making</w:t>
      </w:r>
    </w:p>
    <w:p>
      <w:r>
        <w:br w:type="page"/>
      </w:r>
    </w:p>
    <w:p>
      <w:pPr>
        <w:pStyle w:val="Heading1"/>
      </w:pPr>
      <w:r>
        <w:t xml:space="preserve">2. Methods</w:t>
      </w:r>
    </w:p>
    <w:p>
      <w:pPr>
        <w:pStyle w:val="Heading2"/>
      </w:pPr>
      <w:r>
        <w:t xml:space="preserve">2.1 Data Source</w:t>
      </w:r>
    </w:p>
    <w:p>
      <w:pPr>
        <w:spacing w:after="200"/>
      </w:pPr>
      <w:r>
        <w:rPr>
          <w:sz w:val="24"/>
          <w:szCs w:val="24"/>
        </w:rPr>
        <w:t xml:space="preserve">The analysis utilized de-identified data from the Liver Outcome Monitoring Registry, containing comprehensive donor characteristics, recipient demographics, clinical parameters, and outcome measures. The dataset includes patients who underwent liver transplantation with follow-up at 30, 90, and 365 days post-transplant.</w:t>
      </w:r>
    </w:p>
    <w:p>
      <w:pPr>
        <w:pStyle w:val="Heading2"/>
      </w:pPr>
      <w:r>
        <w:t xml:space="preserve">2.2 Feature Categories</w:t>
      </w:r>
    </w:p>
    <w:p>
      <w:pPr>
        <w:spacing w:after="120"/>
      </w:pPr>
      <w:r>
        <w:rPr>
          <w:b/>
          <w:bCs/>
          <w:sz w:val="24"/>
          <w:szCs w:val="24"/>
        </w:rPr>
        <w:t xml:space="preserve">Donor Features: </w:t>
      </w:r>
      <w:r>
        <w:rPr>
          <w:sz w:val="24"/>
          <w:szCs w:val="24"/>
        </w:rPr>
        <w:t xml:space="preserve">Age, gender, ethnicity, height, weight, cause of death, terminal lab values (creatinine, bilirubin, AST, ALT, INR)</w:t>
      </w:r>
    </w:p>
    <w:p>
      <w:pPr>
        <w:spacing w:after="120"/>
      </w:pPr>
      <w:r>
        <w:rPr>
          <w:b/>
          <w:bCs/>
          <w:sz w:val="24"/>
          <w:szCs w:val="24"/>
        </w:rPr>
        <w:t xml:space="preserve">Recipient Features: </w:t>
      </w:r>
      <w:r>
        <w:rPr>
          <w:sz w:val="24"/>
          <w:szCs w:val="24"/>
        </w:rPr>
        <w:t xml:space="preserve">Age, gender, ethnicity, BMI, diabetes status, hypertension, MELD score, HCC diagnosis, portal vein thrombosis, TIPS status, smoking history</w:t>
      </w:r>
    </w:p>
    <w:p>
      <w:pPr>
        <w:spacing w:after="120"/>
      </w:pPr>
      <w:r>
        <w:rPr>
          <w:b/>
          <w:bCs/>
          <w:sz w:val="24"/>
          <w:szCs w:val="24"/>
        </w:rPr>
        <w:t xml:space="preserve">Transplant Features: </w:t>
      </w:r>
      <w:r>
        <w:rPr>
          <w:sz w:val="24"/>
          <w:szCs w:val="24"/>
        </w:rPr>
        <w:t xml:space="preserve">Cold ischemia time, warm ischemia time, graft type, allocation type</w:t>
      </w:r>
    </w:p>
    <w:p>
      <w:pPr>
        <w:pStyle w:val="Heading2"/>
      </w:pPr>
      <w:r>
        <w:t xml:space="preserve">2.3 Data Preprocessing</w:t>
      </w:r>
    </w:p>
    <w:p>
      <w:pPr>
        <w:spacing w:after="200"/>
      </w:pPr>
      <w:r>
        <w:rPr>
          <w:sz w:val="24"/>
          <w:szCs w:val="24"/>
        </w:rPr>
        <w:t xml:space="preserve">Missing values were imputed using K-Nearest Neighbors (KNN) imputation, which leverages similar patient profiles to estimate missing values. Categorical variables were encoded using label encoding. Features were standardized for distance-based algorithms (KNN classifier).</w:t>
      </w:r>
    </w:p>
    <w:p>
      <w:pPr>
        <w:pStyle w:val="Heading2"/>
      </w:pPr>
      <w:r>
        <w:t xml:space="preserve">2.4 Handling Class Imbalance</w:t>
      </w:r>
    </w:p>
    <w:p>
      <w:pPr>
        <w:spacing w:after="200"/>
      </w:pPr>
      <w:r>
        <w:rPr>
          <w:sz w:val="24"/>
          <w:szCs w:val="24"/>
        </w:rPr>
        <w:t xml:space="preserve">The target variable exhibits significant class imbalance (77% no readmission vs 23% readmission). To address this, we employed two strategies: (1) Class weighting, where models penalize misclassification of the minority class more heavily, and (2) Random undersampling, where the majority class is downsampled to match minority class size.</w:t>
      </w:r>
    </w:p>
    <w:p>
      <w:pPr>
        <w:pStyle w:val="Heading2"/>
      </w:pPr>
      <w:r>
        <w:t xml:space="preserve">2.5 Models Evaluated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Model</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Logistic Regression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Linear baseline model with L2 regularization and balanced class weights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Random Forest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Ensemble of 100 decision trees with max depth 10, balanced class weights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Gradient Boosting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Sequential ensemble with 100 estimators, learning rate 0.1, max depth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K-Nearest Neighbors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Instance-based learning with k=5, distance-weighted voting</w:t>
            </w:r>
          </w:p>
        </w:tc>
      </w:tr>
    </w:tbl>
    <w:p>
      <w:pPr>
        <w:spacing w:after="200"/>
      </w:pPr>
    </w:p>
    <w:p>
      <w:pPr>
        <w:pStyle w:val="Heading2"/>
      </w:pPr>
      <w:r>
        <w:t xml:space="preserve">2.6 Evaluation Metrics</w:t>
      </w:r>
    </w:p>
    <w:p>
      <w:pPr>
        <w:spacing w:after="200"/>
      </w:pPr>
      <w:r>
        <w:rPr>
          <w:sz w:val="24"/>
          <w:szCs w:val="24"/>
        </w:rPr>
        <w:t xml:space="preserve">Given the class imbalance, accuracy alone is insufficient. We evaluated models using: AUC-ROC (area under the receiver operating characteristic curve), which measures discrimination ability; Precision (positive predictive value); Recall (sensitivity); and F1-Score (harmonic mean of precision and recall). Cross-validation with 5 stratified folds was used to assess generalization.</w:t>
      </w:r>
    </w:p>
    <w:p>
      <w:r>
        <w:br w:type="page"/>
      </w:r>
    </w:p>
    <w:p>
      <w:pPr>
        <w:pStyle w:val="Heading1"/>
      </w:pPr>
      <w:r>
        <w:t xml:space="preserve">3. Results</w:t>
      </w:r>
    </w:p>
    <w:p>
      <w:pPr>
        <w:pStyle w:val="Heading2"/>
      </w:pPr>
      <w:r>
        <w:t xml:space="preserve">3.1 Readmission Prediction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Model</w:t>
            </w:r>
          </w:p>
        </w:tc>
        <w:tc>
          <w:tcPr>
            <w:tcW w:type="dxa" w:w="131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Accuracy</w:t>
            </w:r>
          </w:p>
        </w:tc>
        <w:tc>
          <w:tcPr>
            <w:tcW w:type="dxa" w:w="131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Precision</w:t>
            </w:r>
          </w:p>
        </w:tc>
        <w:tc>
          <w:tcPr>
            <w:tcW w:type="dxa" w:w="131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Recall</w:t>
            </w:r>
          </w:p>
        </w:tc>
        <w:tc>
          <w:tcPr>
            <w:tcW w:type="dxa" w:w="131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F1</w:t>
            </w:r>
          </w:p>
        </w:tc>
        <w:tc>
          <w:tcPr>
            <w:tcW w:type="dxa" w:w="131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AUC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Logistic Regression</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0.540</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0.242</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0.469</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0.319</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0.520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Random Forest</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0.752</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0.000</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0.000</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0.000</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0.493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RF (Undersampled)</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0.486</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0.224</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0.500</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0.309</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0.504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Gradient Boosting</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0.680</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0.264</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0.219</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0.239</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0.509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KNN</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0.723</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0.217</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0.078</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0.115</w:t>
            </w:r>
          </w:p>
        </w:tc>
        <w:tc>
          <w:tcPr>
            <w:tcW w:type="dxa" w:w="13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0.506</w:t>
            </w:r>
          </w:p>
        </w:tc>
      </w:tr>
    </w:tbl>
    <w:p>
      <w:pPr>
        <w:spacing w:after="200"/>
      </w:pPr>
    </w:p>
    <w:p>
      <w:pPr>
        <w:spacing w:after="200"/>
      </w:pPr>
      <w:r>
        <w:rPr>
          <w:sz w:val="24"/>
          <w:szCs w:val="24"/>
        </w:rPr>
        <w:t xml:space="preserve">The readmission prediction task proved challenging, with all models achieving AUC-ROC scores close to 0.5 (random performance). This finding aligns with published literature suggesting that 30-day readmission after liver transplant is influenced by factors not captured in pre-discharge clinical data, such as medication adherence, social support, and post-discharge complications.</w:t>
      </w:r>
    </w:p>
    <w:p>
      <w:pPr>
        <w:pStyle w:val="Heading2"/>
      </w:pPr>
      <w:r>
        <w:t xml:space="preserve">3.2 Complication Prediction Results</w:t>
      </w:r>
    </w:p>
    <w:p>
      <w:pPr>
        <w:spacing w:after="200"/>
      </w:pPr>
      <w:r>
        <w:rPr>
          <w:sz w:val="24"/>
          <w:szCs w:val="24"/>
        </w:rPr>
        <w:t xml:space="preserve">The Composite Complication Index prediction showed substantially better performance, with Random Forest achieving AUC-ROC of 0.734 and Gradient Boosting achieving 0.724. This suggests that complications are more predictable from the available clinical features than readmission alone.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Model</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AUC-ROC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Logistic Regression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0.695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Random Forest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0.734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Gradient Boosting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0.724</w:t>
            </w:r>
          </w:p>
        </w:tc>
      </w:tr>
    </w:tbl>
    <w:p>
      <w:r>
        <w:br w:type="page"/>
      </w:r>
    </w:p>
    <w:p>
      <w:pPr>
        <w:pStyle w:val="Heading2"/>
      </w:pPr>
      <w:r>
        <w:t xml:space="preserve">3.3 Feature Importance Analysis</w:t>
      </w:r>
    </w:p>
    <w:p>
      <w:pPr>
        <w:spacing w:after="200"/>
      </w:pPr>
      <w:r>
        <w:rPr>
          <w:sz w:val="24"/>
          <w:szCs w:val="24"/>
        </w:rPr>
        <w:t xml:space="preserve">Random Forest feature importance analysis revealed the following top predictors of post-transplant complications: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6060"/>
        <w:gridCol w:w="2600"/>
      </w:tblGrid>
      <w:tr>
        <w:tc>
          <w:tcPr>
            <w:tcW w:type="dxa" w:w="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Rank</w:t>
            </w:r>
          </w:p>
        </w:tc>
        <w:tc>
          <w:tcPr>
            <w:tcW w:type="dxa" w:w="6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Feature</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b/>
                <w:bCs/>
                <w:color w:val="FFFFFF"/>
                <w:sz w:val="22"/>
                <w:szCs w:val="22"/>
              </w:rPr>
              <w:t xml:space="preserve">Importance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Recipient Intubated at Time of Transplant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0.0792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Recipient Hypertension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0.0715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Current Smoker Within One Year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0.0707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AST at Transplant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0.0413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WBC at Transplant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0.0401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ALT at Transplant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0.0400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Cold Ischemia 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0.0373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Donor 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0.0360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Total Bilirubin at Transplant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0.0335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10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Donor Terminal Serum Creatinine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sz w:val="22"/>
                <w:szCs w:val="22"/>
              </w:rPr>
              <w:t xml:space="preserve">0.0301</w:t>
            </w:r>
          </w:p>
        </w:tc>
      </w:tr>
    </w:tbl>
    <w:p>
      <w:r>
        <w:br w:type="page"/>
      </w:r>
    </w:p>
    <w:p>
      <w:pPr>
        <w:pStyle w:val="Heading1"/>
      </w:pPr>
      <w:r>
        <w:t xml:space="preserve">4. Discussion</w:t>
      </w:r>
    </w:p>
    <w:p>
      <w:pPr>
        <w:pStyle w:val="Heading2"/>
      </w:pPr>
      <w:r>
        <w:t xml:space="preserve">4.1 Key Findings</w:t>
      </w:r>
    </w:p>
    <w:p>
      <w:pPr>
        <w:spacing w:after="200"/>
      </w:pPr>
      <w:r>
        <w:rPr>
          <w:sz w:val="24"/>
          <w:szCs w:val="24"/>
        </w:rPr>
        <w:t xml:space="preserve">The analysis revealed important insights about predictability of liver transplant outcomes. While 30-day readmission proved difficult to predict (AUC near 0.5), the composite complication index showed meaningful predictability (AUC 0.73). This suggests that complications may be influenced more by measurable clinical factors, while readmission is driven by additional social and behavioral determinants not captured in the dataset.</w:t>
      </w:r>
    </w:p>
    <w:p>
      <w:pPr>
        <w:pStyle w:val="Heading2"/>
      </w:pPr>
      <w:r>
        <w:t xml:space="preserve">4.2 Clinical Implications</w:t>
      </w:r>
    </w:p>
    <w:p>
      <w:pPr>
        <w:spacing w:after="200"/>
      </w:pPr>
      <w:r>
        <w:rPr>
          <w:sz w:val="24"/>
          <w:szCs w:val="24"/>
        </w:rPr>
        <w:t xml:space="preserve">The identification of key risk factors provides actionable clinical insights:</w:t>
      </w:r>
    </w:p>
    <w:p>
      <w:pPr>
        <w:spacing w:after="120"/>
      </w:pPr>
      <w:r>
        <w:rPr>
          <w:sz w:val="24"/>
          <w:szCs w:val="24"/>
        </w:rPr>
        <w:t xml:space="preserve">• Recipient intubation status at transplant is the strongest predictor of complications, indicating critically ill patients require enhanced post-operative monitoring</w:t>
      </w:r>
    </w:p>
    <w:p>
      <w:pPr>
        <w:spacing w:after="120"/>
      </w:pPr>
      <w:r>
        <w:rPr>
          <w:sz w:val="24"/>
          <w:szCs w:val="24"/>
        </w:rPr>
        <w:t xml:space="preserve">• Hypertension and smoking history represent modifiable risk factors that could be targeted for intervention pre-transplant</w:t>
      </w:r>
    </w:p>
    <w:p>
      <w:pPr>
        <w:spacing w:after="120"/>
      </w:pPr>
      <w:r>
        <w:rPr>
          <w:sz w:val="24"/>
          <w:szCs w:val="24"/>
        </w:rPr>
        <w:t xml:space="preserve">• Elevated liver enzymes (AST, ALT) and cold ischemia time align with known risk factors from the LDRI literature</w:t>
      </w:r>
    </w:p>
    <w:p>
      <w:pPr>
        <w:spacing w:after="120"/>
      </w:pPr>
      <w:r>
        <w:rPr>
          <w:sz w:val="24"/>
          <w:szCs w:val="24"/>
        </w:rPr>
        <w:t xml:space="preserve">• Donor age remains an important factor, consistent with the original Donor Risk Index findings</w:t>
      </w:r>
    </w:p>
    <w:p>
      <w:pPr>
        <w:pStyle w:val="Heading2"/>
      </w:pPr>
      <w:r>
        <w:t xml:space="preserve">4.3 Limitations</w:t>
      </w:r>
    </w:p>
    <w:p>
      <w:pPr>
        <w:spacing w:after="120"/>
      </w:pPr>
      <w:r>
        <w:rPr>
          <w:sz w:val="24"/>
          <w:szCs w:val="24"/>
        </w:rPr>
        <w:t xml:space="preserve">• Class imbalance (23% positive rate) limits model performance despite mitigation strategies</w:t>
      </w:r>
    </w:p>
    <w:p>
      <w:pPr>
        <w:spacing w:after="120"/>
      </w:pPr>
      <w:r>
        <w:rPr>
          <w:sz w:val="24"/>
          <w:szCs w:val="24"/>
        </w:rPr>
        <w:t xml:space="preserve">• External validation on independent datasets is needed before clinical deployment</w:t>
      </w:r>
    </w:p>
    <w:p>
      <w:pPr>
        <w:spacing w:after="120"/>
      </w:pPr>
      <w:r>
        <w:rPr>
          <w:sz w:val="24"/>
          <w:szCs w:val="24"/>
        </w:rPr>
        <w:t xml:space="preserve">• Post-discharge factors (medication adherence, social support) not captured in the dataset</w:t>
      </w:r>
    </w:p>
    <w:p>
      <w:pPr>
        <w:spacing w:after="120"/>
      </w:pPr>
      <w:r>
        <w:rPr>
          <w:sz w:val="24"/>
          <w:szCs w:val="24"/>
        </w:rPr>
        <w:t xml:space="preserve">• Single-center data may limit generalizability</w:t>
      </w:r>
    </w:p>
    <w:p>
      <w:r>
        <w:br w:type="page"/>
      </w:r>
    </w:p>
    <w:p>
      <w:pPr>
        <w:pStyle w:val="Heading1"/>
      </w:pPr>
      <w:r>
        <w:t xml:space="preserve">5. Conclusions</w:t>
      </w:r>
    </w:p>
    <w:p>
      <w:pPr>
        <w:spacing w:after="200"/>
      </w:pPr>
      <w:r>
        <w:rPr>
          <w:sz w:val="24"/>
          <w:szCs w:val="24"/>
        </w:rPr>
        <w:t xml:space="preserve">This analysis demonstrates the application of machine learning to liver transplant outcome prediction. While 30-day readmission remains challenging to predict from clinical data alone, the composite complication index can be predicted with reasonable accuracy (AUC 0.73). The identified risk factors align with clinical intuition and published literature, providing validation for the modeling approach.</w:t>
      </w:r>
    </w:p>
    <w:p>
      <w:pPr>
        <w:spacing w:after="200"/>
      </w:pPr>
      <w:r>
        <w:rPr>
          <w:sz w:val="24"/>
          <w:szCs w:val="24"/>
        </w:rPr>
        <w:t xml:space="preserve">Future work should focus on incorporating post-discharge factors, validating on external datasets, and developing risk stratification tools that can be integrated into clinical workflows to identify high-risk patients for targeted interventions.</w:t>
      </w:r>
    </w:p>
    <w:p>
      <w:r>
        <w:br w:type="page"/>
      </w:r>
    </w:p>
    <w:p>
      <w:pPr>
        <w:pStyle w:val="Heading1"/>
      </w:pPr>
      <w:r>
        <w:t xml:space="preserve">6. Appendix: Technical Details</w:t>
      </w:r>
    </w:p>
    <w:p>
      <w:pPr>
        <w:pStyle w:val="Heading2"/>
      </w:pPr>
      <w:r>
        <w:t xml:space="preserve">6.1 Data Processing Pipeline</w:t>
      </w:r>
    </w:p>
    <w:p>
      <w:pPr>
        <w:spacing w:after="120"/>
      </w:pPr>
      <w:r>
        <w:rPr>
          <w:sz w:val="24"/>
          <w:szCs w:val="24"/>
        </w:rPr>
        <w:t xml:space="preserve">1. Data Loading: Raw registry data loaded from CSV format</w:t>
      </w:r>
    </w:p>
    <w:p>
      <w:pPr>
        <w:spacing w:after="120"/>
      </w:pPr>
      <w:r>
        <w:rPr>
          <w:sz w:val="24"/>
          <w:szCs w:val="24"/>
        </w:rPr>
        <w:t xml:space="preserve">2. Missing Value Handling: KNN imputation (k=5) for numerical features</w:t>
      </w:r>
    </w:p>
    <w:p>
      <w:pPr>
        <w:spacing w:after="120"/>
      </w:pPr>
      <w:r>
        <w:rPr>
          <w:sz w:val="24"/>
          <w:szCs w:val="24"/>
        </w:rPr>
        <w:t xml:space="preserve">3. Encoding: Label encoding for categorical variables</w:t>
      </w:r>
    </w:p>
    <w:p>
      <w:pPr>
        <w:spacing w:after="120"/>
      </w:pPr>
      <w:r>
        <w:rPr>
          <w:sz w:val="24"/>
          <w:szCs w:val="24"/>
        </w:rPr>
        <w:t xml:space="preserve">4. Splitting: 80/20 train-test split with stratification</w:t>
      </w:r>
    </w:p>
    <w:p>
      <w:pPr>
        <w:spacing w:after="120"/>
      </w:pPr>
      <w:r>
        <w:rPr>
          <w:sz w:val="24"/>
          <w:szCs w:val="24"/>
        </w:rPr>
        <w:t xml:space="preserve">5. Scaling: StandardScaler for distance-based algorithms</w:t>
      </w:r>
    </w:p>
    <w:p>
      <w:pPr>
        <w:pStyle w:val="Heading2"/>
      </w:pPr>
      <w:r>
        <w:t xml:space="preserve">6.2 Software Environment</w:t>
      </w:r>
    </w:p>
    <w:p>
      <w:pPr>
        <w:spacing w:after="120"/>
      </w:pPr>
      <w:r>
        <w:rPr>
          <w:sz w:val="24"/>
          <w:szCs w:val="24"/>
        </w:rPr>
        <w:t xml:space="preserve">• Python 3.x with scikit-learn, pandas, numpy, matplotlib, seaborn</w:t>
      </w:r>
    </w:p>
    <w:p>
      <w:pPr>
        <w:spacing w:after="120"/>
      </w:pPr>
      <w:r>
        <w:rPr>
          <w:sz w:val="24"/>
          <w:szCs w:val="24"/>
        </w:rPr>
        <w:t xml:space="preserve">• Models: LogisticRegression, RandomForestClassifier, GradientBoostingClassifier, KNeighborsClassifier</w:t>
      </w:r>
    </w:p>
    <w:p>
      <w:pPr>
        <w:spacing w:after="120"/>
      </w:pPr>
      <w:r>
        <w:rPr>
          <w:sz w:val="24"/>
          <w:szCs w:val="24"/>
        </w:rPr>
        <w:t xml:space="preserve">• Evaluation: scikit-learn metrics (roc_auc_score, classification_report, confusion_matrix)</w:t>
      </w:r>
    </w:p>
    <w:p>
      <w:pPr>
        <w:pStyle w:val="Heading2"/>
      </w:pPr>
      <w:r>
        <w:t xml:space="preserve">6.3 Cross-Validation Results</w:t>
      </w:r>
    </w:p>
    <w:p>
      <w:pPr>
        <w:spacing w:after="200"/>
      </w:pPr>
      <w:r>
        <w:rPr>
          <w:sz w:val="24"/>
          <w:szCs w:val="24"/>
        </w:rPr>
        <w:t xml:space="preserve">5-fold stratified cross-validation AUC-ROC scores (mean ± std): Logistic Regression: 0.537 ± 0.045; Random Forest: 0.553 ± 0.043; Gradient Boosting: 0.561 ± 0.055; KNN: 0.556 ± 0.027</w:t>
      </w:r>
    </w:p>
    <w:p>
      <w:pPr>
        <w:pStyle w:val="Heading2"/>
      </w:pPr>
      <w:r>
        <w:t xml:space="preserve">6.4 References</w:t>
      </w:r>
    </w:p>
    <w:p>
      <w:pPr>
        <w:spacing w:after="120"/>
      </w:pPr>
      <w:r>
        <w:rPr>
          <w:i/>
          <w:iCs/>
          <w:sz w:val="22"/>
          <w:szCs w:val="22"/>
        </w:rPr>
        <w:t xml:space="preserve">Feng S, et al. (2006). Characteristics Associated with Liver Graft Failure: The Concept of a Donor Risk Index. American Journal of Transplantation, 6:783-790.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Liver Transplant Outcomes Analysis - Rohini Vishwanathan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874a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2026-01-15T10:02:25.567Z</dcterms:created>
  <dcterms:modified xsi:type="dcterms:W3CDTF">2026-01-15T10:02:25.568Z</dcterms:modified>
</cp:coreProperties>
</file>

<file path=docProps/custom.xml><?xml version="1.0" encoding="utf-8"?>
<Properties xmlns="http://schemas.openxmlformats.org/officeDocument/2006/custom-properties" xmlns:vt="http://schemas.openxmlformats.org/officeDocument/2006/docPropsVTypes"/>
</file>