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 of the Meeting of the Special Interest Group on Domain Names and Numbers (SIG-DNN)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Friday, 29th May 2026 | 11:30 AM IST | Virtual</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 1: Subcommittee Report on IPv6 Deployment Research Paper</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observed that India’s aggregate IPv6 adoption figures, while encouraging, reflected the deployment of a limited number of large operators and did not fully capture the position across smaller service providers, enterprise platforms, and government systems. It was further noted that the paper should distinguish between traffic volume and the number of websites or services, as these two measures may lead to different conclusions. Members also observed that government websites remain important, even where they account for a relatively small share of traffic.</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agreed that the draft should be strengthened by including an appendix listing major government websites and services tested for IPv6 resolution, together with additional technical remarks from SIG DNN members with relevant expertise. It was further suggested that the draft paper should be reviewed by a wider set of stakeholders from the ISP community, including ISPAI’s Executive Council, so that the final document reflects validated industry experience.</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also agreed that, once comments had been received, the revised paper would be taken back to the SIG-DNN IPv6 Subcommittee and thereafter forwarded to the Secretariat as a finalised input to be discussed in the next SIG-DNN meeting.</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 2: DDoS Activity Across Indian Broadband Networks</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Anurag Bhatia introduced the discussion on DDoS activity across Indian broadband networks and indicated that the matter was intended as a long-term workstream rather than a short-term fix. It was observed that the issue required further discussion with relevant stakeholders, including other subcommittees and industry participants, to develop practical standards and security mechanisms for customer premises equipment and related infrastructure.</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noted that this topic should be taken forward by way of a note and subsequent engagement with other SIG members and stakeholders. It was agreed that the matter would be advanced in a structured manner, with further discussion to follow after the initiation of correspondence and preliminary engagement.</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Agenda 3: Internet Resilience and .IN Stability</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 was carried forward from the previous SIG-DNN meeting held on Wednesday,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April 2026. The Vice Chair noted that the principal concern raised at that meeting related to whether the .IN registration and resolution infrastructure was hosted within India.</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Rajiv Kumar, Manager, .IN at NIXI, clarified that the relevant data has remained within India since the RFP requirements introduced in 2005 and that registration-related data is required to remain in India. He further clarified that the current cloud arrangement was temporary and had been adopted owing to infrastructure-development constraints, while confirming that physical infrastructure arrangements in Mumbai and Hyderabad are already in the process of being finalised.</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noted that, while cloud-based arrangements may be used operationally during the transition, it should be ensured that the underlying infrastructure and resolution ecosystem is finally anchored in India. Mr Rajiv Kumar also shared that any further clarification which may be sought by the SIG could be obtained from the current service provider. The members agreed that the explanation provided by NIXI substantially addressed the concern raised in the previous meeting and it was also noted that members who examined whether the resolution and related operations were being carried out in India confirmed that they were.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 4: Identification of Priority Topics and Issues for the Short, Medium and Long Term</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Secretariat presented the consolidated list of priorities identified for SIG-DNN in the course of preparations for the Joint SIG Meeting alongside ICANN85. It was noted that the list had been developed earlier through discussions within the SIG, but required further consideration by members to determine which items should be taken forward as the Group’s priorities in the short, medium and long term.</w:t>
      </w: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observed that the SIG should not attempt to take up every issue at once, but should instead focus on a limited set of topics capable of yielding concrete outcomes. It was accordingly agreed that the list would be recirculated along with the minute so that members could indicate their priorities and submit any further comments before the next meeting.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 5: Any Other Business</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discussed the possibility of holding a hybrid or face-to-face SIG meeting in June 2026, with NIXI office in Delhi suggested as the possible venue.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4695"/>
        <w:gridCol w:w="2190"/>
        <w:gridCol w:w="1815"/>
        <w:tblGridChange w:id="0">
          <w:tblGrid>
            <w:gridCol w:w="330"/>
            <w:gridCol w:w="4695"/>
            <w:gridCol w:w="2190"/>
            <w:gridCol w:w="1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Circulate the clean version of the IPv6 deployment paper to members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June 2026</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IPv6 paper further, including technical validation and appendix inputs on website-level IPv6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IPv6 Subcommittee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next subcommittee meeting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follow-up on the DDoS issue through a short note and further stakeholder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Anurag Bhatia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Recirculate the priority-topics working document along with the minutes and invite comments by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June 2026</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details of the relevant ICANN86 sessions for members to attend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June 2026</w:t>
            </w:r>
          </w:p>
        </w:tc>
      </w:tr>
    </w:tbl>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Annexure I</w:t>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Participants</w:t>
      </w:r>
    </w:p>
    <w:tbl>
      <w:tblPr>
        <w:tblStyle w:val="Table2"/>
        <w:tblW w:w="964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9135"/>
        <w:tblGridChange w:id="0">
          <w:tblGrid>
            <w:gridCol w:w="510"/>
            <w:gridCol w:w="9135"/>
          </w:tblGrid>
        </w:tblGridChange>
      </w:tblGrid>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gridSpan w:val="2"/>
          </w:tcPr>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 of the SIG on Domain Names and Numbers</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Amitabh Singhal, ICANN Board Member</w:t>
              <w:tab/>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Amrita Choudhury, Director CCAOI, Chair AprIGF, Chair IGFSA, Chair APRALO, Past UN IGF MAG Member</w:t>
              <w:tab/>
              <w:tab/>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Vikas Saraswat, Partner, Saraswat &amp; Co., Advocates &amp; IP Attorneys</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Brajesh Jain, Ex-President, Spectranet</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Satish Babu, Director of InApp, Chair APRALO at ICANN</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 R S Perhar, President Netplus Broadband</w:t>
              <w:tab/>
            </w:r>
          </w:p>
        </w:tc>
      </w:tr>
      <w:tr>
        <w:trPr>
          <w:cantSplit w:val="0"/>
          <w:trHeight w:val="155.9765625" w:hRule="atLeast"/>
          <w:tblHeader w:val="0"/>
        </w:trPr>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Pankaj Chaturvedi, VP- Special Projects Lightstorm Telecom Ventures and Treasurer, ISPAI</w:t>
              <w:tab/>
            </w:r>
          </w:p>
        </w:tc>
      </w:tr>
      <w:tr>
        <w:trPr>
          <w:cantSplit w:val="0"/>
          <w:trHeight w:val="155.9765625" w:hRule="atLeast"/>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Anurag Bhatia, Network Researcher, Hurricane Electric</w:t>
            </w:r>
          </w:p>
        </w:tc>
      </w:tr>
      <w:tr>
        <w:trPr>
          <w:cantSplit w:val="0"/>
          <w:trHeight w:val="155.9765625" w:hRule="atLeast"/>
          <w:tblHeader w:val="0"/>
        </w:trPr>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Venkat Ramanan, Director World Phone Internet Services Private Limited</w:t>
              <w:tab/>
            </w:r>
          </w:p>
        </w:tc>
      </w:tr>
      <w:tr>
        <w:trPr>
          <w:cantSplit w:val="0"/>
          <w:trHeight w:val="155.9765625" w:hRule="atLeast"/>
          <w:tblHeader w:val="0"/>
        </w:trPr>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Vinay Murarka, Internet Governance Specialist</w:t>
              <w:tab/>
            </w:r>
          </w:p>
        </w:tc>
      </w:tr>
      <w:tr>
        <w:trPr>
          <w:cantSplit w:val="0"/>
          <w:tblHeader w:val="0"/>
        </w:trPr>
        <w:tc>
          <w:tcPr>
            <w:gridSpan w:val="2"/>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from MeitY/NIXI/C-DAC</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Rajiv Kumar, Manager(.IN), NIXI</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Deborah Swati Lall, SIG Secretariat</w:t>
            </w:r>
          </w:p>
        </w:tc>
      </w:tr>
    </w:tbl>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