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of the Meeting of SIG-DNN (Wednesday, 15</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April 2026)</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concern was raised regarding the resolution of the .in domain taking place from infrastructure outside of India, with members noting that the principle of domestic resolution is integral for internet resilience. It was observed that this matter has implications for Internet resilience and data sovereignty. The Chair and the Vice Chair agreed that this should be added as an agenda item for the next meeting under the broader topic of Internet Resilience and .in stability.</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Meeting of SIG-DNN (Friday, 29</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May 2026 | 11:30 AM IST)</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Agenda 3: Internet Resilience and .IN Stability / Domestic DNS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matter was agreed to be placed on the agenda of the present meeting for substantive discussion at the SIG-DNN meeting of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April 2026. Members are invited to consider the scope and framing of the SIG's engagement with this issue.</w:t>
            </w:r>
            <w:r w:rsidDel="00000000" w:rsidR="00000000" w:rsidRPr="00000000">
              <w:rPr>
                <w:rtl w:val="0"/>
              </w:rPr>
            </w:r>
          </w:p>
        </w:tc>
      </w:tr>
    </w:tbl>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