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B6" w:rsidRDefault="00F647B6" w:rsidP="00F647B6">
      <w:pPr>
        <w:pStyle w:val="Heading1"/>
        <w:shd w:val="clear" w:color="auto" w:fill="FFFFFF"/>
        <w:spacing w:before="0"/>
      </w:pPr>
      <w:r>
        <w:t>History</w:t>
      </w:r>
      <w:r w:rsidR="00B65E7F">
        <w:t>:</w:t>
      </w:r>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Sundaram Finance, a prominent member of the </w:t>
      </w:r>
      <w:r>
        <w:rPr>
          <w:rStyle w:val="Strong"/>
          <w:rFonts w:ascii="calibri-bold" w:hAnsi="calibri-bold" w:cs="Calibri"/>
          <w:color w:val="3B3E43"/>
          <w:sz w:val="23"/>
          <w:szCs w:val="23"/>
        </w:rPr>
        <w:t>TSF group,</w:t>
      </w:r>
      <w:r>
        <w:rPr>
          <w:rFonts w:ascii="Calibri" w:hAnsi="Calibri" w:cs="Calibri"/>
          <w:color w:val="3B3E43"/>
        </w:rPr>
        <w:t> was established in 1954 when Sri T. S. Santhanam, the Founder, envisioned the future of hire-purchase finance in India. The company was started with a paid-up capital of Rs. 2 Lakhs and promoted by Madras Motor &amp; General Insurance Company, which was then one of the leading insurance companies in India prior to nationalisation in 1971.</w:t>
      </w:r>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Started with the primary objective of financing the purchase of commercial vehicles, the company has today grown into one of the most trusted financial services groups in India. It has a nation-wide presence of nearly 1000 branches, over two lakh depositors, and three lakh commercial vehicle and car finance customers.</w:t>
      </w:r>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Today, Sundaram Finance Limited has a diversified presence in Mutual Funds, Housing Finance, General Insurance, IT, Business Process Outsourcing, and Retail Distribution of a wide array of financial services and products.</w:t>
      </w:r>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The company's Diamond Jubilee in August 2014 was preceded by the birth centenary of its Founder in November 2012. was established in 1954 when Sri T. S. Santhanam, the Founder, envisioned the future of hire-purchase finance in India. The company was started with a paid-up capital of Rs. 2 Lakhs and promoted by Madras Motor &amp; General Insurance Company which was then one of the leading insurance companies in India prior to nationalisation in 1971.</w:t>
      </w:r>
    </w:p>
    <w:p w:rsidR="00F647B6" w:rsidRDefault="00F647B6" w:rsidP="00F647B6">
      <w:pPr>
        <w:pStyle w:val="Heading1"/>
        <w:shd w:val="clear" w:color="auto" w:fill="FFFFFF"/>
        <w:spacing w:before="0"/>
      </w:pPr>
      <w:r>
        <w:t>Market Capitalisation &amp; Ratings</w:t>
      </w:r>
      <w:bookmarkStart w:id="0" w:name="_GoBack"/>
      <w:bookmarkEnd w:id="0"/>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The Company's shares were originally listed in the Madras Stock Exchange (MSE) in 1972, its first and only ever public offering, making it the first NBFC to be listed in MSE and were subsequently listed in the National Stock Exchange in 1998. The company has a market capitalization of Rs.18, 634 cr. on the equity share capital of Rs.111.10 cr. as on 31st March 2018.</w:t>
      </w:r>
    </w:p>
    <w:p w:rsidR="00F647B6" w:rsidRDefault="00F647B6" w:rsidP="00F647B6">
      <w:pPr>
        <w:pStyle w:val="NormalWeb"/>
        <w:shd w:val="clear" w:color="auto" w:fill="FFFFFF"/>
        <w:spacing w:before="0" w:beforeAutospacing="0"/>
        <w:rPr>
          <w:rFonts w:ascii="Calibri" w:hAnsi="Calibri" w:cs="Calibri"/>
          <w:color w:val="3B3E43"/>
        </w:rPr>
      </w:pPr>
      <w:r>
        <w:rPr>
          <w:rFonts w:ascii="Calibri" w:hAnsi="Calibri" w:cs="Calibri"/>
          <w:color w:val="3B3E43"/>
        </w:rPr>
        <w:t>The company's fixed deposits are currently rated "AAA" (Highest Credit Quality) by ICRA and CRISIL.</w:t>
      </w:r>
    </w:p>
    <w:p w:rsidR="00F647B6" w:rsidRDefault="00F647B6" w:rsidP="008019A7">
      <w:pPr>
        <w:pStyle w:val="NormalWeb"/>
        <w:shd w:val="clear" w:color="auto" w:fill="FFFFFF"/>
        <w:spacing w:before="0" w:beforeAutospacing="0"/>
        <w:rPr>
          <w:rFonts w:ascii="Calibri" w:hAnsi="Calibri" w:cs="Calibri"/>
          <w:color w:val="3B3E43"/>
        </w:rPr>
      </w:pPr>
      <w:r>
        <w:rPr>
          <w:rFonts w:ascii="Calibri" w:hAnsi="Calibri" w:cs="Calibri"/>
          <w:color w:val="3B3E43"/>
        </w:rPr>
        <w:t>The long-term borrowings are currently rated "AAA" (Highest Degree of Safety), with a "Stable outlook" by ICRA and CRISIL. The short-term borrowings (including commercial paper) are rated "A1+"/P1+ (very strong degree of safety).</w:t>
      </w:r>
    </w:p>
    <w:p w:rsidR="00EB07DA" w:rsidRPr="00EB07DA" w:rsidRDefault="00EB07DA" w:rsidP="00EB07DA">
      <w:pPr>
        <w:pStyle w:val="Heading1"/>
        <w:shd w:val="clear" w:color="auto" w:fill="FFFFFF"/>
        <w:spacing w:before="0"/>
      </w:pPr>
      <w:r>
        <w:t>R</w:t>
      </w:r>
      <w:r>
        <w:t>evenue</w:t>
      </w:r>
    </w:p>
    <w:p w:rsidR="00546DC6" w:rsidRPr="00EB07DA" w:rsidRDefault="00EB07DA" w:rsidP="00EB07DA">
      <w:pPr>
        <w:pStyle w:val="NormalWeb"/>
        <w:shd w:val="clear" w:color="auto" w:fill="FFFFFF"/>
        <w:spacing w:before="0" w:beforeAutospacing="0"/>
        <w:rPr>
          <w:rFonts w:ascii="Calibri" w:hAnsi="Calibri" w:cs="Calibri"/>
          <w:color w:val="3B3E43"/>
        </w:rPr>
      </w:pPr>
      <w:r>
        <w:rPr>
          <w:rFonts w:ascii="Segoe UI" w:hAnsi="Segoe UI" w:cs="Segoe UI"/>
          <w:color w:val="0F0F0F"/>
        </w:rPr>
        <w:t xml:space="preserve">The revenue of Sundaram Finance for the last </w:t>
      </w:r>
      <w:r>
        <w:rPr>
          <w:rFonts w:ascii="Segoe UI" w:hAnsi="Segoe UI" w:cs="Segoe UI"/>
          <w:color w:val="0F0F0F"/>
        </w:rPr>
        <w:t>few</w:t>
      </w:r>
      <w:r>
        <w:rPr>
          <w:rFonts w:ascii="Segoe UI" w:hAnsi="Segoe UI" w:cs="Segoe UI"/>
          <w:color w:val="0F0F0F"/>
        </w:rPr>
        <w:t xml:space="preserve"> years is as follows:</w:t>
      </w:r>
    </w:p>
    <w:tbl>
      <w:tblPr>
        <w:tblW w:w="5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968"/>
        <w:gridCol w:w="1929"/>
        <w:gridCol w:w="1926"/>
      </w:tblGrid>
      <w:tr w:rsidR="00546DC6" w:rsidTr="00EB07DA">
        <w:trPr>
          <w:trHeight w:val="228"/>
        </w:trPr>
        <w:tc>
          <w:tcPr>
            <w:tcW w:w="1968" w:type="dxa"/>
            <w:vAlign w:val="bottom"/>
          </w:tcPr>
          <w:p w:rsidR="001C542B" w:rsidRDefault="001C542B" w:rsidP="001C542B">
            <w:pPr>
              <w:widowControl w:val="0"/>
              <w:jc w:val="center"/>
              <w:rPr>
                <w:b/>
                <w:bCs/>
              </w:rPr>
            </w:pPr>
            <w:r>
              <w:rPr>
                <w:rFonts w:hint="eastAsia"/>
                <w:b/>
                <w:bCs/>
              </w:rPr>
              <w:t>C</w:t>
            </w:r>
            <w:r w:rsidR="00EB07DA">
              <w:rPr>
                <w:b/>
                <w:bCs/>
              </w:rPr>
              <w:t>ompany</w:t>
            </w:r>
          </w:p>
        </w:tc>
        <w:tc>
          <w:tcPr>
            <w:tcW w:w="1929" w:type="dxa"/>
            <w:vAlign w:val="bottom"/>
          </w:tcPr>
          <w:p w:rsidR="001C542B" w:rsidRDefault="001C542B" w:rsidP="001C542B">
            <w:pPr>
              <w:widowControl w:val="0"/>
              <w:jc w:val="center"/>
              <w:rPr>
                <w:b/>
                <w:bCs/>
              </w:rPr>
            </w:pPr>
            <w:r>
              <w:rPr>
                <w:rFonts w:hint="eastAsia"/>
                <w:b/>
                <w:bCs/>
              </w:rPr>
              <w:t>Y</w:t>
            </w:r>
            <w:r w:rsidR="00EB07DA">
              <w:rPr>
                <w:b/>
                <w:bCs/>
              </w:rPr>
              <w:t>ear</w:t>
            </w:r>
          </w:p>
        </w:tc>
        <w:tc>
          <w:tcPr>
            <w:tcW w:w="1926" w:type="dxa"/>
            <w:vAlign w:val="bottom"/>
          </w:tcPr>
          <w:p w:rsidR="001C542B" w:rsidRDefault="001C542B" w:rsidP="001C542B">
            <w:pPr>
              <w:widowControl w:val="0"/>
              <w:jc w:val="center"/>
              <w:rPr>
                <w:b/>
                <w:bCs/>
              </w:rPr>
            </w:pPr>
            <w:r>
              <w:rPr>
                <w:rFonts w:hint="eastAsia"/>
                <w:b/>
                <w:bCs/>
              </w:rPr>
              <w:t>R</w:t>
            </w:r>
            <w:r w:rsidR="00EB07DA">
              <w:rPr>
                <w:b/>
                <w:bCs/>
              </w:rPr>
              <w:t>evenue</w:t>
            </w:r>
          </w:p>
        </w:tc>
      </w:tr>
      <w:tr w:rsidR="001C542B" w:rsidTr="00EB07DA">
        <w:trPr>
          <w:trHeight w:val="228"/>
        </w:trPr>
        <w:tc>
          <w:tcPr>
            <w:tcW w:w="1968" w:type="dxa"/>
            <w:vAlign w:val="bottom"/>
          </w:tcPr>
          <w:p w:rsidR="001C542B" w:rsidRDefault="001C542B">
            <w:pPr>
              <w:widowControl w:val="0"/>
              <w:jc w:val="center"/>
            </w:pPr>
            <w:r>
              <w:t>SF</w:t>
            </w:r>
          </w:p>
        </w:tc>
        <w:tc>
          <w:tcPr>
            <w:tcW w:w="1929" w:type="dxa"/>
            <w:vAlign w:val="bottom"/>
          </w:tcPr>
          <w:p w:rsidR="001C542B" w:rsidRDefault="001C542B">
            <w:pPr>
              <w:widowControl w:val="0"/>
              <w:jc w:val="center"/>
            </w:pPr>
            <w:r>
              <w:t>2015</w:t>
            </w:r>
          </w:p>
        </w:tc>
        <w:tc>
          <w:tcPr>
            <w:tcW w:w="1926" w:type="dxa"/>
            <w:vAlign w:val="bottom"/>
          </w:tcPr>
          <w:p w:rsidR="001C542B" w:rsidRDefault="001C542B">
            <w:pPr>
              <w:widowControl w:val="0"/>
              <w:jc w:val="center"/>
              <w:rPr>
                <w:rFonts w:ascii="Segoe UI" w:hAnsi="Segoe UI" w:cs="Segoe UI"/>
                <w:color w:val="0F0F0F"/>
              </w:rPr>
            </w:pPr>
            <w:r>
              <w:rPr>
                <w:rFonts w:ascii="Segoe UI" w:hAnsi="Segoe UI" w:cs="Segoe UI"/>
                <w:color w:val="0F0F0F"/>
              </w:rPr>
              <w:t>₹4,294.27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2016</w:t>
            </w:r>
          </w:p>
        </w:tc>
        <w:tc>
          <w:tcPr>
            <w:tcW w:w="1926" w:type="dxa"/>
            <w:vAlign w:val="bottom"/>
          </w:tcPr>
          <w:p w:rsidR="001C542B" w:rsidRDefault="001C542B" w:rsidP="001C542B">
            <w:pPr>
              <w:widowControl w:val="0"/>
              <w:jc w:val="center"/>
              <w:rPr>
                <w:rFonts w:ascii="Segoe UI" w:hAnsi="Segoe UI" w:cs="Segoe UI"/>
                <w:color w:val="0F0F0F"/>
              </w:rPr>
            </w:pPr>
            <w:r>
              <w:rPr>
                <w:rFonts w:ascii="Segoe UI" w:hAnsi="Segoe UI" w:cs="Segoe UI"/>
                <w:color w:val="0F0F0F"/>
              </w:rPr>
              <w:t>₹5,034.72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2017</w:t>
            </w:r>
          </w:p>
        </w:tc>
        <w:tc>
          <w:tcPr>
            <w:tcW w:w="1926" w:type="dxa"/>
            <w:vAlign w:val="bottom"/>
          </w:tcPr>
          <w:p w:rsidR="001C542B" w:rsidRDefault="001C542B" w:rsidP="001C542B">
            <w:pPr>
              <w:widowControl w:val="0"/>
              <w:jc w:val="center"/>
            </w:pPr>
            <w:r>
              <w:rPr>
                <w:rFonts w:ascii="Segoe UI" w:hAnsi="Segoe UI" w:cs="Segoe UI"/>
                <w:color w:val="0F0F0F"/>
              </w:rPr>
              <w:t>₹5,596.38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2018</w:t>
            </w:r>
          </w:p>
        </w:tc>
        <w:tc>
          <w:tcPr>
            <w:tcW w:w="1926" w:type="dxa"/>
            <w:vAlign w:val="bottom"/>
          </w:tcPr>
          <w:p w:rsidR="001C542B" w:rsidRDefault="001C542B" w:rsidP="001C542B">
            <w:pPr>
              <w:widowControl w:val="0"/>
              <w:jc w:val="center"/>
            </w:pPr>
            <w:r>
              <w:rPr>
                <w:rFonts w:ascii="Segoe UI" w:hAnsi="Segoe UI" w:cs="Segoe UI"/>
                <w:color w:val="0F0F0F"/>
              </w:rPr>
              <w:t>₹6,344.03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2019</w:t>
            </w:r>
          </w:p>
        </w:tc>
        <w:tc>
          <w:tcPr>
            <w:tcW w:w="1926" w:type="dxa"/>
            <w:vAlign w:val="bottom"/>
          </w:tcPr>
          <w:p w:rsidR="001C542B" w:rsidRDefault="001C542B" w:rsidP="001C542B">
            <w:pPr>
              <w:widowControl w:val="0"/>
              <w:jc w:val="center"/>
            </w:pPr>
            <w:r>
              <w:rPr>
                <w:rFonts w:ascii="Segoe UI" w:hAnsi="Segoe UI" w:cs="Segoe UI"/>
                <w:color w:val="0F0F0F"/>
              </w:rPr>
              <w:t>₹4,178.37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2020</w:t>
            </w:r>
          </w:p>
        </w:tc>
        <w:tc>
          <w:tcPr>
            <w:tcW w:w="1926" w:type="dxa"/>
            <w:vAlign w:val="bottom"/>
          </w:tcPr>
          <w:p w:rsidR="001C542B" w:rsidRDefault="001C542B" w:rsidP="001C542B">
            <w:pPr>
              <w:widowControl w:val="0"/>
              <w:jc w:val="center"/>
            </w:pPr>
            <w:r>
              <w:rPr>
                <w:rFonts w:ascii="Segoe UI" w:hAnsi="Segoe UI" w:cs="Segoe UI"/>
                <w:color w:val="0F0F0F"/>
              </w:rPr>
              <w:t>₹4,738.75 crores</w:t>
            </w:r>
          </w:p>
        </w:tc>
      </w:tr>
      <w:tr w:rsidR="001C542B" w:rsidTr="00EB07DA">
        <w:trPr>
          <w:trHeight w:val="228"/>
        </w:trPr>
        <w:tc>
          <w:tcPr>
            <w:tcW w:w="1968" w:type="dxa"/>
            <w:vAlign w:val="bottom"/>
          </w:tcPr>
          <w:p w:rsidR="001C542B" w:rsidRDefault="001C542B" w:rsidP="001C542B">
            <w:pPr>
              <w:widowControl w:val="0"/>
              <w:jc w:val="center"/>
            </w:pPr>
            <w:r>
              <w:t>SF</w:t>
            </w:r>
          </w:p>
        </w:tc>
        <w:tc>
          <w:tcPr>
            <w:tcW w:w="1929" w:type="dxa"/>
            <w:vAlign w:val="bottom"/>
          </w:tcPr>
          <w:p w:rsidR="001C542B" w:rsidRDefault="001C542B" w:rsidP="001C542B">
            <w:pPr>
              <w:widowControl w:val="0"/>
              <w:jc w:val="center"/>
            </w:pPr>
            <w:r>
              <w:t>2021</w:t>
            </w:r>
          </w:p>
        </w:tc>
        <w:tc>
          <w:tcPr>
            <w:tcW w:w="1926" w:type="dxa"/>
            <w:vAlign w:val="bottom"/>
          </w:tcPr>
          <w:p w:rsidR="001C542B" w:rsidRDefault="001C542B" w:rsidP="001C542B">
            <w:pPr>
              <w:widowControl w:val="0"/>
              <w:jc w:val="center"/>
            </w:pPr>
            <w:r>
              <w:rPr>
                <w:rFonts w:ascii="Segoe UI" w:hAnsi="Segoe UI" w:cs="Segoe UI"/>
                <w:color w:val="0F0F0F"/>
              </w:rPr>
              <w:t>₹5,316.74 crores</w:t>
            </w:r>
          </w:p>
        </w:tc>
      </w:tr>
    </w:tbl>
    <w:p w:rsidR="00546DC6" w:rsidRDefault="00546DC6">
      <w:pPr>
        <w:jc w:val="center"/>
      </w:pPr>
    </w:p>
    <w:p w:rsidR="007602FE" w:rsidRDefault="007602FE"/>
    <w:sectPr w:rsidR="007602F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46DC6"/>
    <w:rsid w:val="00197334"/>
    <w:rsid w:val="001B2E40"/>
    <w:rsid w:val="001C542B"/>
    <w:rsid w:val="003451F0"/>
    <w:rsid w:val="00546DC6"/>
    <w:rsid w:val="00632EA3"/>
    <w:rsid w:val="00657A20"/>
    <w:rsid w:val="00667C70"/>
    <w:rsid w:val="007559CA"/>
    <w:rsid w:val="007602FE"/>
    <w:rsid w:val="008019A7"/>
    <w:rsid w:val="00844D8D"/>
    <w:rsid w:val="009E64B7"/>
    <w:rsid w:val="00A433BE"/>
    <w:rsid w:val="00AB69F6"/>
    <w:rsid w:val="00B52EE8"/>
    <w:rsid w:val="00B65E7F"/>
    <w:rsid w:val="00B85CBA"/>
    <w:rsid w:val="00BC1F1B"/>
    <w:rsid w:val="00C5066F"/>
    <w:rsid w:val="00CA24A5"/>
    <w:rsid w:val="00CC5D3B"/>
    <w:rsid w:val="00D01D86"/>
    <w:rsid w:val="00E47689"/>
    <w:rsid w:val="00EA0C16"/>
    <w:rsid w:val="00EB07DA"/>
    <w:rsid w:val="00EB1D90"/>
    <w:rsid w:val="00F647B6"/>
    <w:rsid w:val="00FC66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89C"/>
  <w15:docId w15:val="{AC894B45-75A9-41AB-B50B-195479DC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extAlignment w:val="baseline"/>
    </w:pPr>
  </w:style>
  <w:style w:type="paragraph" w:styleId="Heading1">
    <w:name w:val="heading 1"/>
    <w:basedOn w:val="Normal"/>
    <w:next w:val="Normal"/>
    <w:link w:val="Heading1Char"/>
    <w:uiPriority w:val="9"/>
    <w:qFormat/>
    <w:rsid w:val="00B52EE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3">
    <w:name w:val="heading 3"/>
    <w:basedOn w:val="Normal"/>
    <w:link w:val="Heading3Char"/>
    <w:uiPriority w:val="9"/>
    <w:qFormat/>
    <w:rsid w:val="00EA0C16"/>
    <w:pPr>
      <w:suppressAutoHyphens w:val="0"/>
      <w:spacing w:before="100" w:beforeAutospacing="1" w:after="100" w:afterAutospacing="1"/>
      <w:textAlignment w:val="auto"/>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Heading3Char">
    <w:name w:val="Heading 3 Char"/>
    <w:basedOn w:val="DefaultParagraphFont"/>
    <w:link w:val="Heading3"/>
    <w:uiPriority w:val="9"/>
    <w:rsid w:val="00EA0C16"/>
    <w:rPr>
      <w:rFonts w:ascii="Times New Roman" w:eastAsia="Times New Roman" w:hAnsi="Times New Roman" w:cs="Times New Roman"/>
      <w:b/>
      <w:bCs/>
      <w:kern w:val="0"/>
      <w:sz w:val="27"/>
      <w:szCs w:val="27"/>
      <w:lang w:eastAsia="en-IN" w:bidi="ar-SA"/>
    </w:rPr>
  </w:style>
  <w:style w:type="paragraph" w:styleId="NormalWeb">
    <w:name w:val="Normal (Web)"/>
    <w:basedOn w:val="Normal"/>
    <w:uiPriority w:val="99"/>
    <w:unhideWhenUsed/>
    <w:rsid w:val="00EA0C16"/>
    <w:pPr>
      <w:suppressAutoHyphens w:val="0"/>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Heading1Char">
    <w:name w:val="Heading 1 Char"/>
    <w:basedOn w:val="DefaultParagraphFont"/>
    <w:link w:val="Heading1"/>
    <w:uiPriority w:val="9"/>
    <w:rsid w:val="00B52EE8"/>
    <w:rPr>
      <w:rFonts w:asciiTheme="majorHAnsi" w:eastAsiaTheme="majorEastAsia" w:hAnsiTheme="majorHAnsi" w:cs="Mangal"/>
      <w:color w:val="2E74B5" w:themeColor="accent1" w:themeShade="BF"/>
      <w:sz w:val="32"/>
      <w:szCs w:val="29"/>
    </w:rPr>
  </w:style>
  <w:style w:type="character" w:styleId="Strong">
    <w:name w:val="Strong"/>
    <w:basedOn w:val="DefaultParagraphFont"/>
    <w:uiPriority w:val="22"/>
    <w:qFormat/>
    <w:rsid w:val="00F64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24278">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sChild>
        <w:div w:id="925379386">
          <w:marLeft w:val="0"/>
          <w:marRight w:val="0"/>
          <w:marTop w:val="100"/>
          <w:marBottom w:val="100"/>
          <w:divBdr>
            <w:top w:val="none" w:sz="0" w:space="0" w:color="auto"/>
            <w:left w:val="none" w:sz="0" w:space="0" w:color="auto"/>
            <w:bottom w:val="none" w:sz="0" w:space="0" w:color="auto"/>
            <w:right w:val="none" w:sz="0" w:space="0" w:color="auto"/>
          </w:divBdr>
        </w:div>
      </w:divsChild>
    </w:div>
    <w:div w:id="1911962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31</cp:revision>
  <dcterms:created xsi:type="dcterms:W3CDTF">2023-11-10T05:44:00Z</dcterms:created>
  <dcterms:modified xsi:type="dcterms:W3CDTF">2023-11-23T16:46:00Z</dcterms:modified>
  <dc:language>en-IN</dc:language>
</cp:coreProperties>
</file>