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pPr>
      <w:r w:rsidDel="00000000" w:rsidR="00000000" w:rsidRPr="00000000">
        <w:rPr>
          <w:b w:val="1"/>
          <w:bCs w:val="1"/>
          <w:rtl w:val="0"/>
        </w:rPr>
        <w:t xml:space="preserve">I. Concept Definition: The Cognitive Engine of Healthcare</w:t>
      </w:r>
      <w:r w:rsidDel="00000000" w:rsidR="00000000" w:rsidRPr="00000000">
        <w:rPr>
          <w:rtl w:val="0"/>
        </w:rPr>
        <w:t xml:space="preserve"> </w:t>
      </w:r>
    </w:p>
    <w:p w:rsidR="00000000" w:rsidDel="00000000" w:rsidP="00000000" w:rsidRDefault="00000000" w:rsidRPr="00000000" w14:paraId="00000002">
      <w:pPr>
        <w:spacing w:after="240" w:before="240" w:line="240" w:lineRule="auto"/>
        <w:rPr/>
      </w:pPr>
      <w:r w:rsidDel="00000000" w:rsidR="00000000" w:rsidRPr="00000000">
        <w:rPr>
          <w:rtl w:val="0"/>
        </w:rPr>
        <w:t xml:space="preserve">Healthcare informatics is undergoing a foundational shift driven by the integration of clinical decision-making, pattern recognition, and artificial intelligence. Historically, healthcare systems relied on static machine learning models for discrete tasks across Treatment, Payment, and Operations (TPO). These included classification for diagnostics, clustering for patient phenotyping, and prediction for readmission risks </w:t>
      </w:r>
      <w:r w:rsidDel="00000000" w:rsidR="00000000" w:rsidRPr="00000000">
        <w:rPr>
          <w:b w:val="1"/>
          <w:bCs w:val="1"/>
          <w:rtl w:val="0"/>
        </w:rPr>
        <w:t xml:space="preserve">[3]</w:t>
      </w:r>
      <w:r w:rsidDel="00000000" w:rsidR="00000000" w:rsidRPr="00000000">
        <w:rPr>
          <w:rtl w:val="0"/>
        </w:rPr>
        <w:t xml:space="preserve">. While effective, these models were reactive, requiring constant human prompting and intervention.</w:t>
      </w:r>
    </w:p>
    <w:p w:rsidR="00000000" w:rsidDel="00000000" w:rsidP="00000000" w:rsidRDefault="00000000" w:rsidRPr="00000000" w14:paraId="00000003">
      <w:pPr>
        <w:spacing w:after="240" w:before="240" w:line="240" w:lineRule="auto"/>
        <w:rPr/>
      </w:pPr>
      <w:r w:rsidDel="00000000" w:rsidR="00000000" w:rsidRPr="00000000">
        <w:rPr>
          <w:rtl w:val="0"/>
        </w:rPr>
        <w:t xml:space="preserve">The emergence of Agentic Generative AI introduces a paradigm shift from reactive analysis to autonomous execution. Unlike traditional models, agentic systems use structured reasoning workflows to break complex, multi-step problems into logical sequences, retrieve relevant evidence, compare that evidence against policy rules, and recommend a next action </w:t>
      </w:r>
      <w:r w:rsidDel="00000000" w:rsidR="00000000" w:rsidRPr="00000000">
        <w:rPr>
          <w:b w:val="1"/>
          <w:bCs w:val="1"/>
          <w:rtl w:val="0"/>
        </w:rPr>
        <w:t xml:space="preserve">[2]</w:t>
      </w:r>
      <w:r w:rsidDel="00000000" w:rsidR="00000000" w:rsidRPr="00000000">
        <w:rPr>
          <w:rtl w:val="0"/>
        </w:rPr>
        <w:t xml:space="preserve">. In the context of TPO, this means an agent can monitor real-time clinical workflows or financial pipelines, identify irregularities, and act without waiting for a human operator.</w:t>
      </w:r>
    </w:p>
    <w:p w:rsidR="00000000" w:rsidDel="00000000" w:rsidP="00000000" w:rsidRDefault="00000000" w:rsidRPr="00000000" w14:paraId="00000004">
      <w:pPr>
        <w:spacing w:after="240" w:before="240" w:line="240" w:lineRule="auto"/>
        <w:rPr/>
      </w:pPr>
      <w:r w:rsidDel="00000000" w:rsidR="00000000" w:rsidRPr="00000000">
        <w:rPr>
          <w:b w:val="1"/>
          <w:bCs w:val="1"/>
          <w:rtl w:val="0"/>
        </w:rPr>
        <w:t xml:space="preserve">II. Trend Analysis: From Predictive Analytics to Autonomous Workflows</w:t>
      </w:r>
      <w:r w:rsidDel="00000000" w:rsidR="00000000" w:rsidRPr="00000000">
        <w:rPr>
          <w:rtl w:val="0"/>
        </w:rPr>
        <w:t xml:space="preserve"> </w:t>
      </w:r>
    </w:p>
    <w:p w:rsidR="00000000" w:rsidDel="00000000" w:rsidP="00000000" w:rsidRDefault="00000000" w:rsidRPr="00000000" w14:paraId="00000005">
      <w:pPr>
        <w:spacing w:after="240" w:before="240" w:line="240" w:lineRule="auto"/>
        <w:rPr/>
      </w:pPr>
      <w:r w:rsidDel="00000000" w:rsidR="00000000" w:rsidRPr="00000000">
        <w:rPr>
          <w:rtl w:val="0"/>
        </w:rPr>
        <w:t xml:space="preserve">The prevailing trend in healthcare technology is the migration from descriptive and predictive analytics to prescriptive, autonomous AI. Healthcare organizations are drowning in administrative complexity; managing payer-provider contracts, medical coding, and prior authorizations accounts for billions in operational waste </w:t>
      </w:r>
      <w:r w:rsidDel="00000000" w:rsidR="00000000" w:rsidRPr="00000000">
        <w:rPr>
          <w:b w:val="1"/>
          <w:bCs w:val="1"/>
          <w:rtl w:val="0"/>
        </w:rPr>
        <w:t xml:space="preserve">[1]</w:t>
      </w:r>
      <w:r w:rsidDel="00000000" w:rsidR="00000000" w:rsidRPr="00000000">
        <w:rPr>
          <w:rtl w:val="0"/>
        </w:rPr>
        <w:t xml:space="preserve">. Consequently, the industry is moving toward generative AI models capable of processing vast amounts of unstructured clinical data </w:t>
      </w:r>
      <w:r w:rsidDel="00000000" w:rsidR="00000000" w:rsidRPr="00000000">
        <w:rPr>
          <w:b w:val="1"/>
          <w:bCs w:val="1"/>
          <w:rtl w:val="0"/>
        </w:rPr>
        <w:t xml:space="preserve">[4]</w:t>
      </w:r>
      <w:r w:rsidDel="00000000" w:rsidR="00000000" w:rsidRPr="00000000">
        <w:rPr>
          <w:rtl w:val="0"/>
        </w:rPr>
        <w:t xml:space="preserve">.</w:t>
      </w:r>
    </w:p>
    <w:p w:rsidR="00000000" w:rsidDel="00000000" w:rsidP="00000000" w:rsidRDefault="00000000" w:rsidRPr="00000000" w14:paraId="00000006">
      <w:pPr>
        <w:spacing w:after="240" w:before="240" w:line="240" w:lineRule="auto"/>
        <w:rPr/>
      </w:pPr>
      <w:r w:rsidDel="00000000" w:rsidR="00000000" w:rsidRPr="00000000">
        <w:rPr>
          <w:rtl w:val="0"/>
        </w:rPr>
        <w:t xml:space="preserve">In the payment and operations sectors, the trend is heavily focused on automated payment integrity. Traditional rules-based systems for detecting Fraud, Waste, and Abuse (FWA) are easily circumvented by slightly altering billing codes over time. Today, the trend utilizes time-series anomaly detection to monitor longitudinal billing behaviors. By integrating Agentic AI into this process, systems do not just flag a suspicious claim they autonomously cross-reference clinical practice guidelines, evaluate payer-provider contracts, and draft comprehensive denial or appeal rationale, fundamentally transforming revenue cycle management.</w:t>
      </w:r>
    </w:p>
    <w:p w:rsidR="00000000" w:rsidDel="00000000" w:rsidP="00000000" w:rsidRDefault="00000000" w:rsidRPr="00000000" w14:paraId="00000007">
      <w:pPr>
        <w:spacing w:after="240" w:before="240" w:line="240" w:lineRule="auto"/>
        <w:rPr>
          <w:b w:val="1"/>
          <w:bCs w:val="1"/>
        </w:rPr>
      </w:pPr>
      <w:r w:rsidDel="00000000" w:rsidR="00000000" w:rsidRPr="00000000">
        <w:rPr>
          <w:b w:val="1"/>
          <w:bCs w:val="1"/>
          <w:rtl w:val="0"/>
        </w:rPr>
        <w:t xml:space="preserve">III. Opportunities and Threats in Agentic Healthcare AI</w:t>
      </w:r>
    </w:p>
    <w:p w:rsidR="00000000" w:rsidDel="00000000" w:rsidP="00000000" w:rsidRDefault="00000000" w:rsidRPr="00000000" w14:paraId="00000008">
      <w:pPr>
        <w:spacing w:after="240" w:before="240" w:line="240" w:lineRule="auto"/>
        <w:rPr/>
      </w:pPr>
      <w:r w:rsidDel="00000000" w:rsidR="00000000" w:rsidRPr="00000000">
        <w:rPr>
          <w:b w:val="1"/>
          <w:bCs w:val="1"/>
          <w:rtl w:val="0"/>
        </w:rPr>
        <w:t xml:space="preserve">Opportunities:</w:t>
      </w:r>
      <w:r w:rsidDel="00000000" w:rsidR="00000000" w:rsidRPr="00000000">
        <w:rPr>
          <w:rtl w:val="0"/>
        </w:rPr>
        <w:t xml:space="preserve"> The main opportunity of Agentic Generative AI in healthcare operations is speed, scalability, and better payment accuracy. By automating complex reasoning tasks in medical billing, organizations can reduce administrative overhead and detect Fraud, Waste, and Abuse more effectively. Time-series anomaly detection is especially useful because it can identify subtle billing patterns over time that human auditors or static rules may miss. For Cotiviti, this is valuable because payment integrity requires both pattern recognition and explainable decision-making.</w:t>
      </w:r>
    </w:p>
    <w:p w:rsidR="00000000" w:rsidDel="00000000" w:rsidP="00000000" w:rsidRDefault="00000000" w:rsidRPr="00000000" w14:paraId="00000009">
      <w:pPr>
        <w:spacing w:after="240" w:before="240" w:line="240" w:lineRule="auto"/>
        <w:rPr/>
      </w:pPr>
      <w:r w:rsidDel="00000000" w:rsidR="00000000" w:rsidRPr="00000000">
        <w:rPr>
          <w:b w:val="1"/>
          <w:bCs w:val="1"/>
          <w:rtl w:val="0"/>
        </w:rPr>
        <w:t xml:space="preserve">Threats:</w:t>
      </w:r>
      <w:r w:rsidDel="00000000" w:rsidR="00000000" w:rsidRPr="00000000">
        <w:rPr>
          <w:rtl w:val="0"/>
        </w:rPr>
        <w:t xml:space="preserve"> The shift to autonomous agents introduces significant security and governance threats. Generative AI models are prone to "hallucinations," which in a payment or clinical context could lead to severe financial penalties or compromised patient safety </w:t>
      </w:r>
      <w:r w:rsidDel="00000000" w:rsidR="00000000" w:rsidRPr="00000000">
        <w:rPr>
          <w:b w:val="1"/>
          <w:bCs w:val="1"/>
          <w:rtl w:val="0"/>
        </w:rPr>
        <w:t xml:space="preserve">[2, 4]</w:t>
      </w:r>
      <w:r w:rsidDel="00000000" w:rsidR="00000000" w:rsidRPr="00000000">
        <w:rPr>
          <w:rtl w:val="0"/>
        </w:rPr>
        <w:t xml:space="preserve">. More critically, allowing an autonomous agent to access enterprise databases creates a risk of data exfiltration or unauthorized exposure of Protected Health Information (PHI). If an agent’s reasoning workflow or tool access is manipulated, it could produce incorrect recommendations, expose sensitive data, or trigger unauthorized actions.</w:t>
        <w:br w:type="textWrapping"/>
        <w:br w:type="textWrapping"/>
      </w:r>
      <w:r w:rsidDel="00000000" w:rsidR="00000000" w:rsidRPr="00000000">
        <w:rPr>
          <w:b w:val="1"/>
          <w:bCs w:val="1"/>
          <w:rtl w:val="0"/>
        </w:rPr>
        <w:t xml:space="preserve">IV. Strategic Proposal: PayRight AI</w:t>
      </w:r>
      <w:r w:rsidDel="00000000" w:rsidR="00000000" w:rsidRPr="00000000">
        <w:rPr>
          <w:rtl w:val="0"/>
        </w:rPr>
        <w:t xml:space="preserve"> </w:t>
      </w:r>
    </w:p>
    <w:p w:rsidR="00000000" w:rsidDel="00000000" w:rsidP="00000000" w:rsidRDefault="00000000" w:rsidRPr="00000000" w14:paraId="0000000A">
      <w:pPr>
        <w:spacing w:after="240" w:before="240" w:line="240" w:lineRule="auto"/>
        <w:rPr/>
      </w:pPr>
      <w:r w:rsidDel="00000000" w:rsidR="00000000" w:rsidRPr="00000000">
        <w:rPr>
          <w:rtl w:val="0"/>
        </w:rPr>
        <w:t xml:space="preserve">To maintain a competitive advantage in the healthcare informatics market, Cotiviti could explore a strategic investment in a PayRight AI-style autonomous payment integrity assistant that combines anomaly detection, policy retrieval, and human-reviewed audit recommendations.</w:t>
      </w:r>
    </w:p>
    <w:p w:rsidR="00000000" w:rsidDel="00000000" w:rsidP="00000000" w:rsidRDefault="00000000" w:rsidRPr="00000000" w14:paraId="0000000B">
      <w:pPr>
        <w:spacing w:after="240" w:before="240" w:line="240" w:lineRule="auto"/>
        <w:rPr/>
      </w:pPr>
      <w:r w:rsidDel="00000000" w:rsidR="00000000" w:rsidRPr="00000000">
        <w:rPr>
          <w:rtl w:val="0"/>
        </w:rPr>
        <w:t xml:space="preserve">Cotiviti currently excels in payment accuracy and risk assessment. By investing in an agentic workflow that combines open-reasoning language models with time-series anomaly detection, Cotiviti can offer a product that autonomously audits claims pipelines.</w:t>
      </w:r>
    </w:p>
    <w:p w:rsidR="00000000" w:rsidDel="00000000" w:rsidP="00000000" w:rsidRDefault="00000000" w:rsidRPr="00000000" w14:paraId="0000000C">
      <w:pPr>
        <w:spacing w:after="240" w:before="240" w:line="240" w:lineRule="auto"/>
        <w:rPr/>
      </w:pPr>
      <w:r w:rsidDel="00000000" w:rsidR="00000000" w:rsidRPr="00000000">
        <w:rPr>
          <w:b w:val="1"/>
          <w:bCs w:val="1"/>
          <w:rtl w:val="0"/>
        </w:rPr>
        <w:t xml:space="preserve">Proposed Action:</w:t>
      </w:r>
      <w:r w:rsidDel="00000000" w:rsidR="00000000" w:rsidRPr="00000000">
        <w:rPr>
          <w:rtl w:val="0"/>
        </w:rPr>
        <w:t xml:space="preserve"> Cotiviti could develop a secure, enterprise-grade AI agent explicitly designed to monitor longitudinal billing data. When the time-series model detects an anomaly (e.g., a sudden spike in upcoded physical therapy sessions at a specific regional clinic), the Agentic AI would trigger. Using chain reasoning, the agent will:</w:t>
      </w:r>
    </w:p>
    <w:p w:rsidR="00000000" w:rsidDel="00000000" w:rsidP="00000000" w:rsidRDefault="00000000" w:rsidRPr="00000000" w14:paraId="0000000D">
      <w:pPr>
        <w:numPr>
          <w:ilvl w:val="0"/>
          <w:numId w:val="2"/>
        </w:numPr>
        <w:spacing w:after="0" w:afterAutospacing="0" w:before="240" w:line="240" w:lineRule="auto"/>
        <w:ind w:left="720" w:hanging="360"/>
      </w:pPr>
      <w:r w:rsidDel="00000000" w:rsidR="00000000" w:rsidRPr="00000000">
        <w:rPr>
          <w:rtl w:val="0"/>
        </w:rPr>
        <w:t xml:space="preserve">Isolate the anomalous claims.</w:t>
      </w:r>
    </w:p>
    <w:p w:rsidR="00000000" w:rsidDel="00000000" w:rsidP="00000000" w:rsidRDefault="00000000" w:rsidRPr="00000000" w14:paraId="0000000E">
      <w:pPr>
        <w:numPr>
          <w:ilvl w:val="0"/>
          <w:numId w:val="2"/>
        </w:numPr>
        <w:spacing w:after="0" w:afterAutospacing="0" w:before="0" w:beforeAutospacing="0" w:line="240" w:lineRule="auto"/>
        <w:ind w:left="720" w:hanging="360"/>
      </w:pPr>
      <w:r w:rsidDel="00000000" w:rsidR="00000000" w:rsidRPr="00000000">
        <w:rPr>
          <w:rtl w:val="0"/>
        </w:rPr>
        <w:t xml:space="preserve">Cross-reference the claims against the specific provider’s contract and historical billing data.</w:t>
      </w:r>
    </w:p>
    <w:p w:rsidR="00000000" w:rsidDel="00000000" w:rsidP="00000000" w:rsidRDefault="00000000" w:rsidRPr="00000000" w14:paraId="0000000F">
      <w:pPr>
        <w:numPr>
          <w:ilvl w:val="0"/>
          <w:numId w:val="2"/>
        </w:numPr>
        <w:spacing w:after="240" w:before="0" w:beforeAutospacing="0" w:line="240" w:lineRule="auto"/>
        <w:ind w:left="720" w:hanging="360"/>
      </w:pPr>
      <w:r w:rsidDel="00000000" w:rsidR="00000000" w:rsidRPr="00000000">
        <w:rPr>
          <w:rtl w:val="0"/>
        </w:rPr>
        <w:t xml:space="preserve">Automatically generate an audit report detailing the exact rules violated.</w:t>
      </w:r>
    </w:p>
    <w:p w:rsidR="00000000" w:rsidDel="00000000" w:rsidP="00000000" w:rsidRDefault="00000000" w:rsidRPr="00000000" w14:paraId="00000010">
      <w:pPr>
        <w:spacing w:after="240" w:before="240" w:line="240" w:lineRule="auto"/>
        <w:rPr>
          <w:b w:val="1"/>
          <w:bCs w:val="1"/>
        </w:rPr>
      </w:pPr>
      <w:r w:rsidDel="00000000" w:rsidR="00000000" w:rsidRPr="00000000">
        <w:rPr>
          <w:rtl w:val="0"/>
        </w:rPr>
        <w:t xml:space="preserve">To mitigate the threats associated with autonomous AI, Cotiviti must package this agent within a highly secure, interactive visualization dashboard. This dashboard would act as the necessary security guardrail, allowing human auditors to review the agent's step-by-step logical deductions before any final financial action is executed.</w:t>
        <w:br w:type="textWrapping"/>
        <w:br w:type="textWrapping"/>
      </w:r>
      <w:r w:rsidDel="00000000" w:rsidR="00000000" w:rsidRPr="00000000">
        <w:rPr>
          <w:b w:val="1"/>
          <w:bCs w:val="1"/>
          <w:rtl w:val="0"/>
        </w:rPr>
        <w:t xml:space="preserve">V.</w:t>
      </w:r>
      <w:r w:rsidDel="00000000" w:rsidR="00000000" w:rsidRPr="00000000">
        <w:rPr>
          <w:rtl w:val="0"/>
        </w:rPr>
        <w:t xml:space="preserve"> </w:t>
      </w:r>
      <w:r w:rsidDel="00000000" w:rsidR="00000000" w:rsidRPr="00000000">
        <w:rPr>
          <w:b w:val="1"/>
          <w:bCs w:val="1"/>
          <w:rtl w:val="0"/>
        </w:rPr>
        <w:t xml:space="preserve">Technical Architecture &amp; Stack</w:t>
      </w:r>
    </w:p>
    <w:p w:rsidR="00000000" w:rsidDel="00000000" w:rsidP="00000000" w:rsidRDefault="00000000" w:rsidRPr="00000000" w14:paraId="00000011">
      <w:pPr>
        <w:spacing w:after="240" w:line="240" w:lineRule="auto"/>
        <w:rPr/>
      </w:pPr>
      <w:r w:rsidDel="00000000" w:rsidR="00000000" w:rsidRPr="00000000">
        <w:rPr>
          <w:rtl w:val="0"/>
        </w:rPr>
        <w:t xml:space="preserve">PayRight AI is built on a high-performance, Python-based agentic stack optimized for processing speed, mathematical modeling, and strict data governance:</w:t>
      </w:r>
    </w:p>
    <w:p w:rsidR="00000000" w:rsidDel="00000000" w:rsidP="00000000" w:rsidRDefault="00000000" w:rsidRPr="00000000" w14:paraId="00000012">
      <w:pPr>
        <w:numPr>
          <w:ilvl w:val="0"/>
          <w:numId w:val="1"/>
        </w:numPr>
        <w:spacing w:after="0" w:afterAutospacing="0" w:line="240" w:lineRule="auto"/>
        <w:ind w:left="720" w:hanging="360"/>
        <w:rPr/>
      </w:pPr>
      <w:r w:rsidDel="00000000" w:rsidR="00000000" w:rsidRPr="00000000">
        <w:rPr>
          <w:rtl w:val="0"/>
        </w:rPr>
        <w:t xml:space="preserve">Core Stack: Built entirely in Python, utilizing Pandas and NumPy to handle complex longitudinal claims datasets.</w:t>
      </w:r>
    </w:p>
    <w:p w:rsidR="00000000" w:rsidDel="00000000" w:rsidP="00000000" w:rsidRDefault="00000000" w:rsidRPr="00000000" w14:paraId="00000013">
      <w:pPr>
        <w:numPr>
          <w:ilvl w:val="0"/>
          <w:numId w:val="1"/>
        </w:numPr>
        <w:spacing w:after="0" w:afterAutospacing="0" w:line="240" w:lineRule="auto"/>
        <w:ind w:left="720" w:hanging="360"/>
        <w:rPr/>
      </w:pPr>
      <w:r w:rsidDel="00000000" w:rsidR="00000000" w:rsidRPr="00000000">
        <w:rPr>
          <w:rtl w:val="0"/>
        </w:rPr>
        <w:t xml:space="preserve">Cognitive Engine: Powered by the Gemini 2.5 Flash API for high-volume, low-latency chain reasoning, with Gemini also serving as the primary AI coding assistant during development.</w:t>
      </w:r>
    </w:p>
    <w:p w:rsidR="00000000" w:rsidDel="00000000" w:rsidP="00000000" w:rsidRDefault="00000000" w:rsidRPr="00000000" w14:paraId="00000014">
      <w:pPr>
        <w:numPr>
          <w:ilvl w:val="0"/>
          <w:numId w:val="1"/>
        </w:numPr>
        <w:spacing w:after="0" w:afterAutospacing="0" w:line="240" w:lineRule="auto"/>
        <w:ind w:left="720" w:hanging="360"/>
        <w:rPr/>
      </w:pPr>
      <w:r w:rsidDel="00000000" w:rsidR="00000000" w:rsidRPr="00000000">
        <w:rPr>
          <w:rtl w:val="0"/>
        </w:rPr>
        <w:t xml:space="preserve">Agentic Workflow: A multi-agent routing pipeline that treats prompt engineering as a strict security boundary to actively prevent hallucinations and PHI exfiltration.</w:t>
      </w:r>
    </w:p>
    <w:p w:rsidR="00000000" w:rsidDel="00000000" w:rsidP="00000000" w:rsidRDefault="00000000" w:rsidRPr="00000000" w14:paraId="00000015">
      <w:pPr>
        <w:numPr>
          <w:ilvl w:val="0"/>
          <w:numId w:val="1"/>
        </w:numPr>
        <w:spacing w:after="0" w:afterAutospacing="0" w:line="240" w:lineRule="auto"/>
        <w:ind w:left="720" w:hanging="360"/>
        <w:rPr/>
      </w:pPr>
      <w:r w:rsidDel="00000000" w:rsidR="00000000" w:rsidRPr="00000000">
        <w:rPr>
          <w:rtl w:val="0"/>
        </w:rPr>
        <w:t xml:space="preserve">Analytics Engine: Custom statistical functions computing mathematical Z-Scores (Z = 2.19) to automatically trigger audits on anomalous billing volumes.</w:t>
      </w:r>
    </w:p>
    <w:p w:rsidR="00000000" w:rsidDel="00000000" w:rsidP="00000000" w:rsidRDefault="00000000" w:rsidRPr="00000000" w14:paraId="00000016">
      <w:pPr>
        <w:numPr>
          <w:ilvl w:val="0"/>
          <w:numId w:val="1"/>
        </w:numPr>
        <w:spacing w:after="240" w:line="240" w:lineRule="auto"/>
        <w:ind w:left="720" w:hanging="360"/>
        <w:rPr/>
      </w:pPr>
      <w:r w:rsidDel="00000000" w:rsidR="00000000" w:rsidRPr="00000000">
        <w:rPr>
          <w:rtl w:val="0"/>
        </w:rPr>
        <w:t xml:space="preserve">Governance Interface: Engineered using Streamlit and Plotly to provide an interactive, human-in-the-loop dashboard.</w:t>
      </w:r>
    </w:p>
    <w:p w:rsidR="00000000" w:rsidDel="00000000" w:rsidP="00000000" w:rsidRDefault="00000000" w:rsidRPr="00000000" w14:paraId="00000017">
      <w:pPr>
        <w:spacing w:after="240" w:before="240" w:line="240" w:lineRule="auto"/>
        <w:rPr>
          <w:b w:val="1"/>
          <w:bCs w:val="1"/>
        </w:rPr>
      </w:pPr>
      <w:r w:rsidDel="00000000" w:rsidR="00000000" w:rsidRPr="00000000">
        <w:rPr>
          <w:rtl w:val="0"/>
        </w:rPr>
      </w:r>
    </w:p>
    <w:p w:rsidR="00000000" w:rsidDel="00000000" w:rsidP="00000000" w:rsidRDefault="00000000" w:rsidRPr="00000000" w14:paraId="00000018">
      <w:pPr>
        <w:spacing w:after="240" w:before="240" w:line="240" w:lineRule="auto"/>
        <w:rPr>
          <w:b w:val="1"/>
          <w:bCs w:val="1"/>
        </w:rPr>
      </w:pPr>
      <w:r w:rsidDel="00000000" w:rsidR="00000000" w:rsidRPr="00000000">
        <w:rPr>
          <w:rtl w:val="0"/>
        </w:rPr>
      </w:r>
    </w:p>
    <w:p w:rsidR="00000000" w:rsidDel="00000000" w:rsidP="00000000" w:rsidRDefault="00000000" w:rsidRPr="00000000" w14:paraId="00000019">
      <w:pPr>
        <w:spacing w:after="240" w:before="240" w:line="240" w:lineRule="auto"/>
        <w:rPr>
          <w:b w:val="1"/>
          <w:bCs w:val="1"/>
        </w:rPr>
      </w:pPr>
      <w:r w:rsidDel="00000000" w:rsidR="00000000" w:rsidRPr="00000000">
        <w:rPr>
          <w:rtl w:val="0"/>
        </w:rPr>
      </w:r>
    </w:p>
    <w:p w:rsidR="00000000" w:rsidDel="00000000" w:rsidP="00000000" w:rsidRDefault="00000000" w:rsidRPr="00000000" w14:paraId="0000001A">
      <w:pPr>
        <w:spacing w:after="240" w:before="240" w:line="240" w:lineRule="auto"/>
        <w:rPr>
          <w:b w:val="1"/>
          <w:bCs w:val="1"/>
        </w:rPr>
      </w:pPr>
      <w:r w:rsidDel="00000000" w:rsidR="00000000" w:rsidRPr="00000000">
        <w:rPr>
          <w:rtl w:val="0"/>
        </w:rPr>
      </w:r>
    </w:p>
    <w:p w:rsidR="00000000" w:rsidDel="00000000" w:rsidP="00000000" w:rsidRDefault="00000000" w:rsidRPr="00000000" w14:paraId="0000001B">
      <w:pPr>
        <w:spacing w:after="240" w:before="240" w:line="240" w:lineRule="auto"/>
        <w:rPr>
          <w:b w:val="1"/>
          <w:bCs w:val="1"/>
        </w:rPr>
      </w:pPr>
      <w:r w:rsidDel="00000000" w:rsidR="00000000" w:rsidRPr="00000000">
        <w:rPr>
          <w:rtl w:val="0"/>
        </w:rPr>
      </w:r>
    </w:p>
    <w:p w:rsidR="00000000" w:rsidDel="00000000" w:rsidP="00000000" w:rsidRDefault="00000000" w:rsidRPr="00000000" w14:paraId="0000001C">
      <w:pPr>
        <w:spacing w:after="240" w:before="240" w:line="240" w:lineRule="auto"/>
        <w:rPr>
          <w:b w:val="1"/>
          <w:bCs w:val="1"/>
        </w:rPr>
      </w:pPr>
      <w:r w:rsidDel="00000000" w:rsidR="00000000" w:rsidRPr="00000000">
        <w:rPr>
          <w:rtl w:val="0"/>
        </w:rPr>
      </w:r>
    </w:p>
    <w:p w:rsidR="00000000" w:rsidDel="00000000" w:rsidP="00000000" w:rsidRDefault="00000000" w:rsidRPr="00000000" w14:paraId="0000001D">
      <w:pPr>
        <w:spacing w:after="240" w:before="240" w:line="240" w:lineRule="auto"/>
        <w:rPr>
          <w:b w:val="1"/>
          <w:bCs w:val="1"/>
        </w:rPr>
      </w:pPr>
      <w:r w:rsidDel="00000000" w:rsidR="00000000" w:rsidRPr="00000000">
        <w:rPr>
          <w:rtl w:val="0"/>
        </w:rPr>
      </w:r>
    </w:p>
    <w:p w:rsidR="00000000" w:rsidDel="00000000" w:rsidP="00000000" w:rsidRDefault="00000000" w:rsidRPr="00000000" w14:paraId="0000001E">
      <w:pPr>
        <w:spacing w:after="240" w:before="240" w:line="240" w:lineRule="auto"/>
        <w:rPr>
          <w:b w:val="1"/>
          <w:bCs w:val="1"/>
        </w:rPr>
      </w:pPr>
      <w:r w:rsidDel="00000000" w:rsidR="00000000" w:rsidRPr="00000000">
        <w:rPr>
          <w:rtl w:val="0"/>
        </w:rPr>
      </w:r>
    </w:p>
    <w:p w:rsidR="00000000" w:rsidDel="00000000" w:rsidP="00000000" w:rsidRDefault="00000000" w:rsidRPr="00000000" w14:paraId="0000001F">
      <w:pPr>
        <w:spacing w:after="240" w:before="240" w:line="240" w:lineRule="auto"/>
        <w:rPr>
          <w:b w:val="1"/>
          <w:bCs w:val="1"/>
        </w:rPr>
      </w:pPr>
      <w:r w:rsidDel="00000000" w:rsidR="00000000" w:rsidRPr="00000000">
        <w:rPr>
          <w:b w:val="1"/>
          <w:bCs w:val="1"/>
          <w:rtl w:val="0"/>
        </w:rPr>
        <w:t xml:space="preserve">VI. References</w:t>
      </w:r>
    </w:p>
    <w:p w:rsidR="00000000" w:rsidDel="00000000" w:rsidP="00000000" w:rsidRDefault="00000000" w:rsidRPr="00000000" w14:paraId="00000020">
      <w:pPr>
        <w:spacing w:after="240" w:before="240" w:line="240" w:lineRule="auto"/>
        <w:rPr>
          <w:color w:val="1155cc"/>
          <w:u w:val="single"/>
        </w:rPr>
      </w:pPr>
      <w:r w:rsidDel="00000000" w:rsidR="00000000" w:rsidRPr="00000000">
        <w:rPr>
          <w:rtl w:val="0"/>
        </w:rPr>
        <w:t xml:space="preserve">[1] Bates, D. W., Saria, S., Ohno-Machado, L., Shah, A., &amp; Escobar, G. (2014). Big data in health care: using analytics to identify and manage high-risk and high-cost patients. </w:t>
      </w:r>
      <w:r w:rsidDel="00000000" w:rsidR="00000000" w:rsidRPr="00000000">
        <w:rPr>
          <w:i w:val="1"/>
          <w:iCs w:val="1"/>
          <w:rtl w:val="0"/>
        </w:rPr>
        <w:t xml:space="preserve">Health Affairs</w:t>
      </w:r>
      <w:r w:rsidDel="00000000" w:rsidR="00000000" w:rsidRPr="00000000">
        <w:rPr>
          <w:rtl w:val="0"/>
        </w:rPr>
        <w:t xml:space="preserve">, 33(7), 1123-1131.</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https://doi.org/10.1377/hlthaff.2014.0041</w:t>
        </w:r>
      </w:hyperlink>
      <w:r w:rsidDel="00000000" w:rsidR="00000000" w:rsidRPr="00000000">
        <w:rPr>
          <w:rtl w:val="0"/>
        </w:rPr>
      </w:r>
    </w:p>
    <w:p w:rsidR="00000000" w:rsidDel="00000000" w:rsidP="00000000" w:rsidRDefault="00000000" w:rsidRPr="00000000" w14:paraId="00000021">
      <w:pPr>
        <w:spacing w:after="240" w:before="240" w:line="240" w:lineRule="auto"/>
        <w:rPr>
          <w:color w:val="1155cc"/>
          <w:u w:val="single"/>
        </w:rPr>
      </w:pPr>
      <w:r w:rsidDel="00000000" w:rsidR="00000000" w:rsidRPr="00000000">
        <w:rPr>
          <w:rtl w:val="0"/>
        </w:rPr>
        <w:t xml:space="preserve">[2] Clusmann, J., Kolbinger, F. R., Muti, H. S., Carrero, Z. I., Eckardt, J. N., Laleh, N. G., ... &amp; Kather, J. N. (2023). The future landscape of large language models in medicine. </w:t>
      </w:r>
      <w:r w:rsidDel="00000000" w:rsidR="00000000" w:rsidRPr="00000000">
        <w:rPr>
          <w:i w:val="1"/>
          <w:iCs w:val="1"/>
          <w:rtl w:val="0"/>
        </w:rPr>
        <w:t xml:space="preserve">Communications Medicine</w:t>
      </w:r>
      <w:r w:rsidDel="00000000" w:rsidR="00000000" w:rsidRPr="00000000">
        <w:rPr>
          <w:rtl w:val="0"/>
        </w:rPr>
        <w:t xml:space="preserve">, 3(1), 141.</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https://doi.org/10.1038/s43856-023-00370-1</w:t>
        </w:r>
      </w:hyperlink>
      <w:r w:rsidDel="00000000" w:rsidR="00000000" w:rsidRPr="00000000">
        <w:rPr>
          <w:rtl w:val="0"/>
        </w:rPr>
      </w:r>
    </w:p>
    <w:p w:rsidR="00000000" w:rsidDel="00000000" w:rsidP="00000000" w:rsidRDefault="00000000" w:rsidRPr="00000000" w14:paraId="00000022">
      <w:pPr>
        <w:spacing w:after="240" w:before="240" w:line="240" w:lineRule="auto"/>
        <w:rPr>
          <w:color w:val="1155cc"/>
          <w:u w:val="single"/>
        </w:rPr>
      </w:pPr>
      <w:r w:rsidDel="00000000" w:rsidR="00000000" w:rsidRPr="00000000">
        <w:rPr>
          <w:rtl w:val="0"/>
        </w:rPr>
        <w:t xml:space="preserve">[3] Esteva, A., Robicquet, A., Ramsundar, B., Kuleshov, V., DePristo, M., Chou, K., ... &amp; Dean, J. (2019). A guide to deep learning in healthcare. </w:t>
      </w:r>
      <w:r w:rsidDel="00000000" w:rsidR="00000000" w:rsidRPr="00000000">
        <w:rPr>
          <w:i w:val="1"/>
          <w:iCs w:val="1"/>
          <w:rtl w:val="0"/>
        </w:rPr>
        <w:t xml:space="preserve">Nature Medicine</w:t>
      </w:r>
      <w:r w:rsidDel="00000000" w:rsidR="00000000" w:rsidRPr="00000000">
        <w:rPr>
          <w:rtl w:val="0"/>
        </w:rPr>
        <w:t xml:space="preserve">, 25(1), 24-29.</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https://doi.org/10.1038/s41591-018-0316-z</w:t>
        </w:r>
      </w:hyperlink>
      <w:r w:rsidDel="00000000" w:rsidR="00000000" w:rsidRPr="00000000">
        <w:rPr>
          <w:rtl w:val="0"/>
        </w:rPr>
      </w:r>
    </w:p>
    <w:p w:rsidR="00000000" w:rsidDel="00000000" w:rsidP="00000000" w:rsidRDefault="00000000" w:rsidRPr="00000000" w14:paraId="00000023">
      <w:pPr>
        <w:spacing w:after="240" w:before="240" w:line="240" w:lineRule="auto"/>
        <w:rPr>
          <w:color w:val="1155cc"/>
          <w:u w:val="single"/>
        </w:rPr>
      </w:pPr>
      <w:r w:rsidDel="00000000" w:rsidR="00000000" w:rsidRPr="00000000">
        <w:rPr>
          <w:rtl w:val="0"/>
        </w:rPr>
        <w:t xml:space="preserve">[4] Thirunavukarasu, A. J., Ting, D. S. J., Elangovan, K., Gutierrez, L., Ting, T. F., &amp; Ting, D. S. W. (2023). Large language models in medicine. </w:t>
      </w:r>
      <w:r w:rsidDel="00000000" w:rsidR="00000000" w:rsidRPr="00000000">
        <w:rPr>
          <w:i w:val="1"/>
          <w:iCs w:val="1"/>
          <w:rtl w:val="0"/>
        </w:rPr>
        <w:t xml:space="preserve">Nature Medicine</w:t>
      </w:r>
      <w:r w:rsidDel="00000000" w:rsidR="00000000" w:rsidRPr="00000000">
        <w:rPr>
          <w:rtl w:val="0"/>
        </w:rPr>
        <w:t xml:space="preserve">, 29(8), 1930-1940.</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https://doi.org/10.1038/s41591-023-02448-8</w:t>
        </w:r>
      </w:hyperlink>
      <w:r w:rsidDel="00000000" w:rsidR="00000000" w:rsidRPr="00000000">
        <w:rPr>
          <w:rtl w:val="0"/>
        </w:rPr>
      </w:r>
    </w:p>
    <w:p w:rsidR="00000000" w:rsidDel="00000000" w:rsidP="00000000" w:rsidRDefault="00000000" w:rsidRPr="00000000" w14:paraId="00000024">
      <w:pPr>
        <w:spacing w:line="240" w:lineRule="auto"/>
        <w:rPr>
          <w:b w:val="1"/>
          <w:bCs w:val="1"/>
        </w:rPr>
      </w:pPr>
      <w:r w:rsidDel="00000000" w:rsidR="00000000" w:rsidRPr="00000000">
        <w:rPr>
          <w:rtl w:val="0"/>
        </w:rPr>
      </w:r>
    </w:p>
    <w:sectPr>
      <w:headerReference r:id="rId14" w:type="default"/>
      <w:headerReference r:id="rId15" w:type="first"/>
      <w:footerReference r:id="rId1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spacing w:after="240" w:befor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PayRight AI: Strategic Integration of Agentic Generative AI in Payment Operations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38/s41591-018-0316-z" TargetMode="External"/><Relationship Id="rId10" Type="http://schemas.openxmlformats.org/officeDocument/2006/relationships/hyperlink" Target="https://doi.org/10.1038/s41591-018-0316-z" TargetMode="External"/><Relationship Id="rId13" Type="http://schemas.openxmlformats.org/officeDocument/2006/relationships/hyperlink" Target="https://doi.org/10.1038/s41591-023-02448-8" TargetMode="External"/><Relationship Id="rId12" Type="http://schemas.openxmlformats.org/officeDocument/2006/relationships/hyperlink" Target="https://doi.org/10.1038/s41591-023-02448-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38/s43856-023-00370-1" TargetMode="External"/><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i.org/10.1377/hlthaff.2014.0041" TargetMode="External"/><Relationship Id="rId7" Type="http://schemas.openxmlformats.org/officeDocument/2006/relationships/hyperlink" Target="https://doi.org/10.1377/hlthaff.2014.0041" TargetMode="External"/><Relationship Id="rId8" Type="http://schemas.openxmlformats.org/officeDocument/2006/relationships/hyperlink" Target="https://doi.org/10.1038/s43856-023-0037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