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AGAINST AGENT DISREGARDING INSTRUCTIONS OF THE PRINCIPAL</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 1. That the plaintiff appointed the defendant as the agent of the former, vide his letter dated..................... to purchase at..................... of District..................... .................... quintals of.................... of the best quality not exceeding Rs. .................... /- per quintal and despatch the same to the plaintiff.</w:t>
      </w:r>
    </w:p>
    <w:p>
      <w:pPr>
        <w:pStyle w:val="BodyText"/>
      </w:pPr>
      <w:r>
        <w:t xml:space="preserve">2. That the defendant neglected the instructions of the plaintiff and purchased the.............................................. of a very inferior quality at the rate of Rs..................... /- per quintal and despatched the same to the plaintiff.</w:t>
      </w:r>
    </w:p>
    <w:p>
      <w:pPr>
        <w:pStyle w:val="BodyText"/>
      </w:pPr>
      <w:r>
        <w:t xml:space="preserve">3. That the plaintiff could with the best of his efforts sell the.................... at.................... at the rate of Rs..................... per quintal Rs..................... /- per quintal were defrayed as expenses for fare from.................... to..................... and godown charges at.................... and thus the plaintiff could make no profit, whereas he would have easily sold the best quality rice at the rate of Rs..................... /- per quintal. Thus the plaintiff has suffered a damage of Rs.....................</w:t>
      </w:r>
    </w:p>
    <w:p>
      <w:pPr>
        <w:pStyle w:val="BodyText"/>
      </w:pPr>
      <w:r>
        <w:t xml:space="preserve">4. That the cause of action arose at.................... where the plaintiff has suffered the damage due to the delivery of the inferior quality of rice by the defendant within the jurisdiction of this Court.</w:t>
      </w:r>
    </w:p>
    <w:p>
      <w:pPr>
        <w:pStyle w:val="BodyText"/>
      </w:pPr>
      <w:r>
        <w:t xml:space="preserve">5. That the suit is valued at Rs..................... /- the amount of damage suffered by the plaintiff and court fee is paid on the same. RELIEFS CLAIMED:</w:t>
      </w:r>
    </w:p>
    <w:p>
      <w:pPr>
        <w:pStyle w:val="BodyText"/>
      </w:pPr>
      <w:r>
        <w:t xml:space="preserve">The plaintiff claims the following reliefs:</w:t>
      </w:r>
    </w:p>
    <w:p>
      <w:pPr>
        <w:pStyle w:val="BodyText"/>
      </w:pPr>
      <w:r>
        <w:t xml:space="preserve">The suit be decreed for damages of Rs..................... /- with interest from the date of the suit to the date of payment at such rate as the Court may deem fit and reasonable.</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2026-02-12T08:42:19Z</dcterms:created>
  <dcterms:modified xsi:type="dcterms:W3CDTF">2026-02-12T08:42:19Z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