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SAM</w:t>
      </w:r>
    </w:p>
    <w:p>
      <w:pPr>
        <w:pStyle w:val="FirstParagraph"/>
      </w:pPr>
      <w:r>
        <w:rPr>
          <w:b/>
          <w:bCs/>
        </w:rPr>
        <w:t xml:space="preserve">SERVICE LAW</w:t>
      </w:r>
    </w:p>
    <w:p>
      <w:pPr>
        <w:pStyle w:val="BodyText"/>
      </w:pPr>
      <w:r>
        <w:rPr>
          <w:b/>
          <w:bCs/>
        </w:rPr>
        <w:t xml:space="preserve">SUIT FOR RECOVERY OF PROMPT</w:t>
      </w:r>
      <w:r>
        <w:rPr>
          <w:b/>
          <w:bCs/>
        </w:rPr>
        <w:t xml:space="preserve"> </w:t>
      </w:r>
      <w:r>
        <w:rPr>
          <w:b/>
          <w:bCs/>
        </w:rPr>
        <w:t xml:space="preserve"> </w:t>
      </w:r>
      <w:r>
        <w:rPr>
          <w:b/>
          <w:bCs/>
        </w:rPr>
        <w:t xml:space="preserve">DOWER</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t xml:space="preserve">versus</w:t>
      </w:r>
    </w:p>
    <w:p>
      <w:pPr>
        <w:pStyle w:val="BodyText"/>
      </w:pPr>
      <w:r>
        <w:rPr>
          <w:i/>
          <w:iCs/>
        </w:rPr>
        <w:t xml:space="preserve">C. F................................................................. Defendant</w:t>
      </w:r>
    </w:p>
    <w:p>
      <w:pPr>
        <w:pStyle w:val="BodyText"/>
      </w:pPr>
      <w:r>
        <w:t xml:space="preserve">The abovenamed plaintiff most respectfully submits as under: —</w:t>
      </w:r>
    </w:p>
    <w:p>
      <w:pPr>
        <w:pStyle w:val="BodyText"/>
      </w:pPr>
      <w:r>
        <w:t xml:space="preserve">1. That the plaintiff was married with the defendant on.................... 19 .................... according to Muslim Law and rites applicable to Sunhis in India, and dower debt of Rs..................... was settled, out of which Rs.................... was settled to be prompt dower. Both the parties are Sunni Mohammedans.</w:t>
      </w:r>
    </w:p>
    <w:p>
      <w:pPr>
        <w:pStyle w:val="BodyText"/>
      </w:pPr>
      <w:r>
        <w:t xml:space="preserve">2. That the defendant has not paid the prompt dower aforesaid, and has been evading the payment on one make-belief or the other.</w:t>
      </w:r>
    </w:p>
    <w:p>
      <w:pPr>
        <w:pStyle w:val="BodyText"/>
      </w:pPr>
      <w:r>
        <w:t xml:space="preserve">3. The cause of action arose on.................... when the defendant refused to pay any prompt dower, and this Court has jurisdiction to try the suit.</w:t>
      </w:r>
    </w:p>
    <w:p>
      <w:pPr>
        <w:pStyle w:val="BodyText"/>
      </w:pPr>
      <w:r>
        <w:t xml:space="preserve">4. The suit is valued at.................... rupees the amount of prompt dower, settled at the time of marriage/or it is expedient that the Court may be pleased to adjudge Rs..................... as prompt dower or any other amount which the Court may deem fit. Court fee is paid according to the relief claimed.</w:t>
      </w:r>
    </w:p>
    <w:p>
      <w:pPr>
        <w:pStyle w:val="BodyText"/>
      </w:pPr>
      <w:r>
        <w:t xml:space="preserve">RELIEF CLAIMED:</w:t>
      </w:r>
    </w:p>
    <w:p>
      <w:pPr>
        <w:pStyle w:val="BodyText"/>
      </w:pPr>
      <w:r>
        <w:t xml:space="preserve">The plaintiff claims payment of Rs..................... or any other amount as the Court may deem fit, as the prompt dower from the defendant.</w:t>
      </w:r>
    </w:p>
    <w:p>
      <w:pPr>
        <w:pStyle w:val="BodyText"/>
      </w:pPr>
      <w:r>
        <w:t xml:space="preserve">Plaintiff</w:t>
      </w:r>
    </w:p>
    <w:p>
      <w:pPr>
        <w:pStyle w:val="BodyText"/>
      </w:pPr>
      <w:r>
        <w:t xml:space="preserve">Through</w:t>
      </w:r>
    </w:p>
    <w:p>
      <w:pPr>
        <w:pStyle w:val="BodyText"/>
      </w:pPr>
      <w:r>
        <w:t xml:space="preserve">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p>
      <w:pPr>
        <w:pStyle w:val="BodyText"/>
      </w:pPr>
      <w:r>
        <w:rPr>
          <w:b/>
          <w:bCs/>
        </w:rPr>
        <w:t xml:space="preserve">PLURALITY OF MARRIAGES</w:t>
      </w:r>
    </w:p>
    <w:p>
      <w:pPr>
        <w:pStyle w:val="BodyText"/>
      </w:pPr>
      <w:r>
        <w:t xml:space="preserve">The right is not unconditionally conferred on husband. His capacity to do justice between co-wives is a condition precedent.1</w:t>
      </w:r>
    </w:p>
    <w:p>
      <w:pPr>
        <w:pStyle w:val="BodyText"/>
      </w:pPr>
      <w:r>
        <w:t xml:space="preserve">1. Lily Thomas v. Union of India, AIR 2000 SC 1650.</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dc:creator>
  <cp:keywords/>
  <dcterms:created xsi:type="dcterms:W3CDTF">2026-02-12T08:43:09Z</dcterms:created>
  <dcterms:modified xsi:type="dcterms:W3CDTF">2026-02-12T08:43:09Z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