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02C57"/>
          <w:sz w:val="26"/>
        </w:rPr>
        <w:t>NATIONAL COLLEGE OF IRELAND: SCHOOL OF COMPUTING</w:t>
      </w:r>
    </w:p>
    <w:p>
      <w:pPr>
        <w:spacing w:after="160"/>
        <w:jc w:val="center"/>
      </w:pPr>
      <w:r>
        <w:rPr>
          <w:b/>
          <w:color w:val="3C3C3C"/>
          <w:sz w:val="21"/>
        </w:rPr>
        <w:t>MSc in Data Analytics: Research Practicum (MSCDAD_A_JAN26I)</w:t>
        <w:br/>
        <w:t>WEEKLY PROGRESS REPORT: WEEK 1</w:t>
      </w:r>
    </w:p>
    <w:tbl>
      <w:tblPr>
        <w:tblW w:type="auto" w:w="0"/>
        <w:jc w:val="center"/>
        <w:tblLayout w:type="fixed"/>
        <w:tblLook w:firstColumn="1" w:firstRow="1" w:lastColumn="0" w:lastRow="0" w:noHBand="0" w:noVBand="1" w:val="04A0"/>
      </w:tblPr>
      <w:tblGrid>
        <w:gridCol w:w="5112"/>
        <w:gridCol w:w="5112"/>
      </w:tblGrid>
      <w:tr>
        <w:tc>
          <w:tcPr>
            <w:tcW w:type="dxa" w:w="2592"/>
            <w:shd w:fill="F0F4F8"/>
          </w:tcPr>
          <w:p>
            <w:pPr>
              <w:spacing w:after="20"/>
            </w:pPr>
            <w:r>
              <w:rPr>
                <w:b/>
                <w:sz w:val="18"/>
              </w:rPr>
              <w:t>Student Name:</w:t>
            </w:r>
          </w:p>
        </w:tc>
        <w:tc>
          <w:tcPr>
            <w:tcW w:type="dxa" w:w="7488"/>
            <w:shd w:fill="FFFFFF"/>
          </w:tcPr>
          <w:p>
            <w:pPr>
              <w:spacing w:after="20"/>
            </w:pPr>
            <w:r>
              <w:rPr>
                <w:sz w:val="18"/>
              </w:rPr>
              <w:t>Rohitkumar Amritlal Jaiswal</w:t>
            </w:r>
          </w:p>
        </w:tc>
      </w:tr>
      <w:tr>
        <w:tc>
          <w:tcPr>
            <w:tcW w:type="dxa" w:w="2592"/>
            <w:shd w:fill="F0F4F8"/>
          </w:tcPr>
          <w:p>
            <w:pPr>
              <w:spacing w:after="20"/>
            </w:pPr>
            <w:r>
              <w:rPr>
                <w:b/>
                <w:sz w:val="18"/>
              </w:rPr>
              <w:t>Student ID:</w:t>
            </w:r>
          </w:p>
        </w:tc>
        <w:tc>
          <w:tcPr>
            <w:tcW w:type="dxa" w:w="7488"/>
            <w:shd w:fill="FFFFFF"/>
          </w:tcPr>
          <w:p>
            <w:pPr>
              <w:spacing w:after="20"/>
            </w:pPr>
            <w:r>
              <w:rPr>
                <w:sz w:val="18"/>
              </w:rPr>
              <w:t>x25119613</w:t>
            </w:r>
          </w:p>
        </w:tc>
      </w:tr>
      <w:tr>
        <w:tc>
          <w:tcPr>
            <w:tcW w:type="dxa" w:w="2592"/>
            <w:shd w:fill="F0F4F8"/>
          </w:tcPr>
          <w:p>
            <w:pPr>
              <w:spacing w:after="20"/>
            </w:pPr>
            <w:r>
              <w:rPr>
                <w:b/>
                <w:sz w:val="18"/>
              </w:rPr>
              <w:t>Supervisor:</w:t>
            </w:r>
          </w:p>
        </w:tc>
        <w:tc>
          <w:tcPr>
            <w:tcW w:type="dxa" w:w="7488"/>
            <w:shd w:fill="FFFFFF"/>
          </w:tcPr>
          <w:p>
            <w:pPr>
              <w:spacing w:after="20"/>
            </w:pPr>
            <w:r>
              <w:rPr>
                <w:sz w:val="18"/>
              </w:rPr>
              <w:t>Dr. Thanos Staikopoulos</w:t>
            </w:r>
          </w:p>
        </w:tc>
      </w:tr>
      <w:tr>
        <w:tc>
          <w:tcPr>
            <w:tcW w:type="dxa" w:w="2592"/>
            <w:shd w:fill="F0F4F8"/>
          </w:tcPr>
          <w:p>
            <w:pPr>
              <w:spacing w:after="20"/>
            </w:pPr>
            <w:r>
              <w:rPr>
                <w:b/>
                <w:sz w:val="18"/>
              </w:rPr>
              <w:t>Project Title:</w:t>
            </w:r>
          </w:p>
        </w:tc>
        <w:tc>
          <w:tcPr>
            <w:tcW w:type="dxa" w:w="7488"/>
            <w:shd w:fill="FFFFFF"/>
          </w:tcPr>
          <w:p>
            <w:pPr>
              <w:spacing w:after="20"/>
            </w:pPr>
            <w:r>
              <w:rPr>
                <w:sz w:val="18"/>
              </w:rPr>
              <w:t>Coupling Port Congestion and Customs Delay Prediction with Carbon-Aware Multi-Objective Route Optimisation for Post-Brexit Irish Freight Logistics</w:t>
            </w:r>
          </w:p>
        </w:tc>
      </w:tr>
      <w:tr>
        <w:tc>
          <w:tcPr>
            <w:tcW w:type="dxa" w:w="2592"/>
            <w:shd w:fill="F0F4F8"/>
          </w:tcPr>
          <w:p>
            <w:pPr>
              <w:spacing w:after="20"/>
            </w:pPr>
            <w:r>
              <w:rPr>
                <w:b/>
                <w:sz w:val="18"/>
              </w:rPr>
              <w:t>Reporting Period:</w:t>
            </w:r>
          </w:p>
        </w:tc>
        <w:tc>
          <w:tcPr>
            <w:tcW w:type="dxa" w:w="7488"/>
            <w:shd w:fill="FFFFFF"/>
          </w:tcPr>
          <w:p>
            <w:pPr>
              <w:spacing w:after="20"/>
            </w:pPr>
            <w:r>
              <w:rPr>
                <w:sz w:val="18"/>
              </w:rPr>
              <w:t>Week 1 (Technical Kickoff &amp; Baseline Simulation)</w:t>
            </w:r>
          </w:p>
        </w:tc>
      </w:tr>
      <w:tr>
        <w:tc>
          <w:tcPr>
            <w:tcW w:type="dxa" w:w="2592"/>
            <w:shd w:fill="F0F4F8"/>
          </w:tcPr>
          <w:p>
            <w:pPr>
              <w:spacing w:after="20"/>
            </w:pPr>
            <w:r>
              <w:rPr>
                <w:b/>
                <w:sz w:val="18"/>
              </w:rPr>
              <w:t>Submission Date:</w:t>
            </w:r>
          </w:p>
        </w:tc>
        <w:tc>
          <w:tcPr>
            <w:tcW w:type="dxa" w:w="7488"/>
            <w:shd w:fill="FFFFFF"/>
          </w:tcPr>
          <w:p>
            <w:pPr>
              <w:spacing w:after="20"/>
            </w:pPr>
            <w:r>
              <w:rPr>
                <w:sz w:val="18"/>
              </w:rPr>
              <w:t>Tuesday, 29 September 2026</w:t>
            </w:r>
          </w:p>
        </w:tc>
      </w:tr>
    </w:tbl>
    <w:p>
      <w:pPr>
        <w:spacing w:after="120"/>
      </w:pPr>
    </w:p>
    <w:p>
      <w:pPr>
        <w:spacing w:before="160" w:after="60"/>
      </w:pPr>
      <w:r>
        <w:rPr>
          <w:b/>
          <w:color w:val="102C57"/>
          <w:sz w:val="21"/>
        </w:rPr>
        <w:t>1. Summary of Activities Completed This Week</w:t>
      </w:r>
    </w:p>
    <w:p>
      <w:pPr>
        <w:pStyle w:val="ListBullet"/>
        <w:spacing w:after="40"/>
      </w:pPr>
      <w:r>
        <w:rPr>
          <w:b/>
          <w:sz w:val="17"/>
        </w:rPr>
        <w:t xml:space="preserve">Project Pitch Preparation: </w:t>
      </w:r>
      <w:r>
        <w:rPr>
          <w:sz w:val="17"/>
        </w:rPr>
        <w:t>Prepared a 1-2 minute spoken pitch following the required format: Problem -&gt; Gap -&gt; Idea -&gt; Method -&gt; Contribution, ready for presentation on 1 October.</w:t>
      </w:r>
    </w:p>
    <w:p>
      <w:pPr>
        <w:pStyle w:val="ListBullet"/>
        <w:spacing w:after="40"/>
      </w:pPr>
      <w:r>
        <w:rPr>
          <w:b/>
          <w:sz w:val="17"/>
        </w:rPr>
        <w:t xml:space="preserve">Code Repository Setup: </w:t>
      </w:r>
      <w:r>
        <w:rPr>
          <w:sz w:val="17"/>
        </w:rPr>
        <w:t>Initialized the project Git repository and created a clean Python package structure named irishlogix using pyproject.toml.</w:t>
      </w:r>
    </w:p>
    <w:p>
      <w:pPr>
        <w:pStyle w:val="ListBullet"/>
        <w:spacing w:after="40"/>
      </w:pPr>
      <w:r>
        <w:rPr>
          <w:b/>
          <w:sz w:val="17"/>
        </w:rPr>
        <w:t xml:space="preserve">Public Data Ingestion (cso_loader.py): </w:t>
      </w:r>
      <w:r>
        <w:rPr>
          <w:sz w:val="17"/>
        </w:rPr>
        <w:t>Connected directly to the Central Statistics Office (CSO) PxStat API and downloaded quarterly maritime datasets from 2017 to 2026: TBQ01 (444 vessel arrival records), TBQ04 (2,331 Ro-Ro freight trailer units), and TBQ05 (3,600 trade region records). Built clean activity matrix in data/processed/cso_port_activity_matrix.csv.</w:t>
      </w:r>
    </w:p>
    <w:p>
      <w:pPr>
        <w:pStyle w:val="ListBullet"/>
        <w:spacing w:after="40"/>
      </w:pPr>
      <w:r>
        <w:rPr>
          <w:b/>
          <w:sz w:val="17"/>
        </w:rPr>
        <w:t xml:space="preserve">Jupyter Notebook: </w:t>
      </w:r>
      <w:r>
        <w:rPr>
          <w:sz w:val="17"/>
        </w:rPr>
        <w:t>Created and executed notebooks/01_week1_data_ingestion_and_exploration.ipynb which downloads the data, plots port arrival trends, shows post-Brexit trade shifts, and runs the baseline route simulation.</w:t>
      </w:r>
    </w:p>
    <w:p>
      <w:pPr>
        <w:pStyle w:val="ListBullet"/>
        <w:spacing w:after="40"/>
      </w:pPr>
      <w:r>
        <w:rPr>
          <w:b/>
          <w:sz w:val="17"/>
        </w:rPr>
        <w:t xml:space="preserve">Irish Road Corridor Network (corridor_network.py): </w:t>
      </w:r>
      <w:r>
        <w:rPr>
          <w:sz w:val="17"/>
        </w:rPr>
        <w:t>Built a road network graph in NetworkX with 11 nodes (Dublin, Cork, Rosslare, Athlone, Limerick, Galway, Waterford, Dundalk) and 15 road corridors with travel distances, speed limits, and tolls.</w:t>
      </w:r>
    </w:p>
    <w:p>
      <w:pPr>
        <w:pStyle w:val="ListBullet"/>
        <w:spacing w:after="40"/>
      </w:pPr>
      <w:r>
        <w:rPr>
          <w:b/>
          <w:sz w:val="17"/>
        </w:rPr>
        <w:t xml:space="preserve">Baseline Dispatch Simulation (baseline_dispatcher.py): </w:t>
      </w:r>
      <w:r>
        <w:rPr>
          <w:sz w:val="17"/>
        </w:rPr>
        <w:t>Built an empirical baseline simulation representing how small Irish hauliers plan routes using simple spreadsheets without delay forecasting. Ran a test of 50 freight trips: total distance 8,636.5 km; active driving time 104.4 hours; idle waiting time 63.5 hours (average 1.27 hours wasted idling per trip at port gates and customs); total diesel used 2,879.3 Litres; carbon emissions 7,601.3 kg CO2e; total transport cost €14,791.21 (average €295.82 per trip).</w:t>
      </w:r>
    </w:p>
    <w:p>
      <w:pPr>
        <w:pStyle w:val="ListBullet"/>
        <w:spacing w:after="40"/>
      </w:pPr>
      <w:r>
        <w:rPr>
          <w:b/>
          <w:sz w:val="17"/>
        </w:rPr>
        <w:t xml:space="preserve">Unit Testing: </w:t>
      </w:r>
      <w:r>
        <w:rPr>
          <w:sz w:val="17"/>
        </w:rPr>
        <w:t>Created 9 unit tests across data loader, network graph, and simulator. All 9 tests passed.</w:t>
      </w:r>
    </w:p>
    <w:p>
      <w:pPr>
        <w:spacing w:before="160" w:after="60"/>
      </w:pPr>
      <w:r>
        <w:rPr>
          <w:b/>
          <w:color w:val="102C57"/>
          <w:sz w:val="21"/>
        </w:rPr>
        <w:t>2. Primary Public Dataset Sources &amp; URLs</w:t>
      </w:r>
    </w:p>
    <w:tbl>
      <w:tblPr>
        <w:tblW w:type="auto" w:w="0"/>
        <w:jc w:val="center"/>
        <w:tblLook w:firstColumn="1" w:firstRow="1" w:lastColumn="0" w:lastRow="0" w:noHBand="0" w:noVBand="1" w:val="04A0"/>
      </w:tblPr>
      <w:tblGrid>
        <w:gridCol w:w="3408"/>
        <w:gridCol w:w="3408"/>
        <w:gridCol w:w="3408"/>
      </w:tblGrid>
      <w:tr>
        <w:tc>
          <w:tcPr>
            <w:tcW w:type="dxa" w:w="3408"/>
            <w:shd w:fill="102C57"/>
          </w:tcPr>
          <w:p>
            <w:r>
              <w:rPr>
                <w:b/>
                <w:color w:val="FFFFFF"/>
                <w:sz w:val="16"/>
              </w:rPr>
              <w:t>Dataset Name</w:t>
            </w:r>
          </w:p>
        </w:tc>
        <w:tc>
          <w:tcPr>
            <w:tcW w:type="dxa" w:w="3408"/>
            <w:shd w:fill="102C57"/>
          </w:tcPr>
          <w:p>
            <w:r>
              <w:rPr>
                <w:b/>
                <w:color w:val="FFFFFF"/>
                <w:sz w:val="16"/>
              </w:rPr>
              <w:t>Source and Direct URL</w:t>
            </w:r>
          </w:p>
        </w:tc>
        <w:tc>
          <w:tcPr>
            <w:tcW w:type="dxa" w:w="3408"/>
            <w:shd w:fill="102C57"/>
          </w:tcPr>
          <w:p>
            <w:r>
              <w:rPr>
                <w:b/>
                <w:color w:val="FFFFFF"/>
                <w:sz w:val="16"/>
              </w:rPr>
              <w:t>Role in Project</w:t>
            </w:r>
          </w:p>
        </w:tc>
      </w:tr>
      <w:tr>
        <w:tc>
          <w:tcPr>
            <w:tcW w:type="dxa" w:w="3408"/>
            <w:shd w:fill="FFFFFF"/>
          </w:tcPr>
          <w:p>
            <w:pPr>
              <w:spacing w:after="20"/>
            </w:pPr>
            <w:r>
              <w:rPr>
                <w:sz w:val="15"/>
              </w:rPr>
              <w:t>CSO Table TBQ01</w:t>
            </w:r>
          </w:p>
        </w:tc>
        <w:tc>
          <w:tcPr>
            <w:tcW w:type="dxa" w:w="3408"/>
            <w:shd w:fill="FFFFFF"/>
          </w:tcPr>
          <w:p>
            <w:pPr>
              <w:spacing w:after="20"/>
            </w:pPr>
            <w:r>
              <w:rPr>
                <w:sz w:val="15"/>
              </w:rPr>
              <w:t>https://data.cso.ie/table/TBQ01</w:t>
            </w:r>
          </w:p>
        </w:tc>
        <w:tc>
          <w:tcPr>
            <w:tcW w:type="dxa" w:w="3408"/>
            <w:shd w:fill="FFFFFF"/>
          </w:tcPr>
          <w:p>
            <w:pPr>
              <w:spacing w:after="20"/>
            </w:pPr>
            <w:r>
              <w:rPr>
                <w:sz w:val="15"/>
              </w:rPr>
              <w:t>Ship arrivals for Dublin, Cork, and Rosslare ports</w:t>
            </w:r>
          </w:p>
        </w:tc>
      </w:tr>
      <w:tr>
        <w:tc>
          <w:tcPr>
            <w:tcW w:type="dxa" w:w="3408"/>
            <w:shd w:fill="F9FAFC"/>
          </w:tcPr>
          <w:p>
            <w:pPr>
              <w:spacing w:after="20"/>
            </w:pPr>
            <w:r>
              <w:rPr>
                <w:sz w:val="15"/>
              </w:rPr>
              <w:t>CSO Table TBQ02</w:t>
            </w:r>
          </w:p>
        </w:tc>
        <w:tc>
          <w:tcPr>
            <w:tcW w:type="dxa" w:w="3408"/>
            <w:shd w:fill="F9FAFC"/>
          </w:tcPr>
          <w:p>
            <w:pPr>
              <w:spacing w:after="20"/>
            </w:pPr>
            <w:r>
              <w:rPr>
                <w:sz w:val="15"/>
              </w:rPr>
              <w:t>https://data.cso.ie/table/TBQ02</w:t>
            </w:r>
          </w:p>
        </w:tc>
        <w:tc>
          <w:tcPr>
            <w:tcW w:type="dxa" w:w="3408"/>
            <w:shd w:fill="F9FAFC"/>
          </w:tcPr>
          <w:p>
            <w:pPr>
              <w:spacing w:after="20"/>
            </w:pPr>
            <w:r>
              <w:rPr>
                <w:sz w:val="15"/>
              </w:rPr>
              <w:t>Cargo tonnage categories (Ro-Ro and Lo-Lo)</w:t>
            </w:r>
          </w:p>
        </w:tc>
      </w:tr>
      <w:tr>
        <w:tc>
          <w:tcPr>
            <w:tcW w:type="dxa" w:w="3408"/>
            <w:shd w:fill="FFFFFF"/>
          </w:tcPr>
          <w:p>
            <w:pPr>
              <w:spacing w:after="20"/>
            </w:pPr>
            <w:r>
              <w:rPr>
                <w:sz w:val="15"/>
              </w:rPr>
              <w:t>CSO Table TBQ04</w:t>
            </w:r>
          </w:p>
        </w:tc>
        <w:tc>
          <w:tcPr>
            <w:tcW w:type="dxa" w:w="3408"/>
            <w:shd w:fill="FFFFFF"/>
          </w:tcPr>
          <w:p>
            <w:pPr>
              <w:spacing w:after="20"/>
            </w:pPr>
            <w:r>
              <w:rPr>
                <w:sz w:val="15"/>
              </w:rPr>
              <w:t>https://data.cso.ie/table/TBQ04</w:t>
            </w:r>
          </w:p>
        </w:tc>
        <w:tc>
          <w:tcPr>
            <w:tcW w:type="dxa" w:w="3408"/>
            <w:shd w:fill="FFFFFF"/>
          </w:tcPr>
          <w:p>
            <w:pPr>
              <w:spacing w:after="20"/>
            </w:pPr>
            <w:r>
              <w:rPr>
                <w:sz w:val="15"/>
              </w:rPr>
              <w:t>Freight trailer counts across Irish ports</w:t>
            </w:r>
          </w:p>
        </w:tc>
      </w:tr>
      <w:tr>
        <w:tc>
          <w:tcPr>
            <w:tcW w:type="dxa" w:w="3408"/>
            <w:shd w:fill="F9FAFC"/>
          </w:tcPr>
          <w:p>
            <w:pPr>
              <w:spacing w:after="20"/>
            </w:pPr>
            <w:r>
              <w:rPr>
                <w:sz w:val="15"/>
              </w:rPr>
              <w:t>CSO Table TBQ05</w:t>
            </w:r>
          </w:p>
        </w:tc>
        <w:tc>
          <w:tcPr>
            <w:tcW w:type="dxa" w:w="3408"/>
            <w:shd w:fill="F9FAFC"/>
          </w:tcPr>
          <w:p>
            <w:pPr>
              <w:spacing w:after="20"/>
            </w:pPr>
            <w:r>
              <w:rPr>
                <w:sz w:val="15"/>
              </w:rPr>
              <w:t>https://data.cso.ie/table/TBQ05</w:t>
            </w:r>
          </w:p>
        </w:tc>
        <w:tc>
          <w:tcPr>
            <w:tcW w:type="dxa" w:w="3408"/>
            <w:shd w:fill="F9FAFC"/>
          </w:tcPr>
          <w:p>
            <w:pPr>
              <w:spacing w:after="20"/>
            </w:pPr>
            <w:r>
              <w:rPr>
                <w:sz w:val="15"/>
              </w:rPr>
              <w:t>Post-Brexit trade volumes: Great Britain vs. EU</w:t>
            </w:r>
          </w:p>
        </w:tc>
      </w:tr>
      <w:tr>
        <w:tc>
          <w:tcPr>
            <w:tcW w:type="dxa" w:w="3408"/>
            <w:shd w:fill="FFFFFF"/>
          </w:tcPr>
          <w:p>
            <w:pPr>
              <w:spacing w:after="20"/>
            </w:pPr>
            <w:r>
              <w:rPr>
                <w:sz w:val="15"/>
              </w:rPr>
              <w:t>EMODnet Vessel Density</w:t>
            </w:r>
          </w:p>
        </w:tc>
        <w:tc>
          <w:tcPr>
            <w:tcW w:type="dxa" w:w="3408"/>
            <w:shd w:fill="FFFFFF"/>
          </w:tcPr>
          <w:p>
            <w:pPr>
              <w:spacing w:after="20"/>
            </w:pPr>
            <w:r>
              <w:rPr>
                <w:sz w:val="15"/>
              </w:rPr>
              <w:t>https://emodnet.ec.europa.eu/en/human-activities</w:t>
            </w:r>
          </w:p>
        </w:tc>
        <w:tc>
          <w:tcPr>
            <w:tcW w:type="dxa" w:w="3408"/>
            <w:shd w:fill="FFFFFF"/>
          </w:tcPr>
          <w:p>
            <w:pPr>
              <w:spacing w:after="20"/>
            </w:pPr>
            <w:r>
              <w:rPr>
                <w:sz w:val="15"/>
              </w:rPr>
              <w:t>AIS marine traffic density maps</w:t>
            </w:r>
          </w:p>
        </w:tc>
      </w:tr>
      <w:tr>
        <w:tc>
          <w:tcPr>
            <w:tcW w:type="dxa" w:w="3408"/>
            <w:shd w:fill="F9FAFC"/>
          </w:tcPr>
          <w:p>
            <w:pPr>
              <w:spacing w:after="20"/>
            </w:pPr>
            <w:r>
              <w:rPr>
                <w:sz w:val="15"/>
              </w:rPr>
              <w:t>OpenStreetMap Ireland</w:t>
            </w:r>
          </w:p>
        </w:tc>
        <w:tc>
          <w:tcPr>
            <w:tcW w:type="dxa" w:w="3408"/>
            <w:shd w:fill="F9FAFC"/>
          </w:tcPr>
          <w:p>
            <w:pPr>
              <w:spacing w:after="20"/>
            </w:pPr>
            <w:r>
              <w:rPr>
                <w:sz w:val="15"/>
              </w:rPr>
              <w:t>https://download.geofabrik.de/europe/ireland-and-northern-ireland.html</w:t>
            </w:r>
          </w:p>
        </w:tc>
        <w:tc>
          <w:tcPr>
            <w:tcW w:type="dxa" w:w="3408"/>
            <w:shd w:fill="F9FAFC"/>
          </w:tcPr>
          <w:p>
            <w:pPr>
              <w:spacing w:after="20"/>
            </w:pPr>
            <w:r>
              <w:rPr>
                <w:sz w:val="15"/>
              </w:rPr>
              <w:t>Road distances and speeds for Irish corridors</w:t>
            </w:r>
          </w:p>
        </w:tc>
      </w:tr>
    </w:tbl>
    <w:p>
      <w:pPr>
        <w:spacing w:after="80"/>
      </w:pPr>
    </w:p>
    <w:p>
      <w:pPr>
        <w:spacing w:before="160" w:after="60"/>
      </w:pPr>
      <w:r>
        <w:rPr>
          <w:b/>
          <w:color w:val="102C57"/>
          <w:sz w:val="21"/>
        </w:rPr>
        <w:t>3. Reflection and Key Findings</w:t>
      </w:r>
    </w:p>
    <w:p>
      <w:pPr>
        <w:pStyle w:val="ListBullet"/>
        <w:spacing w:after="40"/>
      </w:pPr>
      <w:r>
        <w:rPr>
          <w:b/>
          <w:sz w:val="17"/>
        </w:rPr>
        <w:t xml:space="preserve">The Problem is Real: </w:t>
      </w:r>
      <w:r>
        <w:rPr>
          <w:sz w:val="17"/>
        </w:rPr>
        <w:t>The baseline simulation shows that without delay prediction, trucks waste an average of 1.27 hours per shipment waiting at gates and customs. This proves that coupling delay prediction with route optimization can save real fuel, money, and emissions.</w:t>
      </w:r>
    </w:p>
    <w:p>
      <w:pPr>
        <w:pStyle w:val="ListBullet"/>
        <w:spacing w:after="40"/>
      </w:pPr>
      <w:r>
        <w:rPr>
          <w:b/>
          <w:sz w:val="17"/>
        </w:rPr>
        <w:t xml:space="preserve">Data is Verified: </w:t>
      </w:r>
      <w:r>
        <w:rPr>
          <w:sz w:val="17"/>
        </w:rPr>
        <w:t>The CSO PxStat API provides clean, continuous historical data from 2017 to 2026, ensuring we have solid numbers to train the machine learning models.</w:t>
      </w:r>
    </w:p>
    <w:p>
      <w:pPr>
        <w:pStyle w:val="ListBullet"/>
        <w:spacing w:after="40"/>
      </w:pPr>
      <w:r>
        <w:rPr>
          <w:b/>
          <w:sz w:val="17"/>
        </w:rPr>
        <w:t xml:space="preserve">Benchmark is Set: </w:t>
      </w:r>
      <w:r>
        <w:rPr>
          <w:sz w:val="17"/>
        </w:rPr>
        <w:t>Having this baseline simulator running in Week 1 gives us a clear benchmark to compare our future machine learning models against.</w:t>
      </w:r>
    </w:p>
    <w:p>
      <w:pPr>
        <w:spacing w:before="160" w:after="60"/>
      </w:pPr>
      <w:r>
        <w:rPr>
          <w:b/>
          <w:color w:val="102C57"/>
          <w:sz w:val="21"/>
        </w:rPr>
        <w:t>4. Planned Activities for Next Week</w:t>
      </w:r>
    </w:p>
    <w:p>
      <w:pPr>
        <w:spacing w:after="30"/>
      </w:pPr>
      <w:r>
        <w:rPr>
          <w:b/>
          <w:sz w:val="17"/>
        </w:rPr>
        <w:t xml:space="preserve">1. </w:t>
      </w:r>
      <w:r>
        <w:rPr>
          <w:sz w:val="17"/>
        </w:rPr>
        <w:t>Deliver the 1-2 minute oral pitch on 1 October.</w:t>
      </w:r>
    </w:p>
    <w:p>
      <w:pPr>
        <w:spacing w:after="30"/>
      </w:pPr>
      <w:r>
        <w:rPr>
          <w:b/>
          <w:sz w:val="17"/>
        </w:rPr>
        <w:t xml:space="preserve">2. </w:t>
      </w:r>
      <w:r>
        <w:rPr>
          <w:sz w:val="17"/>
        </w:rPr>
        <w:t>Review the Week 1 baseline results and refined project plan with Dr. Thanos Staikopoulos during our meeting.</w:t>
      </w:r>
    </w:p>
    <w:p>
      <w:pPr>
        <w:spacing w:after="30"/>
      </w:pPr>
      <w:r>
        <w:rPr>
          <w:b/>
          <w:sz w:val="17"/>
        </w:rPr>
        <w:t xml:space="preserve">3. </w:t>
      </w:r>
      <w:r>
        <w:rPr>
          <w:sz w:val="17"/>
        </w:rPr>
        <w:t>Ingest EMODnet AIS vessel density data for Irish waters.</w:t>
      </w:r>
    </w:p>
    <w:p>
      <w:pPr>
        <w:spacing w:after="30"/>
      </w:pPr>
      <w:r>
        <w:rPr>
          <w:b/>
          <w:sz w:val="17"/>
        </w:rPr>
        <w:t xml:space="preserve">4. </w:t>
      </w:r>
      <w:r>
        <w:rPr>
          <w:sz w:val="17"/>
        </w:rPr>
        <w:t>Start feature engineering for the Component 1 Port Congestion Classifier.</w:t>
      </w:r>
    </w:p>
    <w:p>
      <w:pPr>
        <w:spacing w:before="160" w:after="60"/>
      </w:pPr>
      <w:r>
        <w:rPr>
          <w:b/>
          <w:color w:val="102C57"/>
          <w:sz w:val="21"/>
        </w:rPr>
        <w:t>5. Milestone Tracking</w:t>
      </w:r>
    </w:p>
    <w:tbl>
      <w:tblPr>
        <w:tblW w:type="auto" w:w="0"/>
        <w:jc w:val="center"/>
        <w:tblLook w:firstColumn="1" w:firstRow="1" w:lastColumn="0" w:lastRow="0" w:noHBand="0" w:noVBand="1" w:val="04A0"/>
      </w:tblPr>
      <w:tblGrid>
        <w:gridCol w:w="2556"/>
        <w:gridCol w:w="2556"/>
        <w:gridCol w:w="2556"/>
        <w:gridCol w:w="2556"/>
      </w:tblGrid>
      <w:tr>
        <w:tc>
          <w:tcPr>
            <w:tcW w:type="dxa" w:w="2556"/>
            <w:shd w:fill="102C57"/>
          </w:tcPr>
          <w:p>
            <w:r>
              <w:rPr>
                <w:b/>
                <w:color w:val="FFFFFF"/>
                <w:sz w:val="16"/>
              </w:rPr>
              <w:t>Milestone</w:t>
            </w:r>
          </w:p>
        </w:tc>
        <w:tc>
          <w:tcPr>
            <w:tcW w:type="dxa" w:w="2556"/>
            <w:shd w:fill="102C57"/>
          </w:tcPr>
          <w:p>
            <w:r>
              <w:rPr>
                <w:b/>
                <w:color w:val="FFFFFF"/>
                <w:sz w:val="16"/>
              </w:rPr>
              <w:t>Target</w:t>
            </w:r>
          </w:p>
        </w:tc>
        <w:tc>
          <w:tcPr>
            <w:tcW w:type="dxa" w:w="2556"/>
            <w:shd w:fill="102C57"/>
          </w:tcPr>
          <w:p>
            <w:r>
              <w:rPr>
                <w:b/>
                <w:color w:val="FFFFFF"/>
                <w:sz w:val="16"/>
              </w:rPr>
              <w:t>Status</w:t>
            </w:r>
          </w:p>
        </w:tc>
        <w:tc>
          <w:tcPr>
            <w:tcW w:type="dxa" w:w="2556"/>
            <w:shd w:fill="102C57"/>
          </w:tcPr>
          <w:p>
            <w:r>
              <w:rPr>
                <w:b/>
                <w:color w:val="FFFFFF"/>
                <w:sz w:val="16"/>
              </w:rPr>
              <w:t>Summary</w:t>
            </w:r>
          </w:p>
        </w:tc>
      </w:tr>
      <w:tr>
        <w:tc>
          <w:tcPr>
            <w:tcW w:type="dxa" w:w="2556"/>
            <w:shd w:fill="FFFFFF"/>
          </w:tcPr>
          <w:p>
            <w:pPr>
              <w:spacing w:after="20"/>
            </w:pPr>
            <w:r>
              <w:rPr>
                <w:sz w:val="15"/>
              </w:rPr>
              <w:t>M1</w:t>
            </w:r>
          </w:p>
        </w:tc>
        <w:tc>
          <w:tcPr>
            <w:tcW w:type="dxa" w:w="2556"/>
            <w:shd w:fill="FFFFFF"/>
          </w:tcPr>
          <w:p>
            <w:pPr>
              <w:spacing w:after="20"/>
            </w:pPr>
            <w:r>
              <w:rPr>
                <w:sz w:val="15"/>
              </w:rPr>
              <w:t>Week 3</w:t>
            </w:r>
          </w:p>
        </w:tc>
        <w:tc>
          <w:tcPr>
            <w:tcW w:type="dxa" w:w="2556"/>
            <w:shd w:fill="FFFFFF"/>
          </w:tcPr>
          <w:p>
            <w:pPr>
              <w:spacing w:after="20"/>
            </w:pPr>
            <w:r>
              <w:rPr>
                <w:b/>
                <w:color w:val="008000"/>
                <w:sz w:val="15"/>
              </w:rPr>
              <w:t>Ahead of Schedule</w:t>
            </w:r>
          </w:p>
        </w:tc>
        <w:tc>
          <w:tcPr>
            <w:tcW w:type="dxa" w:w="2556"/>
            <w:shd w:fill="FFFFFF"/>
          </w:tcPr>
          <w:p>
            <w:pPr>
              <w:spacing w:after="20"/>
            </w:pPr>
            <w:r>
              <w:rPr>
                <w:sz w:val="15"/>
              </w:rPr>
              <w:t>Baseline simulator working, CSO data ingested, road network built</w:t>
            </w:r>
          </w:p>
        </w:tc>
      </w:tr>
      <w:tr>
        <w:tc>
          <w:tcPr>
            <w:tcW w:type="dxa" w:w="2556"/>
            <w:shd w:fill="F9FAFC"/>
          </w:tcPr>
          <w:p>
            <w:pPr>
              <w:spacing w:after="20"/>
            </w:pPr>
            <w:r>
              <w:rPr>
                <w:sz w:val="15"/>
              </w:rPr>
              <w:t>M2</w:t>
            </w:r>
          </w:p>
        </w:tc>
        <w:tc>
          <w:tcPr>
            <w:tcW w:type="dxa" w:w="2556"/>
            <w:shd w:fill="F9FAFC"/>
          </w:tcPr>
          <w:p>
            <w:pPr>
              <w:spacing w:after="20"/>
            </w:pPr>
            <w:r>
              <w:rPr>
                <w:sz w:val="15"/>
              </w:rPr>
              <w:t>Week 9</w:t>
            </w:r>
          </w:p>
        </w:tc>
        <w:tc>
          <w:tcPr>
            <w:tcW w:type="dxa" w:w="2556"/>
            <w:shd w:fill="F9FAFC"/>
          </w:tcPr>
          <w:p>
            <w:pPr>
              <w:spacing w:after="20"/>
            </w:pPr>
            <w:r>
              <w:rPr>
                <w:sz w:val="15"/>
              </w:rPr>
              <w:t>Planned</w:t>
            </w:r>
          </w:p>
        </w:tc>
        <w:tc>
          <w:tcPr>
            <w:tcW w:type="dxa" w:w="2556"/>
            <w:shd w:fill="F9FAFC"/>
          </w:tcPr>
          <w:p>
            <w:pPr>
              <w:spacing w:after="20"/>
            </w:pPr>
            <w:r>
              <w:rPr>
                <w:sz w:val="15"/>
              </w:rPr>
              <w:t>Train XGBoost delay models and connect to Pareto optimizer</w:t>
            </w:r>
          </w:p>
        </w:tc>
      </w:tr>
      <w:tr>
        <w:tc>
          <w:tcPr>
            <w:tcW w:type="dxa" w:w="2556"/>
            <w:shd w:fill="FFFFFF"/>
          </w:tcPr>
          <w:p>
            <w:pPr>
              <w:spacing w:after="20"/>
            </w:pPr>
            <w:r>
              <w:rPr>
                <w:sz w:val="15"/>
              </w:rPr>
              <w:t>M3</w:t>
            </w:r>
          </w:p>
        </w:tc>
        <w:tc>
          <w:tcPr>
            <w:tcW w:type="dxa" w:w="2556"/>
            <w:shd w:fill="FFFFFF"/>
          </w:tcPr>
          <w:p>
            <w:pPr>
              <w:spacing w:after="20"/>
            </w:pPr>
            <w:r>
              <w:rPr>
                <w:sz w:val="15"/>
              </w:rPr>
              <w:t>Week 13</w:t>
            </w:r>
          </w:p>
        </w:tc>
        <w:tc>
          <w:tcPr>
            <w:tcW w:type="dxa" w:w="2556"/>
            <w:shd w:fill="FFFFFF"/>
          </w:tcPr>
          <w:p>
            <w:pPr>
              <w:spacing w:after="20"/>
            </w:pPr>
            <w:r>
              <w:rPr>
                <w:sz w:val="15"/>
              </w:rPr>
              <w:t>Planned</w:t>
            </w:r>
          </w:p>
        </w:tc>
        <w:tc>
          <w:tcPr>
            <w:tcW w:type="dxa" w:w="2556"/>
            <w:shd w:fill="FFFFFF"/>
          </w:tcPr>
          <w:p>
            <w:pPr>
              <w:spacing w:after="20"/>
            </w:pPr>
            <w:r>
              <w:rPr>
                <w:sz w:val="15"/>
              </w:rPr>
              <w:t>Complete comparison against baseline and build Streamlit dashboard</w:t>
            </w:r>
          </w:p>
        </w:tc>
      </w:tr>
      <w:tr>
        <w:tc>
          <w:tcPr>
            <w:tcW w:type="dxa" w:w="2556"/>
            <w:shd w:fill="F9FAFC"/>
          </w:tcPr>
          <w:p>
            <w:pPr>
              <w:spacing w:after="20"/>
            </w:pPr>
            <w:r>
              <w:rPr>
                <w:sz w:val="15"/>
              </w:rPr>
              <w:t>M4</w:t>
            </w:r>
          </w:p>
        </w:tc>
        <w:tc>
          <w:tcPr>
            <w:tcW w:type="dxa" w:w="2556"/>
            <w:shd w:fill="F9FAFC"/>
          </w:tcPr>
          <w:p>
            <w:pPr>
              <w:spacing w:after="20"/>
            </w:pPr>
            <w:r>
              <w:rPr>
                <w:sz w:val="15"/>
              </w:rPr>
              <w:t>Week 15</w:t>
            </w:r>
          </w:p>
        </w:tc>
        <w:tc>
          <w:tcPr>
            <w:tcW w:type="dxa" w:w="2556"/>
            <w:shd w:fill="F9FAFC"/>
          </w:tcPr>
          <w:p>
            <w:pPr>
              <w:spacing w:after="20"/>
            </w:pPr>
            <w:r>
              <w:rPr>
                <w:sz w:val="15"/>
              </w:rPr>
              <w:t>Planned</w:t>
            </w:r>
          </w:p>
        </w:tc>
        <w:tc>
          <w:tcPr>
            <w:tcW w:type="dxa" w:w="2556"/>
            <w:shd w:fill="F9FAFC"/>
          </w:tcPr>
          <w:p>
            <w:pPr>
              <w:spacing w:after="20"/>
            </w:pPr>
            <w:r>
              <w:rPr>
                <w:sz w:val="15"/>
              </w:rPr>
              <w:t>Final dissertation, code repository, and viva presentation</w:t>
            </w:r>
          </w:p>
        </w:tc>
      </w:tr>
    </w:tbl>
    <w:p>
      <w:pPr>
        <w:spacing w:after="120"/>
      </w:pPr>
    </w:p>
    <w:p>
      <w:pPr>
        <w:spacing w:before="160" w:after="60"/>
      </w:pPr>
      <w:r>
        <w:rPr>
          <w:b/>
          <w:color w:val="102C57"/>
          <w:sz w:val="21"/>
        </w:rPr>
        <w:t>6. Sign-Off</w:t>
      </w:r>
    </w:p>
    <w:p>
      <w:r>
        <w:rPr>
          <w:sz w:val="17"/>
        </w:rPr>
        <w:t>Student Signature: Rohitkumar Amritlal Jaiswal                      Date: 29 September 2026</w:t>
        <w:br/>
        <w:br/>
        <w:t>Supervisor Signature: ___________________________                   Date: ___________________________</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